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description</w:t>
      </w:r>
      <w:r>
        <w:t xml:space="preserve"> </w:t>
      </w:r>
      <w:r>
        <w:t xml:space="preserve">for</w:t>
      </w:r>
      <w:r>
        <w:t xml:space="preserve"> </w:t>
      </w:r>
      <w:r>
        <w:t xml:space="preserve">DST</w:t>
      </w:r>
      <w:r>
        <w:t xml:space="preserve"> </w:t>
      </w:r>
      <w:r>
        <w:t xml:space="preserve">application</w:t>
      </w:r>
    </w:p>
    <w:p>
      <w:pPr>
        <w:pStyle w:val="FirstParagraph"/>
      </w:pPr>
      <w:r>
        <w:t xml:space="preserve">TODO: Delete above title header before sending to DST.</w:t>
      </w:r>
    </w:p>
    <w:p>
      <w:pPr>
        <w:pStyle w:val="TextBody"/>
      </w:pPr>
      <w:r>
        <w:rPr>
          <w:bCs/>
          <w:b/>
        </w:rPr>
        <w:t xml:space="preserve">Forskningsservice</w:t>
      </w:r>
      <w:r>
        <w:t xml:space="preserve"> </w:t>
      </w:r>
      <w:r>
        <w:rPr>
          <w:bCs/>
          <w:b/>
        </w:rPr>
        <w:t xml:space="preserve">Dato</w:t>
      </w:r>
      <w:r>
        <w:t xml:space="preserve"> </w:t>
      </w:r>
      <w:r>
        <w:t xml:space="preserve">September 06, 2021</w:t>
      </w:r>
      <w:r>
        <w:t xml:space="preserve"> </w:t>
      </w:r>
      <w:r>
        <w:t xml:space="preserve">Projekt nr. 70xxxx/ kontaktperson i Forskningsservice</w:t>
      </w:r>
    </w:p>
    <w:bookmarkStart w:id="20" w:name="X4bd5e4fca4c74720add6d40327bc857b62ca0b4"/>
    <w:p>
      <w:pPr>
        <w:pStyle w:val="Heading2"/>
      </w:pPr>
      <w:r>
        <w:t xml:space="preserve">Autoriseret institution / Authorised institution</w:t>
      </w:r>
    </w:p>
    <w:p>
      <w:pPr>
        <w:pStyle w:val="FirstParagraph"/>
      </w:pPr>
      <w:r>
        <w:t xml:space="preserve">Enhedschef Annelli Sandbæk</w:t>
      </w:r>
      <w:r>
        <w:br/>
      </w:r>
      <w:r>
        <w:t xml:space="preserve">Steno Diabetes Center Aarhus (inst. nr. 574)</w:t>
      </w:r>
      <w:r>
        <w:br/>
      </w:r>
      <w:r>
        <w:t xml:space="preserve">Hedeager 3, 2. sal</w:t>
      </w:r>
      <w:r>
        <w:br/>
      </w:r>
      <w:r>
        <w:t xml:space="preserve">8200 Aarhus</w:t>
      </w:r>
      <w:r>
        <w:br/>
      </w:r>
      <w:r>
        <w:t xml:space="preserve">Denmark</w:t>
      </w:r>
    </w:p>
    <w:bookmarkEnd w:id="20"/>
    <w:bookmarkStart w:id="21" w:name="projekttitel-project-title"/>
    <w:p>
      <w:pPr>
        <w:pStyle w:val="Heading2"/>
      </w:pPr>
      <w:r>
        <w:t xml:space="preserve">Projekttitel / Project title</w:t>
      </w:r>
    </w:p>
    <w:p>
      <w:pPr>
        <w:pStyle w:val="FirstParagraph"/>
      </w:pPr>
      <w:r>
        <w:t xml:space="preserve">Interplay between diabetes and intergenerational transmission of health determinants over the life course</w:t>
      </w:r>
    </w:p>
    <w:bookmarkEnd w:id="21"/>
    <w:bookmarkStart w:id="22" w:name="projektbeskrivelse-project-description"/>
    <w:p>
      <w:pPr>
        <w:pStyle w:val="Heading2"/>
      </w:pPr>
      <w:r>
        <w:t xml:space="preserve">Projektbeskrivelse / Project description</w:t>
      </w:r>
    </w:p>
    <w:p>
      <w:pPr>
        <w:pStyle w:val="FirstParagraph"/>
      </w:pPr>
      <w:r>
        <w:t xml:space="preserve">The overall aim of this project is to identify the contributions of family and</w:t>
      </w:r>
      <w:r>
        <w:t xml:space="preserve"> </w:t>
      </w:r>
      <w:r>
        <w:t xml:space="preserve">early life determinants on the development, management, and care of diabetes and</w:t>
      </w:r>
      <w:r>
        <w:t xml:space="preserve"> </w:t>
      </w:r>
      <w:r>
        <w:t xml:space="preserve">the diseases that may arise following a diabetes diagnosis, under a life-course</w:t>
      </w:r>
      <w:r>
        <w:t xml:space="preserve"> </w:t>
      </w:r>
      <w:r>
        <w:t xml:space="preserve">framework.</w:t>
      </w:r>
    </w:p>
    <w:p>
      <w:pPr>
        <w:pStyle w:val="TextBody"/>
      </w:pPr>
      <w:r>
        <w:t xml:space="preserve">Diabetes is a complex, multi-factorial disease. Its development depends on the</w:t>
      </w:r>
      <w:r>
        <w:t xml:space="preserve"> </w:t>
      </w:r>
      <w:r>
        <w:t xml:space="preserve">timing and accumulation of exposures throughout the life-course. In addition to</w:t>
      </w:r>
      <w:r>
        <w:t xml:space="preserve"> </w:t>
      </w:r>
      <w:r>
        <w:t xml:space="preserve">genetic influences, behavioral risk factors and socioeconomic conditions cluster</w:t>
      </w:r>
      <w:r>
        <w:t xml:space="preserve"> </w:t>
      </w:r>
      <w:r>
        <w:t xml:space="preserve">in families and are passed through generations. For instance, poor childhood</w:t>
      </w:r>
      <w:r>
        <w:t xml:space="preserve"> </w:t>
      </w:r>
      <w:r>
        <w:t xml:space="preserve">socioeconomic status (SES) can impact final educational attainment, adult SES,</w:t>
      </w:r>
      <w:r>
        <w:t xml:space="preserve"> </w:t>
      </w:r>
      <w:r>
        <w:t xml:space="preserve">and lifestyle and behavioral characteristics, which ultimately influence an</w:t>
      </w:r>
      <w:r>
        <w:t xml:space="preserve"> </w:t>
      </w:r>
      <w:r>
        <w:t xml:space="preserve">individual’s metabolic capacity to regulate glucose and subsequent risk for</w:t>
      </w:r>
      <w:r>
        <w:t xml:space="preserve"> </w:t>
      </w:r>
      <w:r>
        <w:t xml:space="preserve">diabetes.</w:t>
      </w:r>
    </w:p>
    <w:p>
      <w:pPr>
        <w:pStyle w:val="TextBody"/>
      </w:pPr>
      <w:r>
        <w:t xml:space="preserve">This project will contribute to a broader and deeper understanding of the role</w:t>
      </w:r>
      <w:r>
        <w:t xml:space="preserve"> </w:t>
      </w:r>
      <w:r>
        <w:t xml:space="preserve">that these factors play with the development and progression of diabetes. For</w:t>
      </w:r>
      <w:r>
        <w:t xml:space="preserve"> </w:t>
      </w:r>
      <w:r>
        <w:t xml:space="preserve">this purpose, we will apply causal and predictive statistical methods to best</w:t>
      </w:r>
      <w:r>
        <w:t xml:space="preserve"> </w:t>
      </w:r>
      <w:r>
        <w:t xml:space="preserve">use the data available from the integrated data sources with an overarching goal</w:t>
      </w:r>
      <w:r>
        <w:t xml:space="preserve"> </w:t>
      </w:r>
      <w:r>
        <w:t xml:space="preserve">to model several potential public health strategies that might impact the</w:t>
      </w:r>
      <w:r>
        <w:t xml:space="preserve"> </w:t>
      </w:r>
      <w:r>
        <w:t xml:space="preserve">prevention and management of diabetes and the diseases that follow its</w:t>
      </w:r>
      <w:r>
        <w:t xml:space="preserve"> </w:t>
      </w:r>
      <w:r>
        <w:t xml:space="preserve">diagnosis.</w:t>
      </w:r>
    </w:p>
    <w:bookmarkEnd w:id="22"/>
    <w:bookmarkStart w:id="23" w:name="population-population"/>
    <w:p>
      <w:pPr>
        <w:pStyle w:val="Heading2"/>
      </w:pPr>
      <w:r>
        <w:t xml:space="preserve">Population / Population</w:t>
      </w:r>
    </w:p>
    <w:p>
      <w:pPr>
        <w:pStyle w:val="FirstParagraph"/>
      </w:pPr>
      <w:r>
        <w:t xml:space="preserve">In order to identify familial relations through individuals’ life course trajectory,</w:t>
      </w:r>
      <w:r>
        <w:t xml:space="preserve"> </w:t>
      </w:r>
      <w:r>
        <w:t xml:space="preserve">the population requested covers all individuals, who live or lived in Denmark</w:t>
      </w:r>
      <w:r>
        <w:t xml:space="preserve"> </w:t>
      </w:r>
      <w:r>
        <w:t xml:space="preserve">from 1 January 1970 to 31 December 2020 (~8.5 million people).</w:t>
      </w:r>
      <w:r>
        <w:t xml:space="preserve"> </w:t>
      </w:r>
      <w:r>
        <w:t xml:space="preserve">The family linkage and structure makes the construction of the population</w:t>
      </w:r>
      <w:r>
        <w:t xml:space="preserve"> </w:t>
      </w:r>
      <w:r>
        <w:t xml:space="preserve">complicated and we will do this ourselves. For that we need the entire</w:t>
      </w:r>
      <w:r>
        <w:t xml:space="preserve"> </w:t>
      </w:r>
      <w:r>
        <w:t xml:space="preserve">population because we need data on not just the individual, but also the family</w:t>
      </w:r>
      <w:r>
        <w:t xml:space="preserve"> </w:t>
      </w:r>
      <w:r>
        <w:t xml:space="preserve">(parents and siblings). To characterise early life and early childhood</w:t>
      </w:r>
      <w:r>
        <w:t xml:space="preserve"> </w:t>
      </w:r>
      <w:r>
        <w:t xml:space="preserve">conditions of an individual person, we need data on their parents. Likewise, to</w:t>
      </w:r>
      <w:r>
        <w:t xml:space="preserve"> </w:t>
      </w:r>
      <w:r>
        <w:t xml:space="preserve">understand the role that the family network, including siblings and</w:t>
      </w:r>
      <w:r>
        <w:t xml:space="preserve"> </w:t>
      </w:r>
      <w:r>
        <w:t xml:space="preserve">grandparents, has on diabetes risk, we need a large enough population to make</w:t>
      </w:r>
      <w:r>
        <w:t xml:space="preserve"> </w:t>
      </w:r>
      <w:r>
        <w:t xml:space="preserve">these linkages and to adequately study this area.</w:t>
      </w:r>
      <w:r>
        <w:t xml:space="preserve"> </w:t>
      </w:r>
      <w:r>
        <w:t xml:space="preserve">Key requirements are:</w:t>
      </w:r>
    </w:p>
    <w:p>
      <w:pPr>
        <w:numPr>
          <w:ilvl w:val="0"/>
          <w:numId w:val="1001"/>
        </w:numPr>
        <w:pStyle w:val="Compact"/>
      </w:pPr>
      <w:r>
        <w:t xml:space="preserve">All index individuals born or who migrated into Denmark on or after 1970-01-01.</w:t>
      </w:r>
    </w:p>
    <w:p>
      <w:pPr>
        <w:numPr>
          <w:ilvl w:val="0"/>
          <w:numId w:val="1001"/>
        </w:numPr>
        <w:pStyle w:val="Compact"/>
      </w:pPr>
      <w:r>
        <w:t xml:space="preserve">All family members of the index individuals, including parents, siblings,</w:t>
      </w:r>
      <w:r>
        <w:t xml:space="preserve"> </w:t>
      </w:r>
      <w:r>
        <w:t xml:space="preserve">spouses, and children.</w:t>
      </w:r>
    </w:p>
    <w:bookmarkEnd w:id="23"/>
    <w:bookmarkStart w:id="24" w:name="variabelindhold-variables-included"/>
    <w:p>
      <w:pPr>
        <w:pStyle w:val="Heading2"/>
      </w:pPr>
      <w:r>
        <w:t xml:space="preserve">Variabelindhold / Variables included</w:t>
      </w:r>
    </w:p>
    <w:p>
      <w:pPr>
        <w:pStyle w:val="FirstParagraph"/>
      </w:pPr>
      <w:r>
        <w:t xml:space="preserve">All variables can be de-identified (direct identification is not needed). The</w:t>
      </w:r>
      <w:r>
        <w:t xml:space="preserve"> </w:t>
      </w:r>
      <w:r>
        <w:t xml:space="preserve">list of requested variables is found in the tables at the end of the document in</w:t>
      </w:r>
      <w:r>
        <w:t xml:space="preserve"> </w:t>
      </w:r>
      <w:r>
        <w:t xml:space="preserve">the Appendix. For all the variables, we need the data from the first year it is</w:t>
      </w:r>
      <w:r>
        <w:t xml:space="preserve"> </w:t>
      </w:r>
      <w:r>
        <w:t xml:space="preserve">available to the most recent year it is available.</w:t>
      </w:r>
    </w:p>
    <w:p>
      <w:pPr>
        <w:pStyle w:val="TextBody"/>
      </w:pPr>
      <w:r>
        <w:t xml:space="preserve">Registers requested are:</w:t>
      </w:r>
    </w:p>
    <w:p>
      <w:pPr>
        <w:numPr>
          <w:ilvl w:val="0"/>
          <w:numId w:val="1002"/>
        </w:numPr>
        <w:pStyle w:val="Compact"/>
      </w:pPr>
      <w:r>
        <w:t xml:space="preserve">AKM: Arbejdsklassifikationsmodulet / The work classification module</w:t>
      </w:r>
    </w:p>
    <w:p>
      <w:pPr>
        <w:numPr>
          <w:ilvl w:val="0"/>
          <w:numId w:val="1002"/>
        </w:numPr>
        <w:pStyle w:val="Compact"/>
      </w:pPr>
      <w:r>
        <w:t xml:space="preserve">BEF: Befolkningen / The population</w:t>
      </w:r>
    </w:p>
    <w:p>
      <w:pPr>
        <w:numPr>
          <w:ilvl w:val="0"/>
          <w:numId w:val="1002"/>
        </w:numPr>
        <w:pStyle w:val="Compact"/>
      </w:pPr>
      <w:r>
        <w:t xml:space="preserve">CPST: CPR Status / Civil Registration Status</w:t>
      </w:r>
    </w:p>
    <w:p>
      <w:pPr>
        <w:numPr>
          <w:ilvl w:val="0"/>
          <w:numId w:val="1002"/>
        </w:numPr>
        <w:pStyle w:val="Compact"/>
      </w:pPr>
      <w:r>
        <w:t xml:space="preserve">DOD: Døde i Danmark / Died in Denmark</w:t>
      </w:r>
    </w:p>
    <w:p>
      <w:pPr>
        <w:numPr>
          <w:ilvl w:val="0"/>
          <w:numId w:val="1002"/>
        </w:numPr>
        <w:pStyle w:val="Compact"/>
      </w:pPr>
      <w:r>
        <w:t xml:space="preserve">DODSAARS: Dødsårssagsregistret / Cause of death register</w:t>
      </w:r>
    </w:p>
    <w:p>
      <w:pPr>
        <w:numPr>
          <w:ilvl w:val="0"/>
          <w:numId w:val="1002"/>
        </w:numPr>
        <w:pStyle w:val="Compact"/>
      </w:pPr>
      <w:r>
        <w:t xml:space="preserve">DODSAASG: Dødsårsagsregister / Cause of death register</w:t>
      </w:r>
    </w:p>
    <w:p>
      <w:pPr>
        <w:numPr>
          <w:ilvl w:val="0"/>
          <w:numId w:val="1002"/>
        </w:numPr>
        <w:pStyle w:val="Compact"/>
      </w:pPr>
      <w:r>
        <w:t xml:space="preserve">FAIK: Familieindkomster / Family income</w:t>
      </w:r>
    </w:p>
    <w:p>
      <w:pPr>
        <w:numPr>
          <w:ilvl w:val="0"/>
          <w:numId w:val="1002"/>
        </w:numPr>
        <w:pStyle w:val="Compact"/>
      </w:pPr>
      <w:r>
        <w:t xml:space="preserve">FAIN: Husstande og familier / Households and families</w:t>
      </w:r>
    </w:p>
    <w:p>
      <w:pPr>
        <w:numPr>
          <w:ilvl w:val="0"/>
          <w:numId w:val="1002"/>
        </w:numPr>
        <w:pStyle w:val="Compact"/>
      </w:pPr>
      <w:r>
        <w:t xml:space="preserve">FTBARN: Fertilitet - børn / Fertility - children</w:t>
      </w:r>
    </w:p>
    <w:p>
      <w:pPr>
        <w:numPr>
          <w:ilvl w:val="0"/>
          <w:numId w:val="1002"/>
        </w:numPr>
        <w:pStyle w:val="Compact"/>
      </w:pPr>
      <w:r>
        <w:t xml:space="preserve">FTDB: Fertilitetsdatabasen børn / Fertility database children</w:t>
      </w:r>
    </w:p>
    <w:p>
      <w:pPr>
        <w:numPr>
          <w:ilvl w:val="0"/>
          <w:numId w:val="1002"/>
        </w:numPr>
        <w:pStyle w:val="Compact"/>
      </w:pPr>
      <w:r>
        <w:t xml:space="preserve">FTDK: Fertilitetsdatabasen paritetsfil kvinder / Fertility database parity file women</w:t>
      </w:r>
    </w:p>
    <w:p>
      <w:pPr>
        <w:numPr>
          <w:ilvl w:val="0"/>
          <w:numId w:val="1002"/>
        </w:numPr>
        <w:pStyle w:val="Compact"/>
      </w:pPr>
      <w:r>
        <w:t xml:space="preserve">FTDM: Fertilitetsdatabasen paritetsfil mænd / Fertility database parity file men</w:t>
      </w:r>
    </w:p>
    <w:p>
      <w:pPr>
        <w:numPr>
          <w:ilvl w:val="0"/>
          <w:numId w:val="1002"/>
        </w:numPr>
        <w:pStyle w:val="Compact"/>
      </w:pPr>
      <w:r>
        <w:t xml:space="preserve">FTFORAEL: Fertilitet - forælder / Fertility - parent</w:t>
      </w:r>
    </w:p>
    <w:p>
      <w:pPr>
        <w:numPr>
          <w:ilvl w:val="0"/>
          <w:numId w:val="1002"/>
        </w:numPr>
        <w:pStyle w:val="Compact"/>
      </w:pPr>
      <w:r>
        <w:t xml:space="preserve">IDAN: IDA ansættelser / IDA employment</w:t>
      </w:r>
    </w:p>
    <w:p>
      <w:pPr>
        <w:numPr>
          <w:ilvl w:val="0"/>
          <w:numId w:val="1002"/>
        </w:numPr>
        <w:pStyle w:val="Compact"/>
      </w:pPr>
      <w:r>
        <w:t xml:space="preserve">IDAP: IDA persondata / IDA person data</w:t>
      </w:r>
    </w:p>
    <w:p>
      <w:pPr>
        <w:numPr>
          <w:ilvl w:val="0"/>
          <w:numId w:val="1002"/>
        </w:numPr>
        <w:pStyle w:val="Compact"/>
      </w:pPr>
      <w:r>
        <w:t xml:space="preserve">IEPE: Indvandrere og Efterkommere / Immigrants and Descendants</w:t>
      </w:r>
    </w:p>
    <w:p>
      <w:pPr>
        <w:numPr>
          <w:ilvl w:val="0"/>
          <w:numId w:val="1002"/>
        </w:numPr>
        <w:pStyle w:val="Compact"/>
      </w:pPr>
      <w:r>
        <w:t xml:space="preserve">IND: Indkomst / Income</w:t>
      </w:r>
    </w:p>
    <w:p>
      <w:pPr>
        <w:numPr>
          <w:ilvl w:val="0"/>
          <w:numId w:val="1002"/>
        </w:numPr>
        <w:pStyle w:val="Compact"/>
      </w:pPr>
      <w:r>
        <w:t xml:space="preserve">LMDB: Lægemiddeldatabasen / The drug database</w:t>
      </w:r>
    </w:p>
    <w:p>
      <w:pPr>
        <w:numPr>
          <w:ilvl w:val="0"/>
          <w:numId w:val="1002"/>
        </w:numPr>
        <w:pStyle w:val="Compact"/>
      </w:pPr>
      <w:r>
        <w:t xml:space="preserve">LPR_ADM: Landspatientregistret - administrative oplysninger / National Patient Register - administrative information</w:t>
      </w:r>
    </w:p>
    <w:p>
      <w:pPr>
        <w:numPr>
          <w:ilvl w:val="0"/>
          <w:numId w:val="1002"/>
        </w:numPr>
        <w:pStyle w:val="Compact"/>
      </w:pPr>
      <w:r>
        <w:t xml:space="preserve">LPR_BES: Landspatientregistret - ambulante besøgsdatoer / National Patient Register - outpatient visit dates</w:t>
      </w:r>
    </w:p>
    <w:p>
      <w:pPr>
        <w:numPr>
          <w:ilvl w:val="0"/>
          <w:numId w:val="1002"/>
        </w:numPr>
        <w:pStyle w:val="Compact"/>
      </w:pPr>
      <w:r>
        <w:t xml:space="preserve">LPR_DIAG: Landspatientregistret - diagnoser / National Patient Register - diagnoses</w:t>
      </w:r>
    </w:p>
    <w:p>
      <w:pPr>
        <w:numPr>
          <w:ilvl w:val="0"/>
          <w:numId w:val="1002"/>
        </w:numPr>
        <w:pStyle w:val="Compact"/>
      </w:pPr>
      <w:r>
        <w:t xml:space="preserve">LPR_OPR: Landspatientregistret - operationer efter ICD8 klassifikationen / National Patient Register - operations according to the ICD8 classification</w:t>
      </w:r>
    </w:p>
    <w:p>
      <w:pPr>
        <w:numPr>
          <w:ilvl w:val="0"/>
          <w:numId w:val="1002"/>
        </w:numPr>
        <w:pStyle w:val="Compact"/>
      </w:pPr>
      <w:r>
        <w:t xml:space="preserve">LPR_SKSOPR: Landspatientregistret - operationer / National Patient Register - operations</w:t>
      </w:r>
    </w:p>
    <w:p>
      <w:pPr>
        <w:numPr>
          <w:ilvl w:val="0"/>
          <w:numId w:val="1002"/>
        </w:numPr>
        <w:pStyle w:val="Compact"/>
      </w:pPr>
      <w:r>
        <w:t xml:space="preserve">LPR_SKSUBE: Landspatientregistret - undersøgelser og behandlinger / National Patient Register - examinations and treatments</w:t>
      </w:r>
    </w:p>
    <w:p>
      <w:pPr>
        <w:numPr>
          <w:ilvl w:val="0"/>
          <w:numId w:val="1002"/>
        </w:numPr>
        <w:pStyle w:val="Compact"/>
      </w:pPr>
      <w:r>
        <w:t xml:space="preserve">LPRMFRDF: Dødfødte ud fra LPR / Stillbirths from LPR</w:t>
      </w:r>
    </w:p>
    <w:p>
      <w:pPr>
        <w:numPr>
          <w:ilvl w:val="0"/>
          <w:numId w:val="1002"/>
        </w:numPr>
        <w:pStyle w:val="Compact"/>
      </w:pPr>
      <w:r>
        <w:t xml:space="preserve">LPRMFRLF: Levendefødte ud fra LPR / Live births from LPR</w:t>
      </w:r>
    </w:p>
    <w:p>
      <w:pPr>
        <w:numPr>
          <w:ilvl w:val="0"/>
          <w:numId w:val="1002"/>
        </w:numPr>
        <w:pStyle w:val="Compact"/>
      </w:pPr>
      <w:r>
        <w:t xml:space="preserve">SHSS: Sammenhængende socialstatistik / Coherent social statistics</w:t>
      </w:r>
    </w:p>
    <w:p>
      <w:pPr>
        <w:numPr>
          <w:ilvl w:val="0"/>
          <w:numId w:val="1002"/>
        </w:numPr>
        <w:pStyle w:val="Compact"/>
      </w:pPr>
      <w:r>
        <w:t xml:space="preserve">SSNV: Sammenhængende socialstatistik nettovarigheder / Coherent social statistics net durations</w:t>
      </w:r>
    </w:p>
    <w:p>
      <w:pPr>
        <w:numPr>
          <w:ilvl w:val="0"/>
          <w:numId w:val="1002"/>
        </w:numPr>
        <w:pStyle w:val="Compact"/>
      </w:pPr>
      <w:r>
        <w:t xml:space="preserve">SSSY: Sygesikring (6-cifret) / Health insurance (6-digit)</w:t>
      </w:r>
    </w:p>
    <w:p>
      <w:pPr>
        <w:numPr>
          <w:ilvl w:val="0"/>
          <w:numId w:val="1002"/>
        </w:numPr>
        <w:pStyle w:val="Compact"/>
      </w:pPr>
      <w:r>
        <w:t xml:space="preserve">SYSI: Sygesikring (sikringsgruppe) / Health insurance (group)</w:t>
      </w:r>
    </w:p>
    <w:p>
      <w:pPr>
        <w:numPr>
          <w:ilvl w:val="0"/>
          <w:numId w:val="1002"/>
        </w:numPr>
        <w:pStyle w:val="Compact"/>
      </w:pPr>
      <w:r>
        <w:t xml:space="preserve">UDDA: Uddannelser (BUE) / Education (BUE)</w:t>
      </w:r>
    </w:p>
    <w:p>
      <w:pPr>
        <w:numPr>
          <w:ilvl w:val="0"/>
          <w:numId w:val="1002"/>
        </w:numPr>
        <w:pStyle w:val="Compact"/>
      </w:pPr>
      <w:r>
        <w:t xml:space="preserve">VNDS: Historiske vandringer / Historical migration</w:t>
      </w:r>
    </w:p>
    <w:p>
      <w:pPr>
        <w:pStyle w:val="FirstParagraph"/>
      </w:pPr>
      <w:r>
        <w:t xml:space="preserve">In the Appendix we listed the ATC codes from the prescription register and ICD-8</w:t>
      </w:r>
      <w:r>
        <w:t xml:space="preserve"> </w:t>
      </w:r>
      <w:r>
        <w:t xml:space="preserve">and -10 codes from the patient register that we need to classify diabetes</w:t>
      </w:r>
      <w:r>
        <w:t xml:space="preserve"> </w:t>
      </w:r>
      <w:r>
        <w:t xml:space="preserve">and the diseases that may arise following a diabetes diagnosis.</w:t>
      </w:r>
    </w:p>
    <w:bookmarkEnd w:id="24"/>
    <w:bookmarkStart w:id="25" w:name="X664e8403f530b2fb69bae44a1f7d013d5ed2402"/>
    <w:p>
      <w:pPr>
        <w:pStyle w:val="Heading2"/>
      </w:pPr>
      <w:r>
        <w:t xml:space="preserve">Særligt vedr. lægemiddelsdata / Especially regarding drug data</w:t>
      </w:r>
    </w:p>
    <w:p>
      <w:pPr>
        <w:pStyle w:val="FirstParagraph"/>
      </w:pPr>
      <w:r>
        <w:t xml:space="preserve">The medication data we are requested are used in order to identify cases of disease</w:t>
      </w:r>
      <w:r>
        <w:t xml:space="preserve"> </w:t>
      </w:r>
      <w:r>
        <w:t xml:space="preserve">(e.g. diabetes) that might not have been diagnosed and recorded in the patient register.</w:t>
      </w:r>
      <w:r>
        <w:t xml:space="preserve"> </w:t>
      </w:r>
      <w:r>
        <w:t xml:space="preserve">The list of requested ATC codes is found in the Appendix section.</w:t>
      </w:r>
    </w:p>
    <w:bookmarkEnd w:id="25"/>
    <w:bookmarkStart w:id="26" w:name="Xd11c902252ac072c2d194877177aa2b8085df8e"/>
    <w:p>
      <w:pPr>
        <w:pStyle w:val="Heading2"/>
      </w:pPr>
      <w:r>
        <w:t xml:space="preserve">Offentliggørelse af resultater / Publication of results</w:t>
      </w:r>
    </w:p>
    <w:p>
      <w:pPr>
        <w:pStyle w:val="FirstParagraph"/>
      </w:pPr>
      <w:r>
        <w:t xml:space="preserve">Results will be published in open access scientific outlets and presented at</w:t>
      </w:r>
      <w:r>
        <w:t xml:space="preserve"> </w:t>
      </w:r>
      <w:r>
        <w:t xml:space="preserve">scientific conferences.</w:t>
      </w:r>
    </w:p>
    <w:bookmarkEnd w:id="26"/>
    <w:bookmarkStart w:id="27" w:name="perspektivering-perspective"/>
    <w:p>
      <w:pPr>
        <w:pStyle w:val="Heading2"/>
      </w:pPr>
      <w:r>
        <w:t xml:space="preserve">Perspektivering / Perspective</w:t>
      </w:r>
    </w:p>
    <w:p>
      <w:pPr>
        <w:pStyle w:val="FirstParagraph"/>
      </w:pPr>
      <w:r>
        <w:t xml:space="preserve">Understanding how early life and familial factors can influence diabetes provides</w:t>
      </w:r>
      <w:r>
        <w:t xml:space="preserve"> </w:t>
      </w:r>
      <w:r>
        <w:t xml:space="preserve">us with tools and knowledge to better target, intervene, and either</w:t>
      </w:r>
      <w:r>
        <w:t xml:space="preserve"> </w:t>
      </w:r>
      <w:r>
        <w:t xml:space="preserve">prevent or manage diabetes and its complications. Considering the impact that</w:t>
      </w:r>
      <w:r>
        <w:t xml:space="preserve"> </w:t>
      </w:r>
      <w:r>
        <w:t xml:space="preserve">diabetes as a disease itself and its related comorbidities has at the personal,</w:t>
      </w:r>
      <w:r>
        <w:t xml:space="preserve"> </w:t>
      </w:r>
      <w:r>
        <w:t xml:space="preserve">public health, and economic level, any improvement in knowledge can have major</w:t>
      </w:r>
      <w:r>
        <w:t xml:space="preserve"> </w:t>
      </w:r>
      <w:r>
        <w:t xml:space="preserve">impacts.</w:t>
      </w:r>
    </w:p>
    <w:bookmarkEnd w:id="27"/>
    <w:bookmarkStart w:id="28" w:name="X2e31b47aba9c85d7e60a3bc42813758940c6dbe"/>
    <w:p>
      <w:pPr>
        <w:pStyle w:val="Heading2"/>
      </w:pPr>
      <w:r>
        <w:t xml:space="preserve">Data som ikke kommer fra Danmarks Statistik / Data that doesn’t come from DST</w:t>
      </w:r>
    </w:p>
    <w:p>
      <w:pPr>
        <w:pStyle w:val="FirstParagraph"/>
      </w:pPr>
      <w:r>
        <w:t xml:space="preserve">Data coming from other sources (e.g. Sundhedsdatastyrelsen):</w:t>
      </w:r>
    </w:p>
    <w:p>
      <w:pPr>
        <w:numPr>
          <w:ilvl w:val="0"/>
          <w:numId w:val="1003"/>
        </w:numPr>
        <w:pStyle w:val="Compact"/>
      </w:pPr>
      <w:r>
        <w:t xml:space="preserve">Cancerregisteret: Cancerregisteret / Cancer Register</w:t>
      </w:r>
    </w:p>
    <w:p>
      <w:pPr>
        <w:numPr>
          <w:ilvl w:val="0"/>
          <w:numId w:val="1003"/>
        </w:numPr>
        <w:pStyle w:val="Compact"/>
      </w:pPr>
      <w:r>
        <w:t xml:space="preserve">DBDD: Dansk Børne Diabetes Database / Danish Childrens Diabetes Database</w:t>
      </w:r>
    </w:p>
    <w:p>
      <w:pPr>
        <w:numPr>
          <w:ilvl w:val="0"/>
          <w:numId w:val="1003"/>
        </w:numPr>
        <w:pStyle w:val="Compact"/>
      </w:pPr>
      <w:r>
        <w:t xml:space="preserve">Diabase: Diabase / Diabase</w:t>
      </w:r>
    </w:p>
    <w:p>
      <w:pPr>
        <w:numPr>
          <w:ilvl w:val="0"/>
          <w:numId w:val="1003"/>
        </w:numPr>
        <w:pStyle w:val="Compact"/>
      </w:pPr>
      <w:r>
        <w:t xml:space="preserve">DND: Det Nationale Diabetesregister / National Diabetes Register</w:t>
      </w:r>
    </w:p>
    <w:p>
      <w:pPr>
        <w:numPr>
          <w:ilvl w:val="0"/>
          <w:numId w:val="1003"/>
        </w:numPr>
        <w:pStyle w:val="Compact"/>
      </w:pPr>
      <w:r>
        <w:t xml:space="preserve">DVDD: Dansk Voskne Diabetes Database / Danish Adults Diabetes Database</w:t>
      </w:r>
    </w:p>
    <w:p>
      <w:pPr>
        <w:numPr>
          <w:ilvl w:val="0"/>
          <w:numId w:val="1003"/>
        </w:numPr>
        <w:pStyle w:val="Compact"/>
      </w:pPr>
      <w:r>
        <w:t xml:space="preserve">IVF: IVF-registeret / In vitro fertilization register</w:t>
      </w:r>
    </w:p>
    <w:p>
      <w:pPr>
        <w:numPr>
          <w:ilvl w:val="0"/>
          <w:numId w:val="1003"/>
        </w:numPr>
        <w:pStyle w:val="Compact"/>
      </w:pPr>
      <w:r>
        <w:t xml:space="preserve">LABKA: Clinical data / Clinical data</w:t>
      </w:r>
    </w:p>
    <w:p>
      <w:pPr>
        <w:numPr>
          <w:ilvl w:val="0"/>
          <w:numId w:val="1003"/>
        </w:numPr>
        <w:pStyle w:val="Compact"/>
      </w:pPr>
      <w:r>
        <w:t xml:space="preserve">LPR_PSYK: Landspatientregistret – psykologi / National Patient Register - psychological</w:t>
      </w:r>
    </w:p>
    <w:bookmarkEnd w:id="28"/>
    <w:bookmarkStart w:id="29" w:name="projekts-slutdato-projects-end-date"/>
    <w:p>
      <w:pPr>
        <w:pStyle w:val="Heading2"/>
      </w:pPr>
      <w:r>
        <w:t xml:space="preserve">Projekts slutdato / Project’s end date</w:t>
      </w:r>
    </w:p>
    <w:p>
      <w:pPr>
        <w:pStyle w:val="FirstParagraph"/>
      </w:pPr>
      <w:r>
        <w:t xml:space="preserve">Date of deletion of data: Access to data is requested until 2030-12-31.</w:t>
      </w:r>
    </w:p>
    <w:p>
      <w:r>
        <w:br w:type="page"/>
      </w:r>
    </w:p>
    <w:bookmarkEnd w:id="29"/>
    <w:bookmarkStart w:id="30" w:name="Xc7725dc1b00de7587a7f4cd943942e8f40ca8fd"/>
    <w:p>
      <w:pPr>
        <w:pStyle w:val="Heading2"/>
      </w:pPr>
      <w:r>
        <w:t xml:space="preserve">Autoriserede forskere / Authorised scientists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Navn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Stillingsbetegnelse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Ansættelsessted (Institution &amp; Afdeling)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Ident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Email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Mobil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Fysisk token ønskes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Hjemsendelse tillades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Brugeraftale på engelsk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Kontaktperson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Luke W. Johnston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Clinical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luke.johnston@rm.dk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b/>
                <w:sz w:val="18"/>
                <w:szCs w:val="18"/>
                <w:color w:val="000000"/>
              </w:rPr>
              <w:t xml:space="preserve">Øvrige personer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Omar Silverman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Clinical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jossil@rm.dk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Daniel R. Witte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Professor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 and Institute for Public Health, Aarhus University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daniel.witte@ph.au.dk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Gunnar Toft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Senior Researcher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guntof@rm.dk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Adam Hulman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adahul@rm.dk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Annelli Sandbæk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Unit Manager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Steno Diabetes Center Aarhus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anesnd@rm.dk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Ja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Bitstream Vera Sans" w:hAnsi="Bitstream Vera Sans" w:eastAsia="Bitstream Vera Sans" w:cs="Bitstream Vera Sans"/>
                <w:sz w:val="18"/>
                <w:szCs w:val="18"/>
                <w:color w:val="000000"/>
              </w:rPr>
              <w:t xml:space="preserve">Nej</w:t>
            </w:r>
          </w:p>
        </w:tc>
      </w:tr>
    </w:tbl>
    <w:p>
      <w:r>
        <w:br w:type="page"/>
      </w:r>
    </w:p>
    <w:bookmarkEnd w:id="30"/>
    <w:bookmarkStart w:id="31" w:name="underskrift-signatures"/>
    <w:p>
      <w:pPr>
        <w:pStyle w:val="Heading2"/>
      </w:pPr>
      <w:r>
        <w:t xml:space="preserve">Underskrift / Signatures</w:t>
      </w:r>
    </w:p>
    <w:p>
      <w:pPr>
        <w:pStyle w:val="FirstParagraph"/>
      </w:pPr>
      <w:r>
        <w:t xml:space="preserve">Underskriver bekræfter på vegne af den dataansvarlige autoriserede institution,</w:t>
      </w:r>
      <w:r>
        <w:t xml:space="preserve"> </w:t>
      </w:r>
      <w:r>
        <w:t xml:space="preserve">at den konkrete behandling er lovlig i henhold til databeskyttelsesforordningen</w:t>
      </w:r>
      <w:r>
        <w:t xml:space="preserve"> </w:t>
      </w:r>
      <w:r>
        <w:t xml:space="preserve">artikel 6.</w:t>
      </w:r>
    </w:p>
    <w:p>
      <w:pPr>
        <w:pStyle w:val="TextBody"/>
      </w:pPr>
      <w:r>
        <w:t xml:space="preserve">Underskriver bekræfter ligeledes at være formelt ansat på den dataansvarlige</w:t>
      </w:r>
      <w:r>
        <w:t xml:space="preserve"> </w:t>
      </w:r>
      <w:r>
        <w:t xml:space="preserve">autoriserede institution, der indstiller projektet.</w:t>
      </w:r>
    </w:p>
    <w:p>
      <w:pPr>
        <w:pStyle w:val="TextBody"/>
      </w:pPr>
      <w:r>
        <w:rPr>
          <w:bCs/>
          <w:b/>
        </w:rPr>
        <w:t xml:space="preserve">På vegne af den dataansvarlige: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648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Navn: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Annelli Sandbæk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Stilling: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Enhedschef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Dato: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Underskrift: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extBody"/>
      </w:pPr>
      <w:r>
        <w:rPr>
          <w:bCs/>
          <w:b/>
        </w:rPr>
        <w:t xml:space="preserve">Godkendt til ekstern adgang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648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Navn: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Nikolaj Borg Burmeister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Stilling: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Kontorchef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Dato: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Underskrift: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1"/>
    <w:sectPr>
      <w:footerReference w:type="default" r:id="rId9"/>
      <w:type w:val="nextPage"/>
      <w:pgSz w:w="11906" w:h="16838"/>
      <w:pgMar w:left="1008" w:right="1008" w:header="0" w:top="1008" w:footer="1008" w:bottom="1547" w:gutter="0"/>
      <w:pgNumType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Bitstream Vera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"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Bitstream Vera Sans" w:hAnsi="Bitstream Vera Sans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Bitstream Vera Sans" w:hAnsi="Bitstream Vera Sans" w:eastAsia="" w:cs="" w:cstheme="majorBidi" w:eastAsiaTheme="majorEastAsia"/>
      <w:b/>
      <w:bCs/>
      <w:color w:val="0000FF"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>
      <w:sz w:val="18"/>
    </w:rPr>
  </w:style>
  <w:style w:type="paragraph" w:styleId="TableHeading">
    <w:name w:val="Table Heading"/>
    <w:basedOn w:val="TableContents"/>
    <w:qFormat/>
    <w:pPr>
      <w:suppressLineNumbers/>
      <w:shd w:val="clear" w:fill="D9D9D9"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45" w:leader="none"/>
        <w:tab w:val="right" w:pos="9890" w:leader="none"/>
      </w:tabs>
    </w:pPr>
    <w:rPr/>
  </w:style>
  <w:style w:type="paragraph" w:styleId="Footer">
    <w:name w:val="Footer"/>
    <w:basedOn w:val="HeaderandFooter"/>
    <w:pPr>
      <w:suppressLineNumbers/>
      <w:tabs>
        <w:tab w:val="clear" w:pos="4945"/>
        <w:tab w:val="center" w:pos="4939" w:leader="none"/>
        <w:tab w:val="right" w:pos="9890" w:leader="none"/>
      </w:tabs>
      <w:spacing w:before="0" w:after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3</Pages>
  <Words>524</Words>
  <Characters>3200</Characters>
  <CharactersWithSpaces>3641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 for DST application</dc:title>
  <dc:creator/>
  <cp:keywords/>
  <dcterms:created xsi:type="dcterms:W3CDTF">2021-09-06T14:15:18Z</dcterms:created>
  <dcterms:modified xsi:type="dcterms:W3CDTF">2021-09-06T14:15:18Z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_commons">
    <vt:lpwstr>CC BY</vt:lpwstr>
  </property>
  <property fmtid="{D5CDD505-2E9C-101B-9397-08002B2CF9AE}" pid="3" name="repository_url">
    <vt:lpwstr>https://gitlab.com/lwjohnst/meld-dst-application/</vt:lpwstr>
  </property>
</Properties>
</file>