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03, 2021</w:t>
      </w:r>
      <w:r>
        <w:t xml:space="preserve"> </w:t>
      </w:r>
      <w:r>
        <w:t xml:space="preserve">Projekt nr. 70xxxx/ kontaktperson i Forskningsservice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2021-09-03T14:21:24Z</dcterms:created>
  <dcterms:modified xsi:type="dcterms:W3CDTF">2021-09-03T14:21:24Z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