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Diabetes</w:t>
      </w:r>
      <w:r>
        <w:t xml:space="preserve"> </w:t>
      </w:r>
      <w:r>
        <w:t xml:space="preserve">Demography</w:t>
      </w:r>
      <w:r>
        <w:t xml:space="preserve"> </w:t>
      </w:r>
      <w:r>
        <w:t xml:space="preserve">Seminar</w:t>
      </w:r>
    </w:p>
    <w:bookmarkStart w:id="28" w:name="outline-of-application-to-the-nnf"/>
    <w:p>
      <w:pPr>
        <w:pStyle w:val="Heading2"/>
      </w:pPr>
      <w:r>
        <w:t xml:space="preserve">Outline of application to the NNF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Deadline: 31-03-2025 at 14:00</w:t>
            </w:r>
          </w:p>
        </w:tc>
      </w:tr>
      <w:tr>
        <w:trPr>
          <w:cantSplit/>
        </w:trPr>
        <w:tc>
          <w:tcPr>
            <w:tcMar>
              <w:top w:w="108" w:type="dxa"/>
              <w:bottom w:w="108" w:type="dxa"/>
            </w:tcMar>
          </w:tcPr>
          <w:p>
            <w:pPr>
              <w:pStyle w:val="BodyText"/>
            </w:pPr>
            <w:pPr>
              <w:spacing w:before="16"/>
            </w:pPr>
            <w:r>
              <w:t xml:space="preserve">Call:</w:t>
            </w:r>
            <w:r>
              <w:t xml:space="preserve"> </w:t>
            </w:r>
            <w:hyperlink r:id="rId23">
              <w:r>
                <w:rPr>
                  <w:rStyle w:val="Hyperlink"/>
                </w:rPr>
                <w:t xml:space="preserve">Conferences, Symposia and Workshops 2025-1</w:t>
              </w:r>
            </w:hyperlink>
          </w:p>
          <w:p>
            <w:pPr>
              <w:pStyle w:val="BodyText"/>
            </w:pPr>
            <w:pPr>
              <w:spacing w:after="16"/>
            </w:pPr>
            <w:r>
              <w:t xml:space="preserve">Guidance:</w:t>
            </w:r>
            <w:r>
              <w:t xml:space="preserve"> </w:t>
            </w:r>
            <w:hyperlink r:id="rId24">
              <w:r>
                <w:rPr>
                  <w:rStyle w:val="Hyperlink"/>
                </w:rPr>
                <w:t xml:space="preserve">Guidelines for Applicants</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Headings below have been copied from the NNF guidelines document</w:t>
            </w:r>
          </w:p>
        </w:tc>
      </w:tr>
    </w:tbl>
    <w:bookmarkEnd w:id="28"/>
    <w:bookmarkStart w:id="29" w:name="X92018644c6b4769af2326d0c22e7af38e8e90b8"/>
    <w:p>
      <w:pPr>
        <w:pStyle w:val="Heading2"/>
      </w:pPr>
      <w:r>
        <w:t xml:space="preserve">Project Title (maximum 150 characters, including spaces).</w:t>
      </w:r>
    </w:p>
    <w:p>
      <w:pPr>
        <w:pStyle w:val="FirstParagraph"/>
      </w:pPr>
      <w:r>
        <w:t xml:space="preserve">DiaDEM -Diabetes Demography Epidemiology Meeting</w:t>
      </w:r>
    </w:p>
    <w:bookmarkEnd w:id="29"/>
    <w:bookmarkStart w:id="30" w:name="Xf6c2682c3ea1938af0ae61aa3d578c0e5bdf940"/>
    <w:p>
      <w:pPr>
        <w:pStyle w:val="Heading2"/>
      </w:pPr>
      <w:r>
        <w:t xml:space="preserve">Project Description (maximum 10,000 characters, including spaces, line breaks and special characters)</w:t>
      </w:r>
    </w:p>
    <w:p>
      <w:pPr>
        <w:pStyle w:val="FirstParagraph"/>
      </w:pPr>
      <w:r>
        <w:t xml:space="preserve">As diabetes prevalence rises globally, particularly in the Western world, changing patterns of disease and treatment have reshaped the landscape of diabetes care. Intensive preventive cardiometabolic treatments have significantly reduced cardiovascular mortality over the past two decades, allowing people with diabetes to live longer. This shift highlights the growing need for up-to-date insights into:</w:t>
      </w:r>
    </w:p>
    <w:p>
      <w:pPr>
        <w:numPr>
          <w:ilvl w:val="0"/>
          <w:numId w:val="1001"/>
        </w:numPr>
      </w:pPr>
      <w:r>
        <w:t xml:space="preserve">The evolving occurrence of diabetes-related complications</w:t>
      </w:r>
    </w:p>
    <w:p>
      <w:pPr>
        <w:numPr>
          <w:ilvl w:val="0"/>
          <w:numId w:val="1001"/>
        </w:numPr>
      </w:pPr>
      <w:r>
        <w:t xml:space="preserve">The quality and effectiveness of healthcare services</w:t>
      </w:r>
    </w:p>
    <w:p>
      <w:pPr>
        <w:numPr>
          <w:ilvl w:val="0"/>
          <w:numId w:val="1001"/>
        </w:numPr>
      </w:pPr>
      <w:r>
        <w:t xml:space="preserve">The impact of public health policies on diabetes outcomes</w:t>
      </w:r>
    </w:p>
    <w:p>
      <w:pPr>
        <w:pStyle w:val="FirstParagraph"/>
      </w:pPr>
      <w:r>
        <w:t xml:space="preserve">Given that diabetes is a lifelong condition, understanding its impact at a population level requires robust demographic analyses based on national and population-wide registries. Such approaches enable valuable cross-national comparisons, allowing researchers and policymakers to:</w:t>
      </w:r>
    </w:p>
    <w:p>
      <w:pPr>
        <w:numPr>
          <w:ilvl w:val="0"/>
          <w:numId w:val="1002"/>
        </w:numPr>
      </w:pPr>
      <w:r>
        <w:t xml:space="preserve">Identify best-practice scenarios in diabetes care</w:t>
      </w:r>
    </w:p>
    <w:p>
      <w:pPr>
        <w:numPr>
          <w:ilvl w:val="0"/>
          <w:numId w:val="1002"/>
        </w:numPr>
      </w:pPr>
      <w:r>
        <w:t xml:space="preserve">Recognize challenges in different healthcare settings</w:t>
      </w:r>
    </w:p>
    <w:p>
      <w:pPr>
        <w:numPr>
          <w:ilvl w:val="0"/>
          <w:numId w:val="1002"/>
        </w:numPr>
      </w:pPr>
      <w:r>
        <w:t xml:space="preserve">Assess how interventions and treatment changes over time influence trends in comorbidities and mortality</w:t>
      </w:r>
    </w:p>
    <w:p>
      <w:pPr>
        <w:pStyle w:val="FirstParagraph"/>
      </w:pPr>
      <w:r>
        <w:t xml:space="preserve">However, meaningful comparisons between countries are often complicated by differences in healthcare systems, societal structures, and data registration practices. To foster international collaboration and facilitate future comparative research, we are aiming to organize a Diabetes Demography Symposium in Aarhus. This one-day event will bring together leading international experts in diabetes epidemiology and registry-based research, to discuss how routine data sources can be leveraged to improve understanding and guide better diabetes care. Through expert presentations and discussions, we will explore key questions such as:</w:t>
      </w:r>
    </w:p>
    <w:p>
      <w:pPr>
        <w:numPr>
          <w:ilvl w:val="0"/>
          <w:numId w:val="1003"/>
        </w:numPr>
      </w:pPr>
      <w:r>
        <w:t xml:space="preserve">How can routine lab registers help estimate the incidence of pre-diabetes?</w:t>
      </w:r>
    </w:p>
    <w:p>
      <w:pPr>
        <w:numPr>
          <w:ilvl w:val="0"/>
          <w:numId w:val="1003"/>
        </w:numPr>
      </w:pPr>
      <w:r>
        <w:t xml:space="preserve">Can we refine prevalence and incidence estimates of specific type 2 diabetes subtypes?</w:t>
      </w:r>
    </w:p>
    <w:p>
      <w:pPr>
        <w:numPr>
          <w:ilvl w:val="0"/>
          <w:numId w:val="1003"/>
        </w:numPr>
      </w:pPr>
      <w:r>
        <w:t xml:space="preserve">What steps can be taken to standardize methods for assessing diabetes care quality across countries?</w:t>
      </w:r>
    </w:p>
    <w:p>
      <w:pPr>
        <w:numPr>
          <w:ilvl w:val="0"/>
          <w:numId w:val="1003"/>
        </w:numPr>
      </w:pPr>
      <w:r>
        <w:t xml:space="preserve">Should we extend our scope beyond traditional complications to include outcomes such as cancer and multimorbidity?</w:t>
      </w:r>
    </w:p>
    <w:p>
      <w:pPr>
        <w:numPr>
          <w:ilvl w:val="0"/>
          <w:numId w:val="1003"/>
        </w:numPr>
      </w:pPr>
      <w:r>
        <w:t xml:space="preserve">How can routine registers be utilized for diabetes risk prediction?</w:t>
      </w:r>
    </w:p>
    <w:p>
      <w:pPr>
        <w:numPr>
          <w:ilvl w:val="0"/>
          <w:numId w:val="1003"/>
        </w:numPr>
      </w:pPr>
      <w:r>
        <w:t xml:space="preserve">What are the challenges in integrating register-based insights into routine patient care?</w:t>
      </w:r>
    </w:p>
    <w:p>
      <w:pPr>
        <w:pStyle w:val="FirstParagraph"/>
      </w:pPr>
      <w:r>
        <w:t xml:space="preserve">By fostering interdisciplinary dialogue, this symposium aims to advance international research collaborations, improve data harmonization, and strengthen the role of demographic analyses in shaping the future of diabetes care and to inform diabetes policies in public health.</w:t>
      </w:r>
    </w:p>
    <w:bookmarkEnd w:id="30"/>
    <w:bookmarkStart w:id="31" w:name="X375ffcdd512833b594e88da6dff83aea224239c"/>
    <w:p>
      <w:pPr>
        <w:pStyle w:val="Heading2"/>
      </w:pPr>
      <w:r>
        <w:t xml:space="preserve">Draft programme, in as much detail as possible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Start</w:t>
            </w:r>
          </w:p>
        </w:tc>
        <w:tc>
          <w:tcPr/>
          <w:p>
            <w:pPr>
              <w:pStyle w:val="Compact"/>
              <w:jc w:val="left"/>
            </w:pPr>
            <w:r>
              <w:t xml:space="preserve">End</w:t>
            </w:r>
          </w:p>
        </w:tc>
        <w:tc>
          <w:tcPr/>
          <w:p>
            <w:pPr>
              <w:pStyle w:val="Compact"/>
              <w:jc w:val="left"/>
            </w:pPr>
            <w:r>
              <w:t xml:space="preserve">Title</w:t>
            </w:r>
          </w:p>
        </w:tc>
        <w:tc>
          <w:tcPr/>
          <w:p>
            <w:pPr>
              <w:pStyle w:val="Compact"/>
              <w:jc w:val="left"/>
            </w:pPr>
            <w:r>
              <w:t xml:space="preserve">Speaker</w:t>
            </w:r>
          </w:p>
        </w:tc>
      </w:tr>
      <w:tr>
        <w:tc>
          <w:tcPr/>
          <w:p>
            <w:pPr>
              <w:pStyle w:val="Compact"/>
              <w:jc w:val="left"/>
            </w:pPr>
            <w:r>
              <w:rPr>
                <w:i/>
                <w:iCs/>
              </w:rPr>
              <w:t xml:space="preserve">09:30</w:t>
            </w:r>
          </w:p>
        </w:tc>
        <w:tc>
          <w:tcPr/>
          <w:p>
            <w:pPr>
              <w:pStyle w:val="Compact"/>
              <w:jc w:val="left"/>
            </w:pPr>
            <w:r>
              <w:rPr>
                <w:i/>
                <w:iCs/>
              </w:rPr>
              <w:t xml:space="preserve">10:00</w:t>
            </w:r>
          </w:p>
        </w:tc>
        <w:tc>
          <w:tcPr/>
          <w:p>
            <w:pPr>
              <w:pStyle w:val="Compact"/>
              <w:jc w:val="left"/>
            </w:pPr>
            <w:r>
              <w:rPr>
                <w:i/>
                <w:iCs/>
              </w:rPr>
              <w:t xml:space="preserve">Coffee</w:t>
            </w:r>
          </w:p>
        </w:tc>
        <w:tc>
          <w:tcPr/>
          <w:p>
            <w:pPr>
              <w:pStyle w:val="Compact"/>
              <w:jc w:val="left"/>
            </w:pPr>
            <w:r>
              <w:rPr>
                <w:i/>
                <w:iCs/>
              </w:rPr>
              <w:t xml:space="preserve">-</w:t>
            </w:r>
          </w:p>
        </w:tc>
      </w:tr>
      <w:tr>
        <w:tc>
          <w:tcPr/>
          <w:p>
            <w:pPr>
              <w:pStyle w:val="Compact"/>
              <w:jc w:val="left"/>
            </w:pPr>
            <w:r>
              <w:t xml:space="preserve">10:00</w:t>
            </w:r>
          </w:p>
        </w:tc>
        <w:tc>
          <w:tcPr/>
          <w:p>
            <w:pPr>
              <w:pStyle w:val="Compact"/>
              <w:jc w:val="left"/>
            </w:pPr>
            <w:r>
              <w:t xml:space="preserve">10:15</w:t>
            </w:r>
          </w:p>
        </w:tc>
        <w:tc>
          <w:tcPr/>
          <w:p>
            <w:pPr>
              <w:pStyle w:val="Compact"/>
              <w:jc w:val="left"/>
            </w:pPr>
            <w:r>
              <w:t xml:space="preserve">Welcome and Introduction</w:t>
            </w:r>
          </w:p>
        </w:tc>
        <w:tc>
          <w:tcPr/>
          <w:p>
            <w:pPr>
              <w:pStyle w:val="Compact"/>
              <w:jc w:val="left"/>
            </w:pPr>
            <w:r>
              <w:t xml:space="preserve">Daniel Witte</w:t>
            </w:r>
          </w:p>
        </w:tc>
      </w:tr>
      <w:tr>
        <w:tc>
          <w:tcPr/>
          <w:p>
            <w:pPr>
              <w:pStyle w:val="Compact"/>
              <w:jc w:val="left"/>
            </w:pPr>
            <w:r>
              <w:t xml:space="preserve">10:15</w:t>
            </w:r>
          </w:p>
        </w:tc>
        <w:tc>
          <w:tcPr/>
          <w:p>
            <w:pPr>
              <w:pStyle w:val="Compact"/>
              <w:jc w:val="left"/>
            </w:pPr>
            <w:r>
              <w:t xml:space="preserve">10:50</w:t>
            </w:r>
          </w:p>
        </w:tc>
        <w:tc>
          <w:tcPr/>
          <w:p>
            <w:pPr>
              <w:pStyle w:val="Compact"/>
            </w:pPr>
          </w:p>
        </w:tc>
        <w:tc>
          <w:tcPr/>
          <w:p>
            <w:pPr>
              <w:pStyle w:val="Compact"/>
              <w:jc w:val="left"/>
            </w:pPr>
            <w:r>
              <w:t xml:space="preserve">Dianna Magliano</w:t>
            </w:r>
          </w:p>
        </w:tc>
      </w:tr>
      <w:tr>
        <w:tc>
          <w:tcPr/>
          <w:p>
            <w:pPr>
              <w:pStyle w:val="Compact"/>
              <w:jc w:val="left"/>
            </w:pPr>
            <w:r>
              <w:t xml:space="preserve">10:50</w:t>
            </w:r>
          </w:p>
        </w:tc>
        <w:tc>
          <w:tcPr/>
          <w:p>
            <w:pPr>
              <w:pStyle w:val="Compact"/>
              <w:jc w:val="left"/>
            </w:pPr>
            <w:r>
              <w:t xml:space="preserve">11:25</w:t>
            </w:r>
          </w:p>
        </w:tc>
        <w:tc>
          <w:tcPr/>
          <w:p>
            <w:pPr>
              <w:pStyle w:val="Compact"/>
            </w:pPr>
          </w:p>
        </w:tc>
        <w:tc>
          <w:tcPr/>
          <w:p>
            <w:pPr>
              <w:pStyle w:val="Compact"/>
              <w:jc w:val="left"/>
            </w:pPr>
            <w:r>
              <w:t xml:space="preserve">Henrik Støvring</w:t>
            </w:r>
          </w:p>
        </w:tc>
      </w:tr>
      <w:tr>
        <w:tc>
          <w:tcPr/>
          <w:p>
            <w:pPr>
              <w:pStyle w:val="Compact"/>
              <w:jc w:val="left"/>
            </w:pPr>
            <w:r>
              <w:t xml:space="preserve">11:25</w:t>
            </w:r>
          </w:p>
        </w:tc>
        <w:tc>
          <w:tcPr/>
          <w:p>
            <w:pPr>
              <w:pStyle w:val="Compact"/>
              <w:jc w:val="left"/>
            </w:pPr>
            <w:r>
              <w:t xml:space="preserve">12:00</w:t>
            </w:r>
          </w:p>
        </w:tc>
        <w:tc>
          <w:tcPr/>
          <w:p>
            <w:pPr>
              <w:pStyle w:val="Compact"/>
            </w:pPr>
          </w:p>
        </w:tc>
        <w:tc>
          <w:tcPr/>
          <w:p>
            <w:pPr>
              <w:pStyle w:val="Compact"/>
              <w:jc w:val="left"/>
            </w:pPr>
            <w:r>
              <w:t xml:space="preserve">Sarah Wild</w:t>
            </w:r>
          </w:p>
        </w:tc>
      </w:tr>
      <w:tr>
        <w:tc>
          <w:tcPr/>
          <w:p>
            <w:pPr>
              <w:pStyle w:val="Compact"/>
              <w:jc w:val="left"/>
            </w:pPr>
            <w:r>
              <w:rPr>
                <w:i/>
                <w:iCs/>
              </w:rPr>
              <w:t xml:space="preserve">12:00</w:t>
            </w:r>
          </w:p>
        </w:tc>
        <w:tc>
          <w:tcPr/>
          <w:p>
            <w:pPr>
              <w:pStyle w:val="Compact"/>
              <w:jc w:val="left"/>
            </w:pPr>
            <w:r>
              <w:rPr>
                <w:i/>
                <w:iCs/>
              </w:rPr>
              <w:t xml:space="preserve">13:00</w:t>
            </w:r>
          </w:p>
        </w:tc>
        <w:tc>
          <w:tcPr/>
          <w:p>
            <w:pPr>
              <w:pStyle w:val="Compact"/>
              <w:jc w:val="left"/>
            </w:pPr>
            <w:r>
              <w:rPr>
                <w:i/>
                <w:iCs/>
              </w:rPr>
              <w:t xml:space="preserve">Lunch</w:t>
            </w:r>
          </w:p>
        </w:tc>
        <w:tc>
          <w:tcPr/>
          <w:p>
            <w:pPr>
              <w:pStyle w:val="Compact"/>
              <w:jc w:val="left"/>
            </w:pPr>
            <w:r>
              <w:rPr>
                <w:i/>
                <w:iCs/>
              </w:rPr>
              <w:t xml:space="preserve">-</w:t>
            </w:r>
          </w:p>
        </w:tc>
      </w:tr>
      <w:tr>
        <w:tc>
          <w:tcPr/>
          <w:p>
            <w:pPr>
              <w:pStyle w:val="Compact"/>
              <w:jc w:val="left"/>
            </w:pPr>
            <w:r>
              <w:t xml:space="preserve">13:00</w:t>
            </w:r>
          </w:p>
        </w:tc>
        <w:tc>
          <w:tcPr/>
          <w:p>
            <w:pPr>
              <w:pStyle w:val="Compact"/>
              <w:jc w:val="left"/>
            </w:pPr>
            <w:r>
              <w:t xml:space="preserve">13:15</w:t>
            </w:r>
          </w:p>
        </w:tc>
        <w:tc>
          <w:tcPr/>
          <w:p>
            <w:pPr>
              <w:pStyle w:val="Compact"/>
              <w:jc w:val="left"/>
            </w:pPr>
            <w:r>
              <w:t xml:space="preserve">Short Presentation 1</w:t>
            </w:r>
          </w:p>
        </w:tc>
        <w:tc>
          <w:tcPr/>
          <w:p>
            <w:pPr>
              <w:pStyle w:val="Compact"/>
              <w:jc w:val="left"/>
            </w:pPr>
            <w:r>
              <w:t xml:space="preserve">Young researcher 1</w:t>
            </w:r>
          </w:p>
        </w:tc>
      </w:tr>
      <w:tr>
        <w:tc>
          <w:tcPr/>
          <w:p>
            <w:pPr>
              <w:pStyle w:val="Compact"/>
              <w:jc w:val="left"/>
            </w:pPr>
            <w:r>
              <w:t xml:space="preserve">13:15</w:t>
            </w:r>
          </w:p>
        </w:tc>
        <w:tc>
          <w:tcPr/>
          <w:p>
            <w:pPr>
              <w:pStyle w:val="Compact"/>
              <w:jc w:val="left"/>
            </w:pPr>
            <w:r>
              <w:t xml:space="preserve">13:30</w:t>
            </w:r>
          </w:p>
        </w:tc>
        <w:tc>
          <w:tcPr/>
          <w:p>
            <w:pPr>
              <w:pStyle w:val="Compact"/>
              <w:jc w:val="left"/>
            </w:pPr>
            <w:r>
              <w:t xml:space="preserve">Short Presentation 2</w:t>
            </w:r>
          </w:p>
        </w:tc>
        <w:tc>
          <w:tcPr/>
          <w:p>
            <w:pPr>
              <w:pStyle w:val="Compact"/>
              <w:jc w:val="left"/>
            </w:pPr>
            <w:r>
              <w:t xml:space="preserve">Young researcher 2</w:t>
            </w:r>
          </w:p>
        </w:tc>
      </w:tr>
      <w:tr>
        <w:tc>
          <w:tcPr/>
          <w:p>
            <w:pPr>
              <w:pStyle w:val="Compact"/>
              <w:jc w:val="left"/>
            </w:pPr>
            <w:r>
              <w:t xml:space="preserve">13:30</w:t>
            </w:r>
          </w:p>
        </w:tc>
        <w:tc>
          <w:tcPr/>
          <w:p>
            <w:pPr>
              <w:pStyle w:val="Compact"/>
              <w:jc w:val="left"/>
            </w:pPr>
            <w:r>
              <w:t xml:space="preserve">13:45</w:t>
            </w:r>
          </w:p>
        </w:tc>
        <w:tc>
          <w:tcPr/>
          <w:p>
            <w:pPr>
              <w:pStyle w:val="Compact"/>
              <w:jc w:val="left"/>
            </w:pPr>
            <w:r>
              <w:t xml:space="preserve">Short Presentation 3</w:t>
            </w:r>
          </w:p>
        </w:tc>
        <w:tc>
          <w:tcPr/>
          <w:p>
            <w:pPr>
              <w:pStyle w:val="Compact"/>
              <w:jc w:val="left"/>
            </w:pPr>
            <w:r>
              <w:t xml:space="preserve">Young researcher 3</w:t>
            </w:r>
          </w:p>
        </w:tc>
      </w:tr>
      <w:tr>
        <w:tc>
          <w:tcPr/>
          <w:p>
            <w:pPr>
              <w:pStyle w:val="Compact"/>
              <w:jc w:val="left"/>
            </w:pPr>
            <w:r>
              <w:t xml:space="preserve">13:45</w:t>
            </w:r>
          </w:p>
        </w:tc>
        <w:tc>
          <w:tcPr/>
          <w:p>
            <w:pPr>
              <w:pStyle w:val="Compact"/>
              <w:jc w:val="left"/>
            </w:pPr>
            <w:r>
              <w:t xml:space="preserve">14:00</w:t>
            </w:r>
          </w:p>
        </w:tc>
        <w:tc>
          <w:tcPr/>
          <w:p>
            <w:pPr>
              <w:pStyle w:val="Compact"/>
              <w:jc w:val="left"/>
            </w:pPr>
            <w:r>
              <w:t xml:space="preserve">Short Presentation 4</w:t>
            </w:r>
          </w:p>
        </w:tc>
        <w:tc>
          <w:tcPr/>
          <w:p>
            <w:pPr>
              <w:pStyle w:val="Compact"/>
              <w:jc w:val="left"/>
            </w:pPr>
            <w:r>
              <w:t xml:space="preserve">Young researcher 4</w:t>
            </w:r>
          </w:p>
        </w:tc>
      </w:tr>
      <w:tr>
        <w:tc>
          <w:tcPr/>
          <w:p>
            <w:pPr>
              <w:pStyle w:val="Compact"/>
              <w:jc w:val="left"/>
            </w:pPr>
            <w:r>
              <w:t xml:space="preserve">14:00</w:t>
            </w:r>
          </w:p>
        </w:tc>
        <w:tc>
          <w:tcPr/>
          <w:p>
            <w:pPr>
              <w:pStyle w:val="Compact"/>
              <w:jc w:val="left"/>
            </w:pPr>
            <w:r>
              <w:t xml:space="preserve">14:35</w:t>
            </w:r>
          </w:p>
        </w:tc>
        <w:tc>
          <w:tcPr/>
          <w:p>
            <w:pPr>
              <w:pStyle w:val="Compact"/>
            </w:pPr>
          </w:p>
        </w:tc>
        <w:tc>
          <w:tcPr/>
          <w:p>
            <w:pPr>
              <w:pStyle w:val="Compact"/>
              <w:jc w:val="left"/>
            </w:pPr>
            <w:r>
              <w:t xml:space="preserve">Edward Gregg</w:t>
            </w:r>
          </w:p>
        </w:tc>
      </w:tr>
      <w:tr>
        <w:tc>
          <w:tcPr/>
          <w:p>
            <w:pPr>
              <w:pStyle w:val="Compact"/>
              <w:jc w:val="left"/>
            </w:pPr>
            <w:r>
              <w:rPr>
                <w:i/>
                <w:iCs/>
              </w:rPr>
              <w:t xml:space="preserve">14:35</w:t>
            </w:r>
          </w:p>
        </w:tc>
        <w:tc>
          <w:tcPr/>
          <w:p>
            <w:pPr>
              <w:pStyle w:val="Compact"/>
              <w:jc w:val="left"/>
            </w:pPr>
            <w:r>
              <w:rPr>
                <w:i/>
                <w:iCs/>
              </w:rPr>
              <w:t xml:space="preserve">15:00</w:t>
            </w:r>
          </w:p>
        </w:tc>
        <w:tc>
          <w:tcPr/>
          <w:p>
            <w:pPr>
              <w:pStyle w:val="Compact"/>
              <w:jc w:val="left"/>
            </w:pPr>
            <w:r>
              <w:rPr>
                <w:i/>
                <w:iCs/>
              </w:rPr>
              <w:t xml:space="preserve">Coffee</w:t>
            </w:r>
          </w:p>
        </w:tc>
        <w:tc>
          <w:tcPr/>
          <w:p>
            <w:pPr>
              <w:pStyle w:val="Compact"/>
              <w:jc w:val="left"/>
            </w:pPr>
            <w:r>
              <w:rPr>
                <w:i/>
                <w:iCs/>
              </w:rPr>
              <w:t xml:space="preserve">-</w:t>
            </w:r>
          </w:p>
        </w:tc>
      </w:tr>
      <w:tr>
        <w:tc>
          <w:tcPr/>
          <w:p>
            <w:pPr>
              <w:pStyle w:val="Compact"/>
              <w:jc w:val="left"/>
            </w:pPr>
            <w:r>
              <w:t xml:space="preserve">15:00</w:t>
            </w:r>
          </w:p>
        </w:tc>
        <w:tc>
          <w:tcPr/>
          <w:p>
            <w:pPr>
              <w:pStyle w:val="Compact"/>
              <w:jc w:val="left"/>
            </w:pPr>
            <w:r>
              <w:t xml:space="preserve">15:35</w:t>
            </w:r>
          </w:p>
        </w:tc>
        <w:tc>
          <w:tcPr/>
          <w:p>
            <w:pPr>
              <w:pStyle w:val="Compact"/>
            </w:pPr>
          </w:p>
        </w:tc>
        <w:tc>
          <w:tcPr/>
          <w:p>
            <w:pPr>
              <w:pStyle w:val="Compact"/>
              <w:jc w:val="left"/>
            </w:pPr>
            <w:r>
              <w:t xml:space="preserve">Bendix Carstensen</w:t>
            </w:r>
          </w:p>
        </w:tc>
      </w:tr>
      <w:tr>
        <w:tc>
          <w:tcPr/>
          <w:p>
            <w:pPr>
              <w:pStyle w:val="Compact"/>
              <w:jc w:val="left"/>
            </w:pPr>
            <w:r>
              <w:t xml:space="preserve">15:35</w:t>
            </w:r>
          </w:p>
        </w:tc>
        <w:tc>
          <w:tcPr/>
          <w:p>
            <w:pPr>
              <w:pStyle w:val="Compact"/>
              <w:jc w:val="left"/>
            </w:pPr>
            <w:r>
              <w:t xml:space="preserve">16:15</w:t>
            </w:r>
          </w:p>
        </w:tc>
        <w:tc>
          <w:tcPr/>
          <w:p>
            <w:pPr>
              <w:pStyle w:val="Compact"/>
              <w:jc w:val="left"/>
            </w:pPr>
            <w:r>
              <w:t xml:space="preserve">Discussion: What is the roadmap for future collaboration on this work?</w:t>
            </w:r>
          </w:p>
        </w:tc>
        <w:tc>
          <w:tcPr/>
          <w:p>
            <w:pPr>
              <w:pStyle w:val="Compact"/>
              <w:jc w:val="left"/>
            </w:pPr>
            <w:r>
              <w:t xml:space="preserve">All</w:t>
            </w:r>
          </w:p>
        </w:tc>
      </w:tr>
      <w:tr>
        <w:tc>
          <w:tcPr/>
          <w:p>
            <w:pPr>
              <w:pStyle w:val="Compact"/>
              <w:jc w:val="left"/>
            </w:pPr>
            <w:r>
              <w:t xml:space="preserve">16:15</w:t>
            </w:r>
          </w:p>
        </w:tc>
        <w:tc>
          <w:tcPr/>
          <w:p>
            <w:pPr>
              <w:pStyle w:val="Compact"/>
            </w:pPr>
          </w:p>
        </w:tc>
        <w:tc>
          <w:tcPr/>
          <w:p>
            <w:pPr>
              <w:pStyle w:val="Compact"/>
              <w:jc w:val="left"/>
            </w:pPr>
            <w:r>
              <w:t xml:space="preserve">Final words and end of seminar</w:t>
            </w:r>
          </w:p>
        </w:tc>
        <w:tc>
          <w:tcPr/>
          <w:p>
            <w:pPr>
              <w:pStyle w:val="Compact"/>
            </w:pPr>
          </w:p>
        </w:tc>
      </w:tr>
    </w:tbl>
    <w:bookmarkEnd w:id="31"/>
    <w:bookmarkStart w:id="32" w:name="speakers"/>
    <w:p>
      <w:pPr>
        <w:pStyle w:val="Heading2"/>
      </w:pPr>
      <w:r>
        <w:t xml:space="preserve">Speakers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Affiliation</w:t>
            </w:r>
          </w:p>
        </w:tc>
        <w:tc>
          <w:tcPr/>
          <w:p>
            <w:pPr>
              <w:pStyle w:val="Compact"/>
              <w:jc w:val="left"/>
            </w:pPr>
            <w:r>
              <w:t xml:space="preserve">Status</w:t>
            </w:r>
          </w:p>
        </w:tc>
      </w:tr>
      <w:tr>
        <w:tc>
          <w:tcPr/>
          <w:p>
            <w:pPr>
              <w:pStyle w:val="Compact"/>
              <w:jc w:val="left"/>
            </w:pPr>
            <w:r>
              <w:t xml:space="preserve">Prof. Sarah Wild</w:t>
            </w:r>
          </w:p>
        </w:tc>
        <w:tc>
          <w:tcPr/>
          <w:p>
            <w:pPr>
              <w:pStyle w:val="Compact"/>
              <w:jc w:val="left"/>
            </w:pPr>
            <w:r>
              <w:t xml:space="preserve">University of Edinburgh, UK</w:t>
            </w:r>
          </w:p>
        </w:tc>
        <w:tc>
          <w:tcPr/>
          <w:p>
            <w:pPr>
              <w:pStyle w:val="Compact"/>
              <w:jc w:val="left"/>
            </w:pPr>
            <w:r>
              <w:t xml:space="preserve">confirmed</w:t>
            </w:r>
          </w:p>
        </w:tc>
      </w:tr>
      <w:tr>
        <w:tc>
          <w:tcPr/>
          <w:p>
            <w:pPr>
              <w:pStyle w:val="Compact"/>
              <w:jc w:val="left"/>
            </w:pPr>
            <w:r>
              <w:t xml:space="preserve">Prof. Dianna Magliano</w:t>
            </w:r>
          </w:p>
        </w:tc>
        <w:tc>
          <w:tcPr/>
          <w:p>
            <w:pPr>
              <w:pStyle w:val="Compact"/>
              <w:jc w:val="left"/>
            </w:pPr>
            <w:r>
              <w:t xml:space="preserve">Baker Heart and Diabetes Institute, Melbourne, Australia (and visiting professor in Denmark in 2025)</w:t>
            </w:r>
          </w:p>
        </w:tc>
        <w:tc>
          <w:tcPr/>
          <w:p>
            <w:pPr>
              <w:pStyle w:val="Compact"/>
              <w:jc w:val="left"/>
            </w:pPr>
            <w:r>
              <w:t xml:space="preserve">confirmed</w:t>
            </w:r>
          </w:p>
        </w:tc>
      </w:tr>
      <w:tr>
        <w:tc>
          <w:tcPr/>
          <w:p>
            <w:pPr>
              <w:pStyle w:val="Compact"/>
              <w:jc w:val="left"/>
            </w:pPr>
            <w:r>
              <w:t xml:space="preserve">Prof. Edward Gregg</w:t>
            </w:r>
          </w:p>
        </w:tc>
        <w:tc>
          <w:tcPr/>
          <w:p>
            <w:pPr>
              <w:pStyle w:val="Compact"/>
              <w:jc w:val="left"/>
            </w:pPr>
            <w:r>
              <w:t xml:space="preserve">Imperial College London, UK and Royal College of Surgeons in Ireland, Dublin, Ireland</w:t>
            </w:r>
          </w:p>
        </w:tc>
        <w:tc>
          <w:tcPr/>
          <w:p>
            <w:pPr>
              <w:pStyle w:val="Compact"/>
              <w:jc w:val="left"/>
            </w:pPr>
            <w:r>
              <w:t xml:space="preserve">confirmed</w:t>
            </w:r>
          </w:p>
        </w:tc>
      </w:tr>
      <w:tr>
        <w:tc>
          <w:tcPr/>
          <w:p>
            <w:pPr>
              <w:pStyle w:val="Compact"/>
              <w:jc w:val="left"/>
            </w:pPr>
            <w:r>
              <w:t xml:space="preserve">Mr. Bendix Carstensen</w:t>
            </w:r>
          </w:p>
        </w:tc>
        <w:tc>
          <w:tcPr/>
          <w:p>
            <w:pPr>
              <w:pStyle w:val="Compact"/>
              <w:jc w:val="left"/>
            </w:pPr>
            <w:r>
              <w:t xml:space="preserve">Steno Diabetes Center Copenhagen</w:t>
            </w:r>
          </w:p>
        </w:tc>
        <w:tc>
          <w:tcPr/>
          <w:p>
            <w:pPr>
              <w:pStyle w:val="Compact"/>
              <w:jc w:val="left"/>
            </w:pPr>
            <w:r>
              <w:t xml:space="preserve">confirmed</w:t>
            </w:r>
          </w:p>
        </w:tc>
      </w:tr>
      <w:tr>
        <w:tc>
          <w:tcPr/>
          <w:p>
            <w:pPr>
              <w:pStyle w:val="Compact"/>
              <w:jc w:val="left"/>
            </w:pPr>
            <w:r>
              <w:t xml:space="preserve">Prof. Henrik Støvring</w:t>
            </w:r>
          </w:p>
        </w:tc>
        <w:tc>
          <w:tcPr/>
          <w:p>
            <w:pPr>
              <w:pStyle w:val="Compact"/>
              <w:jc w:val="left"/>
            </w:pPr>
            <w:r>
              <w:t xml:space="preserve">Steno Diabetes Center Aarhus</w:t>
            </w:r>
          </w:p>
        </w:tc>
        <w:tc>
          <w:tcPr/>
          <w:p>
            <w:pPr>
              <w:pStyle w:val="Compact"/>
              <w:jc w:val="left"/>
            </w:pPr>
            <w:r>
              <w:t xml:space="preserve">confirmed</w:t>
            </w:r>
          </w:p>
        </w:tc>
      </w:tr>
    </w:tbl>
    <w:bookmarkEnd w:id="32"/>
    <w:bookmarkStart w:id="33" w:name="Xafd297cacf784a5a881f3bf5bc17bfa1f37f0d7"/>
    <w:p>
      <w:pPr>
        <w:pStyle w:val="Heading2"/>
      </w:pPr>
      <w:r>
        <w:t xml:space="preserve">A maximum of four illustrations can be uploaded</w:t>
      </w:r>
    </w:p>
    <w:bookmarkEnd w:id="33"/>
    <w:bookmarkStart w:id="34" w:name="Xd64357de82c49ec598d57b881c51ff52c9fb6a5"/>
    <w:p>
      <w:pPr>
        <w:pStyle w:val="Heading2"/>
      </w:pPr>
      <w:r>
        <w:t xml:space="preserve">References (maximum 4,000 characters, including spaces, line breaks and special characters)</w:t>
      </w:r>
    </w:p>
    <w:bookmarkEnd w:id="34"/>
    <w:bookmarkStart w:id="35" w:name="Xa397f256bd3b2d570a6135536f1c700a138f793"/>
    <w:p>
      <w:pPr>
        <w:pStyle w:val="Heading2"/>
      </w:pPr>
      <w:r>
        <w:t xml:space="preserve">Lay Project Description (maximum 1,000 characters)</w:t>
      </w:r>
    </w:p>
    <w:p>
      <w:pPr>
        <w:pStyle w:val="FirstParagraph"/>
      </w:pPr>
      <w:r>
        <w:t xml:space="preserve">The Diabetes Demography Symposium - Understanding Diabetes Through Population Data. Diabetes is a growing global health issue, and as treatments improve, people are living longer with the condition. This means we need better ways to track how diabetes affects people over their entire lifecourse, how healthcare systems are responding, and what policies work best. The Diabetes Demography Symposium (DDS) brings together international experts to explore how healthcare data—such as patient records and national health registries—can help us answer these important questions. By comparing data across countries, we can identify what works best, where challenges exist, and how treatments impact long-term health. However, different healthcare systems and data collection methods make comparisons difficult. This symposium aims to improve collaboration, share insights, and find ways to use data more effectively to improve diabetes care worldwide.</w:t>
      </w:r>
    </w:p>
    <w:bookmarkEnd w:id="35"/>
    <w:bookmarkStart w:id="36" w:name="X9fcc55b4770ab47327f17e17dd738d2e0e61986"/>
    <w:p>
      <w:pPr>
        <w:pStyle w:val="Heading2"/>
      </w:pPr>
      <w:r>
        <w:t xml:space="preserve">Budget (enter a project period of minimum 6 months, not a single date)</w:t>
      </w:r>
    </w:p>
    <w:tbl>
      <w:tblPr>
        <w:tblStyle w:val="Table"/>
        <w:tblW w:type="pct" w:w="5000"/>
        <w:tblLayout w:type="fixed"/>
        <w:tblLook w:firstRow="1" w:lastRow="0" w:firstColumn="0" w:lastColumn="0" w:noHBand="0" w:noVBand="0" w:val="0020"/>
      </w:tblPr>
      <w:tblGrid>
        <w:gridCol w:w="2230"/>
        <w:gridCol w:w="780"/>
        <w:gridCol w:w="1338"/>
        <w:gridCol w:w="780"/>
        <w:gridCol w:w="2788"/>
      </w:tblGrid>
      <w:tr>
        <w:trPr>
          <w:tblHeader w:val="on"/>
        </w:trPr>
        <w:tc>
          <w:tcPr/>
          <w:p>
            <w:pPr>
              <w:pStyle w:val="Compact"/>
              <w:jc w:val="left"/>
            </w:pPr>
            <w:r>
              <w:t xml:space="preserve">Item</w:t>
            </w:r>
          </w:p>
        </w:tc>
        <w:tc>
          <w:tcPr/>
          <w:p>
            <w:pPr>
              <w:pStyle w:val="Compact"/>
              <w:jc w:val="left"/>
            </w:pPr>
            <w:r>
              <w:t xml:space="preserve">Units</w:t>
            </w:r>
          </w:p>
        </w:tc>
        <w:tc>
          <w:tcPr/>
          <w:p>
            <w:pPr>
              <w:pStyle w:val="Compact"/>
              <w:jc w:val="left"/>
            </w:pPr>
            <w:r>
              <w:t xml:space="preserve">Unit price</w:t>
            </w:r>
          </w:p>
        </w:tc>
        <w:tc>
          <w:tcPr/>
          <w:p>
            <w:pPr>
              <w:pStyle w:val="Compact"/>
              <w:jc w:val="left"/>
            </w:pPr>
            <w:r>
              <w:t xml:space="preserve">Price</w:t>
            </w:r>
          </w:p>
        </w:tc>
        <w:tc>
          <w:tcPr/>
          <w:p>
            <w:pPr>
              <w:pStyle w:val="Compact"/>
              <w:jc w:val="left"/>
            </w:pPr>
            <w:r>
              <w:t xml:space="preserve">Remarks</w:t>
            </w:r>
          </w:p>
        </w:tc>
      </w:tr>
      <w:tr>
        <w:tc>
          <w:tcPr/>
          <w:p>
            <w:pPr>
              <w:pStyle w:val="Compact"/>
              <w:jc w:val="left"/>
            </w:pPr>
            <w:r>
              <w:t xml:space="preserve">Travel: Europe</w:t>
            </w:r>
          </w:p>
        </w:tc>
        <w:tc>
          <w:tcPr/>
          <w:p>
            <w:pPr>
              <w:pStyle w:val="Compact"/>
              <w:jc w:val="left"/>
            </w:pPr>
            <w:r>
              <w:t xml:space="preserve">5</w:t>
            </w:r>
          </w:p>
        </w:tc>
        <w:tc>
          <w:tcPr/>
          <w:p>
            <w:pPr>
              <w:pStyle w:val="Compact"/>
              <w:jc w:val="left"/>
            </w:pPr>
            <w:r>
              <w:t xml:space="preserve">7000</w:t>
            </w:r>
          </w:p>
        </w:tc>
        <w:tc>
          <w:tcPr/>
          <w:p>
            <w:pPr>
              <w:pStyle w:val="Compact"/>
              <w:jc w:val="left"/>
            </w:pPr>
            <w:r>
              <w:t xml:space="preserve">35000</w:t>
            </w:r>
          </w:p>
        </w:tc>
        <w:tc>
          <w:tcPr/>
          <w:p>
            <w:pPr>
              <w:pStyle w:val="Compact"/>
            </w:pPr>
          </w:p>
        </w:tc>
      </w:tr>
      <w:tr>
        <w:tc>
          <w:tcPr/>
          <w:p>
            <w:pPr>
              <w:pStyle w:val="Compact"/>
              <w:jc w:val="left"/>
            </w:pPr>
            <w:r>
              <w:t xml:space="preserve">Travel: Denmark</w:t>
            </w:r>
          </w:p>
        </w:tc>
        <w:tc>
          <w:tcPr/>
          <w:p>
            <w:pPr>
              <w:pStyle w:val="Compact"/>
              <w:jc w:val="left"/>
            </w:pPr>
            <w:r>
              <w:t xml:space="preserve">3</w:t>
            </w:r>
          </w:p>
        </w:tc>
        <w:tc>
          <w:tcPr/>
          <w:p>
            <w:pPr>
              <w:pStyle w:val="Compact"/>
              <w:jc w:val="left"/>
            </w:pPr>
            <w:r>
              <w:t xml:space="preserve">1000</w:t>
            </w:r>
          </w:p>
        </w:tc>
        <w:tc>
          <w:tcPr/>
          <w:p>
            <w:pPr>
              <w:pStyle w:val="Compact"/>
              <w:jc w:val="left"/>
            </w:pPr>
            <w:r>
              <w:t xml:space="preserve">3000</w:t>
            </w:r>
          </w:p>
        </w:tc>
        <w:tc>
          <w:tcPr/>
          <w:p>
            <w:pPr>
              <w:pStyle w:val="Compact"/>
            </w:pPr>
          </w:p>
        </w:tc>
      </w:tr>
      <w:tr>
        <w:tc>
          <w:tcPr/>
          <w:p>
            <w:pPr>
              <w:pStyle w:val="Compact"/>
              <w:jc w:val="left"/>
            </w:pPr>
            <w:r>
              <w:t xml:space="preserve">Hotel for speakers</w:t>
            </w:r>
          </w:p>
        </w:tc>
        <w:tc>
          <w:tcPr/>
          <w:p>
            <w:pPr>
              <w:pStyle w:val="Compact"/>
              <w:jc w:val="left"/>
            </w:pPr>
            <w:r>
              <w:t xml:space="preserve">16</w:t>
            </w:r>
          </w:p>
        </w:tc>
        <w:tc>
          <w:tcPr/>
          <w:p>
            <w:pPr>
              <w:pStyle w:val="Compact"/>
              <w:jc w:val="left"/>
            </w:pPr>
            <w:r>
              <w:t xml:space="preserve">1250</w:t>
            </w:r>
          </w:p>
        </w:tc>
        <w:tc>
          <w:tcPr/>
          <w:p>
            <w:pPr>
              <w:pStyle w:val="Compact"/>
              <w:jc w:val="left"/>
            </w:pPr>
            <w:r>
              <w:t xml:space="preserve">20000</w:t>
            </w:r>
          </w:p>
        </w:tc>
        <w:tc>
          <w:tcPr/>
          <w:p>
            <w:pPr>
              <w:pStyle w:val="Compact"/>
              <w:jc w:val="left"/>
            </w:pPr>
            <w:r>
              <w:t xml:space="preserve">2 nights for 8 speakers</w:t>
            </w:r>
          </w:p>
        </w:tc>
      </w:tr>
      <w:tr>
        <w:tc>
          <w:tcPr/>
          <w:p>
            <w:pPr>
              <w:pStyle w:val="Compact"/>
              <w:jc w:val="left"/>
            </w:pPr>
            <w:r>
              <w:t xml:space="preserve">Lunch and Coffee</w:t>
            </w:r>
          </w:p>
        </w:tc>
        <w:tc>
          <w:tcPr/>
          <w:p>
            <w:pPr>
              <w:pStyle w:val="Compact"/>
              <w:jc w:val="left"/>
            </w:pPr>
            <w:r>
              <w:t xml:space="preserve">40</w:t>
            </w:r>
          </w:p>
        </w:tc>
        <w:tc>
          <w:tcPr/>
          <w:p>
            <w:pPr>
              <w:pStyle w:val="Compact"/>
              <w:jc w:val="left"/>
            </w:pPr>
            <w:r>
              <w:t xml:space="preserve">250</w:t>
            </w:r>
          </w:p>
        </w:tc>
        <w:tc>
          <w:tcPr/>
          <w:p>
            <w:pPr>
              <w:pStyle w:val="Compact"/>
              <w:jc w:val="left"/>
            </w:pPr>
            <w:r>
              <w:t xml:space="preserve">10000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c>
          <w:tcPr/>
          <w:p>
            <w:pPr>
              <w:pStyle w:val="Compact"/>
              <w:jc w:val="left"/>
            </w:pPr>
            <w:r>
              <w:t xml:space="preserve">68000</w:t>
            </w:r>
          </w:p>
        </w:tc>
        <w:tc>
          <w:tcPr/>
          <w:p>
            <w:pPr>
              <w:pStyle w:val="Compact"/>
            </w:pPr>
          </w:p>
        </w:tc>
      </w:tr>
    </w:tbl>
    <w:bookmarkEnd w:id="36"/>
    <w:bookmarkStart w:id="42" w:name="short-speaker-profiles"/>
    <w:p>
      <w:pPr>
        <w:pStyle w:val="Heading2"/>
      </w:pPr>
      <w:r>
        <w:t xml:space="preserve">Short speaker profiles</w:t>
      </w:r>
    </w:p>
    <w:bookmarkStart w:id="37" w:name="prof.-dianna-magliano-phd-oam"/>
    <w:p>
      <w:pPr>
        <w:pStyle w:val="Heading3"/>
      </w:pPr>
      <w:r>
        <w:t xml:space="preserve">Prof. Dianna Magliano, PhD, OAM</w:t>
      </w:r>
    </w:p>
    <w:p>
      <w:pPr>
        <w:pStyle w:val="FirstParagraph"/>
      </w:pPr>
      <w:r>
        <w:t xml:space="preserve">Professor Dianna Magliano has a BAppSci (Hons), PhD, and a Master of Public Health. Professor Magliano has worked for over 20 years in epidemiology, the majority in diabetes, cardiovascular disease and obesity research. Her more recent work involves exploring the trends in diabetes incidence, diabetes complications and mortality across the globe and she heads a consortium of 24 collaborators to do this work. She is the current co-chair of the IDF Diabetes Atlas and is an Associate Editor for Diabetologia and a visiting professor at Steno Diabetes Center Copenhagen on the project - Harnessing Multiple Large Datasets to Answer Questions on Diabetes Epidemiology – International Centre for Population-Based Diabetes Research (IPoD) funded by the DDEA (Danish Diabetes and Endocrine Academy).</w:t>
      </w:r>
    </w:p>
    <w:bookmarkEnd w:id="37"/>
    <w:bookmarkStart w:id="38" w:name="mr.-bendix-carstensen-msc."/>
    <w:p>
      <w:pPr>
        <w:pStyle w:val="Heading3"/>
      </w:pPr>
      <w:r>
        <w:t xml:space="preserve">Mr. Bendix Carstensen, MSc.</w:t>
      </w:r>
    </w:p>
    <w:p>
      <w:pPr>
        <w:pStyle w:val="FirstParagraph"/>
      </w:pPr>
      <w:r>
        <w:t xml:space="preserve">Bendix Carstensen has been a senior statistician at Steno Diabetes Center Copenhagen since 1999. He holds a degree in mathematical statistics from the University of Copenhagen. He has mostly worked with demographic aspects of diabetes, including maintaining a Danish diabetes register. He is the maintainer of the Epi package for R and the author of</w:t>
      </w:r>
      <w:r>
        <w:t xml:space="preserve"> </w:t>
      </w:r>
      <w:r>
        <w:t xml:space="preserve">“</w:t>
      </w:r>
      <w:r>
        <w:t xml:space="preserve">Epidemiology with R</w:t>
      </w:r>
      <w:r>
        <w:t xml:space="preserve">”</w:t>
      </w:r>
      <w:r>
        <w:t xml:space="preserve"> </w:t>
      </w:r>
      <w:r>
        <w:t xml:space="preserve">(OUP, 2021). He has extensive experience with international collaborations on monitoring and modelling of diabetes epidemiology and demography. Current H-index: 59</w:t>
      </w:r>
    </w:p>
    <w:bookmarkEnd w:id="38"/>
    <w:bookmarkStart w:id="39" w:name="dr.-edward-w-gregg-phd"/>
    <w:p>
      <w:pPr>
        <w:pStyle w:val="Heading3"/>
      </w:pPr>
      <w:r>
        <w:t xml:space="preserve">Dr. Edward W Gregg, PhD</w:t>
      </w:r>
    </w:p>
    <w:p>
      <w:pPr>
        <w:pStyle w:val="FirstParagraph"/>
      </w:pPr>
      <w:r>
        <w:t xml:space="preserve">Edward Gregg holds dual appointments at Imperial College London, UK (School of Public Health), and the Royal College of Surgeons in Ireland. He previously led a multi-disciplinary public health science unit in the Division of Diabetes Translation at the U.S. Centers for Disease Control and Prevention where he championed the role of epidemiology for public health decision-making through diverse disciplines, including population surveillance, effectiveness trials, natural experiments, and health impact modelling. He has particular interests in the factors driving recent trends in the diabetes epidemic and the impact of lifestyle interventions and related health policies on diabetes, cardiovascular disease, and ageing-related outcomes.</w:t>
      </w:r>
    </w:p>
    <w:bookmarkEnd w:id="39"/>
    <w:bookmarkStart w:id="40" w:name="prof.-henrik-støvring-phd"/>
    <w:p>
      <w:pPr>
        <w:pStyle w:val="Heading3"/>
      </w:pPr>
      <w:r>
        <w:t xml:space="preserve">Prof. Henrik Støvring, PhD</w:t>
      </w:r>
    </w:p>
    <w:p>
      <w:pPr>
        <w:pStyle w:val="FirstParagraph"/>
      </w:pPr>
      <w:r>
        <w:t xml:space="preserve">Henrik Støvring has investigated the diabetes epidemic in Denmark during the 1990s using pharmacoepidemiologic data and showed how projections of future prevalence must incorporate developments in both incidence and mortality. He has developed new statistical methods for analyses with pharmacoepidemiologic data and has been leading research on the effects of screening for cancer and developments in diabetes mortality. Current H-index: 34.</w:t>
      </w:r>
    </w:p>
    <w:bookmarkEnd w:id="40"/>
    <w:bookmarkStart w:id="41" w:name="prof.-sarah-wild-phd"/>
    <w:p>
      <w:pPr>
        <w:pStyle w:val="Heading3"/>
      </w:pPr>
      <w:r>
        <w:t xml:space="preserve">Prof. Sarah Wild, PhD</w:t>
      </w:r>
    </w:p>
    <w:p>
      <w:pPr>
        <w:pStyle w:val="FirstParagraph"/>
      </w:pPr>
      <w:r>
        <w:t xml:space="preserve">Sarah Wild is professor of Epidemiology at the Centre for Population Health Sciences, University of Edinburgh. Her main interests are the epidemiology and prevention of diabetes and other non-communicable diseases, particularly among women and different socio-economic and ethnic groups, and the use of routine data for research. Sarah Wild did her medical training in London and Cambridge. Her postgraduate experience included general medicine and diabetes, general practice and public health medicine, a cardiovascular epidemiology fellowship at Stanford University and a PhD at the London School of Hygiene and Tropical Medicine. She is one of the leading forced behind the SCI Diabetes register that covers all diabetes patients in Scotland.</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24" Target="https://novonordiskfonden.dk//app/uploads/Information-and-Guidelines-for-applicants-Conferences-Symposia-and-Workshops-2025-1-1.pdf" TargetMode="External" /><Relationship Type="http://schemas.openxmlformats.org/officeDocument/2006/relationships/hyperlink" Id="rId23" Target="https://novonordiskfonden.dk/grant/conferences-symposia-and-workshops-2025-1/" TargetMode="External" /></Relationships>
</file>

<file path=word/_rels/footnotes.xml.rels><?xml version="1.0" encoding="UTF-8"?><Relationships xmlns="http://schemas.openxmlformats.org/package/2006/relationships"><Relationship Type="http://schemas.openxmlformats.org/officeDocument/2006/relationships/hyperlink" Id="rId24" Target="https://novonordiskfonden.dk//app/uploads/Information-and-Guidelines-for-applicants-Conferences-Symposia-and-Workshops-2025-1-1.pdf" TargetMode="External" /><Relationship Type="http://schemas.openxmlformats.org/officeDocument/2006/relationships/hyperlink" Id="rId23" Target="https://novonordiskfonden.dk/grant/conferences-symposia-and-workshops-20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Demography Seminar</dc:title>
  <dc:creator/>
  <cp:keywords/>
  <dcterms:created xsi:type="dcterms:W3CDTF">2025-03-28T08:51:03Z</dcterms:created>
  <dcterms:modified xsi:type="dcterms:W3CDTF">2025-03-28T08:51:03Z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