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256F1" w14:textId="5FAE15FA" w:rsidR="007F2364" w:rsidRDefault="00BB0C77">
      <w:pPr>
        <w:rPr>
          <w:rFonts w:cstheme="minorHAnsi"/>
        </w:rPr>
      </w:pPr>
      <w:proofErr w:type="spellStart"/>
      <w:r w:rsidRPr="00BB0C77">
        <w:rPr>
          <w:rFonts w:cstheme="minorHAnsi"/>
        </w:rPr>
        <w:t>Checking</w:t>
      </w:r>
      <w:proofErr w:type="spellEnd"/>
      <w:r w:rsidRPr="00BB0C77">
        <w:rPr>
          <w:rFonts w:cstheme="minorHAnsi"/>
        </w:rPr>
        <w:t xml:space="preserve"> data </w:t>
      </w:r>
    </w:p>
    <w:p w14:paraId="348DF0D6" w14:textId="445D137D" w:rsidR="00BB0C77" w:rsidRDefault="00BB0C77">
      <w:pPr>
        <w:rPr>
          <w:rFonts w:cstheme="minorHAnsi"/>
        </w:rPr>
      </w:pPr>
    </w:p>
    <w:p w14:paraId="41C182C5" w14:textId="3894CCCE" w:rsidR="00BB0C77" w:rsidRPr="00BB0C77" w:rsidRDefault="00BB0C77">
      <w:pPr>
        <w:rPr>
          <w:rFonts w:cstheme="minorHAnsi"/>
          <w:lang w:val="en-US"/>
        </w:rPr>
      </w:pPr>
      <w:r w:rsidRPr="00BB0C77">
        <w:rPr>
          <w:rFonts w:cstheme="minorHAnsi"/>
          <w:lang w:val="en-US"/>
        </w:rPr>
        <w:t>How many 24h recalls:</w:t>
      </w:r>
    </w:p>
    <w:p w14:paraId="17776954" w14:textId="2BC7BE33" w:rsidR="00BB0C77" w:rsidRDefault="00BB0C77" w:rsidP="00BB0C77">
      <w:pPr>
        <w:pStyle w:val="NoSpacing"/>
        <w:spacing w:line="480" w:lineRule="auto"/>
        <w:rPr>
          <w:rFonts w:cstheme="minorHAnsi"/>
          <w:lang w:val="en-GB"/>
        </w:rPr>
      </w:pPr>
      <w:r w:rsidRPr="00BB0C77">
        <w:rPr>
          <w:rFonts w:cstheme="minorHAnsi"/>
          <w:lang w:val="en-GB"/>
        </w:rPr>
        <w:t>Before deciding: if you only use 1 there are many non-consumers of legumes, as legumes are not consumed daily, and it is likely that participants will not have consumed legumes within the past 24h.</w:t>
      </w:r>
      <w:r>
        <w:rPr>
          <w:rFonts w:cstheme="minorHAnsi"/>
          <w:lang w:val="en-GB"/>
        </w:rPr>
        <w:t xml:space="preserve"> </w:t>
      </w:r>
      <w:r w:rsidRPr="00BB0C77">
        <w:rPr>
          <w:rFonts w:cstheme="minorHAnsi"/>
          <w:lang w:val="en-GB"/>
        </w:rPr>
        <w:t xml:space="preserve">We restricted sample size to those with 4 24h recalls. Within those who had 4 recalls, if you only take the first questionnaire, how many non-consumers do you have? Then do the same with the first two 24 h recalls, and then the first three, and then with all four. A lot of non-consumers will pass to consumers when adding more recalls. This will give insight to how many </w:t>
      </w:r>
      <w:proofErr w:type="spellStart"/>
      <w:r w:rsidRPr="00BB0C77">
        <w:rPr>
          <w:rFonts w:cstheme="minorHAnsi"/>
          <w:lang w:val="en-GB"/>
        </w:rPr>
        <w:t>webQs</w:t>
      </w:r>
      <w:proofErr w:type="spellEnd"/>
      <w:r w:rsidRPr="00BB0C77">
        <w:rPr>
          <w:rFonts w:cstheme="minorHAnsi"/>
          <w:lang w:val="en-GB"/>
        </w:rPr>
        <w:t xml:space="preserve"> should be included. </w:t>
      </w:r>
      <w:r>
        <w:rPr>
          <w:rFonts w:cstheme="minorHAnsi"/>
          <w:lang w:val="en-GB"/>
        </w:rPr>
        <w:t>When the number of consumers and non-consumers is stable, that’s how many 24h recalls I’ll need.</w:t>
      </w:r>
    </w:p>
    <w:p w14:paraId="56B68A4C" w14:textId="7DA1A920" w:rsidR="00BB0C77" w:rsidRDefault="00BB0C77" w:rsidP="00BB0C77">
      <w:pPr>
        <w:pStyle w:val="NoSpacing"/>
        <w:spacing w:line="480" w:lineRule="auto"/>
        <w:rPr>
          <w:rFonts w:cstheme="minorHAnsi"/>
          <w:lang w:val="en-GB"/>
        </w:rPr>
      </w:pPr>
      <w:r>
        <w:rPr>
          <w:rFonts w:cstheme="minorHAnsi"/>
          <w:lang w:val="en-GB"/>
        </w:rPr>
        <w:t>It’s just a cross-tabulation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B0C77" w14:paraId="3E1ABC36" w14:textId="77777777" w:rsidTr="00BB0C77">
        <w:tc>
          <w:tcPr>
            <w:tcW w:w="3005" w:type="dxa"/>
          </w:tcPr>
          <w:p w14:paraId="7A600481" w14:textId="7DA821D7" w:rsidR="00BB0C77" w:rsidRDefault="00BB0C77" w:rsidP="00BB0C77">
            <w:pPr>
              <w:pStyle w:val="NoSpacing"/>
              <w:spacing w:line="48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Recalls </w:t>
            </w:r>
          </w:p>
        </w:tc>
        <w:tc>
          <w:tcPr>
            <w:tcW w:w="3005" w:type="dxa"/>
          </w:tcPr>
          <w:p w14:paraId="5099BB47" w14:textId="7106D8C7" w:rsidR="00BB0C77" w:rsidRDefault="00BB0C77" w:rsidP="00BB0C77">
            <w:pPr>
              <w:pStyle w:val="NoSpacing"/>
              <w:spacing w:line="48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Consumer = 1</w:t>
            </w:r>
          </w:p>
        </w:tc>
        <w:tc>
          <w:tcPr>
            <w:tcW w:w="3006" w:type="dxa"/>
          </w:tcPr>
          <w:p w14:paraId="34B27AB8" w14:textId="348E13C5" w:rsidR="00BB0C77" w:rsidRDefault="00BB0C77" w:rsidP="00BB0C77">
            <w:pPr>
              <w:pStyle w:val="NoSpacing"/>
              <w:spacing w:line="48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Consumer = 0 (non-consumer)</w:t>
            </w:r>
          </w:p>
        </w:tc>
      </w:tr>
      <w:tr w:rsidR="00BB0C77" w14:paraId="09BC539F" w14:textId="77777777" w:rsidTr="00BB0C77">
        <w:tc>
          <w:tcPr>
            <w:tcW w:w="3005" w:type="dxa"/>
          </w:tcPr>
          <w:p w14:paraId="5D473E3E" w14:textId="07630E95" w:rsidR="00BB0C77" w:rsidRDefault="00BB0C77" w:rsidP="00BB0C77">
            <w:pPr>
              <w:pStyle w:val="NoSpacing"/>
              <w:spacing w:line="48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</w:p>
        </w:tc>
        <w:tc>
          <w:tcPr>
            <w:tcW w:w="3005" w:type="dxa"/>
          </w:tcPr>
          <w:p w14:paraId="112BB634" w14:textId="77777777" w:rsidR="00BB0C77" w:rsidRDefault="00BB0C77" w:rsidP="00BB0C77">
            <w:pPr>
              <w:pStyle w:val="NoSpacing"/>
              <w:spacing w:line="480" w:lineRule="auto"/>
              <w:rPr>
                <w:rFonts w:cstheme="minorHAnsi"/>
                <w:lang w:val="en-GB"/>
              </w:rPr>
            </w:pPr>
          </w:p>
        </w:tc>
        <w:tc>
          <w:tcPr>
            <w:tcW w:w="3006" w:type="dxa"/>
          </w:tcPr>
          <w:p w14:paraId="54F9AF06" w14:textId="77777777" w:rsidR="00BB0C77" w:rsidRDefault="00BB0C77" w:rsidP="00BB0C77">
            <w:pPr>
              <w:pStyle w:val="NoSpacing"/>
              <w:spacing w:line="480" w:lineRule="auto"/>
              <w:rPr>
                <w:rFonts w:cstheme="minorHAnsi"/>
                <w:lang w:val="en-GB"/>
              </w:rPr>
            </w:pPr>
          </w:p>
        </w:tc>
      </w:tr>
      <w:tr w:rsidR="00BB0C77" w14:paraId="5186A164" w14:textId="77777777" w:rsidTr="00BB0C77">
        <w:tc>
          <w:tcPr>
            <w:tcW w:w="3005" w:type="dxa"/>
          </w:tcPr>
          <w:p w14:paraId="22B33584" w14:textId="3095E540" w:rsidR="00BB0C77" w:rsidRDefault="003534EE" w:rsidP="00BB0C77">
            <w:pPr>
              <w:pStyle w:val="NoSpacing"/>
              <w:spacing w:line="48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2</w:t>
            </w:r>
          </w:p>
        </w:tc>
        <w:tc>
          <w:tcPr>
            <w:tcW w:w="3005" w:type="dxa"/>
          </w:tcPr>
          <w:p w14:paraId="5018D0E2" w14:textId="77777777" w:rsidR="00BB0C77" w:rsidRDefault="00BB0C77" w:rsidP="00BB0C77">
            <w:pPr>
              <w:pStyle w:val="NoSpacing"/>
              <w:spacing w:line="480" w:lineRule="auto"/>
              <w:rPr>
                <w:rFonts w:cstheme="minorHAnsi"/>
                <w:lang w:val="en-GB"/>
              </w:rPr>
            </w:pPr>
          </w:p>
        </w:tc>
        <w:tc>
          <w:tcPr>
            <w:tcW w:w="3006" w:type="dxa"/>
          </w:tcPr>
          <w:p w14:paraId="63125653" w14:textId="77777777" w:rsidR="00BB0C77" w:rsidRDefault="00BB0C77" w:rsidP="00BB0C77">
            <w:pPr>
              <w:pStyle w:val="NoSpacing"/>
              <w:spacing w:line="480" w:lineRule="auto"/>
              <w:rPr>
                <w:rFonts w:cstheme="minorHAnsi"/>
                <w:lang w:val="en-GB"/>
              </w:rPr>
            </w:pPr>
          </w:p>
        </w:tc>
      </w:tr>
      <w:tr w:rsidR="00BB0C77" w14:paraId="659DB927" w14:textId="77777777" w:rsidTr="00BB0C77">
        <w:tc>
          <w:tcPr>
            <w:tcW w:w="3005" w:type="dxa"/>
          </w:tcPr>
          <w:p w14:paraId="34EA611B" w14:textId="2206DFE5" w:rsidR="00BB0C77" w:rsidRDefault="00BB0C77" w:rsidP="00BB0C77">
            <w:pPr>
              <w:pStyle w:val="NoSpacing"/>
              <w:spacing w:line="48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3005" w:type="dxa"/>
          </w:tcPr>
          <w:p w14:paraId="1E9C123E" w14:textId="77777777" w:rsidR="00BB0C77" w:rsidRDefault="00BB0C77" w:rsidP="00BB0C77">
            <w:pPr>
              <w:pStyle w:val="NoSpacing"/>
              <w:spacing w:line="480" w:lineRule="auto"/>
              <w:rPr>
                <w:rFonts w:cstheme="minorHAnsi"/>
                <w:lang w:val="en-GB"/>
              </w:rPr>
            </w:pPr>
          </w:p>
        </w:tc>
        <w:tc>
          <w:tcPr>
            <w:tcW w:w="3006" w:type="dxa"/>
          </w:tcPr>
          <w:p w14:paraId="6474884C" w14:textId="77777777" w:rsidR="00BB0C77" w:rsidRDefault="00BB0C77" w:rsidP="00BB0C77">
            <w:pPr>
              <w:pStyle w:val="NoSpacing"/>
              <w:spacing w:line="480" w:lineRule="auto"/>
              <w:rPr>
                <w:rFonts w:cstheme="minorHAnsi"/>
                <w:lang w:val="en-GB"/>
              </w:rPr>
            </w:pPr>
          </w:p>
        </w:tc>
      </w:tr>
      <w:tr w:rsidR="00BB0C77" w14:paraId="02B6E8B6" w14:textId="77777777" w:rsidTr="00BB0C77">
        <w:tc>
          <w:tcPr>
            <w:tcW w:w="3005" w:type="dxa"/>
          </w:tcPr>
          <w:p w14:paraId="6ED4FC6F" w14:textId="634E4030" w:rsidR="00BB0C77" w:rsidRDefault="00BB0C77" w:rsidP="00BB0C77">
            <w:pPr>
              <w:pStyle w:val="NoSpacing"/>
              <w:spacing w:line="48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3005" w:type="dxa"/>
          </w:tcPr>
          <w:p w14:paraId="7BE52468" w14:textId="77777777" w:rsidR="00BB0C77" w:rsidRDefault="00BB0C77" w:rsidP="00BB0C77">
            <w:pPr>
              <w:pStyle w:val="NoSpacing"/>
              <w:spacing w:line="480" w:lineRule="auto"/>
              <w:rPr>
                <w:rFonts w:cstheme="minorHAnsi"/>
                <w:lang w:val="en-GB"/>
              </w:rPr>
            </w:pPr>
          </w:p>
        </w:tc>
        <w:tc>
          <w:tcPr>
            <w:tcW w:w="3006" w:type="dxa"/>
          </w:tcPr>
          <w:p w14:paraId="20B2B42D" w14:textId="77777777" w:rsidR="00BB0C77" w:rsidRDefault="00BB0C77" w:rsidP="00BB0C77">
            <w:pPr>
              <w:pStyle w:val="NoSpacing"/>
              <w:spacing w:line="480" w:lineRule="auto"/>
              <w:rPr>
                <w:rFonts w:cstheme="minorHAnsi"/>
                <w:lang w:val="en-GB"/>
              </w:rPr>
            </w:pPr>
          </w:p>
        </w:tc>
      </w:tr>
    </w:tbl>
    <w:p w14:paraId="3DE233D3" w14:textId="77777777" w:rsidR="00BB0C77" w:rsidRPr="00BB0C77" w:rsidRDefault="00BB0C77" w:rsidP="00BB0C77">
      <w:pPr>
        <w:pStyle w:val="NoSpacing"/>
        <w:spacing w:line="480" w:lineRule="auto"/>
        <w:rPr>
          <w:rFonts w:cstheme="minorHAnsi"/>
          <w:lang w:val="en-GB"/>
        </w:rPr>
      </w:pPr>
    </w:p>
    <w:p w14:paraId="0C01253F" w14:textId="7CF4663E" w:rsidR="00BB0C77" w:rsidRDefault="00BB0C7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Code</w:t>
      </w:r>
    </w:p>
    <w:p w14:paraId="1033108F" w14:textId="77777777" w:rsidR="003534EE" w:rsidRDefault="003534EE" w:rsidP="003534EE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Filter instances =+4</w:t>
      </w:r>
    </w:p>
    <w:p w14:paraId="2A4F42E1" w14:textId="120EEE35" w:rsidR="003534EE" w:rsidRDefault="00BB0C7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New variable: </w:t>
      </w:r>
    </w:p>
    <w:p w14:paraId="0F292613" w14:textId="40A6ADD3" w:rsidR="00BB0C77" w:rsidRDefault="00BB0C77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Consumer if </w:t>
      </w:r>
      <w:proofErr w:type="gramStart"/>
      <w:r>
        <w:rPr>
          <w:rFonts w:cstheme="minorHAnsi"/>
          <w:lang w:val="en-GB"/>
        </w:rPr>
        <w:t>26086!=</w:t>
      </w:r>
      <w:proofErr w:type="gramEnd"/>
      <w:r>
        <w:rPr>
          <w:rFonts w:cstheme="minorHAnsi"/>
          <w:lang w:val="en-GB"/>
        </w:rPr>
        <w:t>0 or 26101!=0 or 26136!=0 or 104280!=0</w:t>
      </w:r>
    </w:p>
    <w:p w14:paraId="3E1DED9E" w14:textId="75C20083" w:rsidR="003534EE" w:rsidRDefault="003534EE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recalls &lt;- instances %&lt;% new data frame? </w:t>
      </w:r>
    </w:p>
    <w:p w14:paraId="271BB60B" w14:textId="78792B3B" w:rsidR="00BB0C77" w:rsidRDefault="00BB0C77">
      <w:pPr>
        <w:rPr>
          <w:rFonts w:cstheme="minorHAnsi"/>
          <w:lang w:val="en-GB"/>
        </w:rPr>
      </w:pPr>
    </w:p>
    <w:p w14:paraId="5B7C6926" w14:textId="4EDAB43D" w:rsidR="001613AA" w:rsidRDefault="001613AA">
      <w:pPr>
        <w:rPr>
          <w:rFonts w:cstheme="minorHAnsi"/>
          <w:lang w:val="en-GB"/>
        </w:rPr>
      </w:pPr>
    </w:p>
    <w:p w14:paraId="37417568" w14:textId="4FB203A5" w:rsidR="001613AA" w:rsidRDefault="001613AA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Date of right censoring</w:t>
      </w:r>
    </w:p>
    <w:p w14:paraId="7B42A229" w14:textId="4653FB33" w:rsidR="001613AA" w:rsidRPr="00BB0C77" w:rsidRDefault="001613AA">
      <w:pPr>
        <w:rPr>
          <w:rFonts w:cstheme="minorHAnsi"/>
          <w:lang w:val="en-GB"/>
        </w:rPr>
      </w:pPr>
      <w:r>
        <w:rPr>
          <w:lang w:val="en-US"/>
        </w:rPr>
        <w:t>Crosstab of outcome and dates to see if there is a decline and then censor after decline</w:t>
      </w:r>
    </w:p>
    <w:sectPr w:rsidR="001613AA" w:rsidRPr="00BB0C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C77"/>
    <w:rsid w:val="001613AA"/>
    <w:rsid w:val="003534EE"/>
    <w:rsid w:val="00637B31"/>
    <w:rsid w:val="007F2364"/>
    <w:rsid w:val="00BB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82FE"/>
  <w15:chartTrackingRefBased/>
  <w15:docId w15:val="{2B628A15-7EAA-4884-BC44-55E754E5D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0C77"/>
    <w:pPr>
      <w:spacing w:after="0" w:line="240" w:lineRule="auto"/>
    </w:pPr>
  </w:style>
  <w:style w:type="table" w:styleId="TableGrid">
    <w:name w:val="Table Grid"/>
    <w:basedOn w:val="TableNormal"/>
    <w:uiPriority w:val="39"/>
    <w:rsid w:val="00BB0C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8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University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 Langmann</dc:creator>
  <cp:keywords/>
  <dc:description/>
  <cp:lastModifiedBy>Fie Langmann</cp:lastModifiedBy>
  <cp:revision>2</cp:revision>
  <dcterms:created xsi:type="dcterms:W3CDTF">2022-12-07T11:41:00Z</dcterms:created>
  <dcterms:modified xsi:type="dcterms:W3CDTF">2022-12-07T12:57:00Z</dcterms:modified>
</cp:coreProperties>
</file>