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000000"/>
          <w:sz w:val="44"/>
        </w:rPr>
        <w:t>Travler — Week 1 Customer Insight Analysis</w:t>
      </w:r>
    </w:p>
    <w:p>
      <w:pPr>
        <w:spacing w:after="200"/>
      </w:pPr>
      <w:r>
        <w:rPr>
          <w:b w:val="0"/>
          <w:i/>
          <w:color w:val="000000"/>
          <w:sz w:val="22"/>
        </w:rPr>
        <w:t>Marketing Team Submission  |  Behavioural Analysis &amp; Segmentation</w:t>
      </w:r>
    </w:p>
    <w:p>
      <w:pPr>
        <w:spacing w:before="280" w:after="80"/>
      </w:pPr>
      <w:r>
        <w:rPr>
          <w:b/>
          <w:i w:val="0"/>
          <w:color w:val="000000"/>
          <w:sz w:val="32"/>
        </w:rPr>
        <w:t>1. Executive Summary</w:t>
      </w:r>
    </w:p>
    <w:p>
      <w:pPr>
        <w:spacing w:after="120"/>
      </w:pPr>
      <w:r>
        <w:rPr>
          <w:b w:val="0"/>
          <w:i w:val="0"/>
          <w:color w:val="000000"/>
          <w:sz w:val="20"/>
        </w:rPr>
        <w:t>Travler does not have a traffic problem. The platform is attracting users who actively search routes and compare prices. The problem is conversion — only 45% of users (9 of 20) completed a booking. The gap between traffic and bookings is explained by three compounding factors: mobile checkout friction, price uncertainty, and a mismatch between platform design and the behaviour of the platform's largest user groups.</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FFFFFF"/>
            <w:vAlign w:val="center"/>
          </w:tcPr>
          <w:p>
            <w:r>
              <w:rPr>
                <w:b/>
                <w:i w:val="0"/>
                <w:color w:val="000000"/>
                <w:sz w:val="18"/>
              </w:rPr>
              <w:t>Metric</w:t>
            </w:r>
          </w:p>
        </w:tc>
        <w:tc>
          <w:tcPr>
            <w:tcW w:type="dxa" w:w="1872"/>
            <w:shd w:val="clear" w:color="auto" w:fill="FFFFFF"/>
            <w:vAlign w:val="center"/>
          </w:tcPr>
          <w:p>
            <w:r>
              <w:rPr>
                <w:b/>
                <w:i w:val="0"/>
                <w:color w:val="000000"/>
                <w:sz w:val="18"/>
              </w:rPr>
              <w:t>Value</w:t>
            </w:r>
          </w:p>
        </w:tc>
        <w:tc>
          <w:tcPr>
            <w:tcW w:type="dxa" w:w="4032"/>
            <w:shd w:val="clear" w:color="auto" w:fill="FFFFFF"/>
            <w:vAlign w:val="center"/>
          </w:tcPr>
          <w:p>
            <w:r>
              <w:rPr>
                <w:b/>
                <w:i w:val="0"/>
                <w:color w:val="000000"/>
                <w:sz w:val="18"/>
              </w:rPr>
              <w:t>Implication</w:t>
            </w:r>
          </w:p>
        </w:tc>
      </w:tr>
      <w:tr>
        <w:tc>
          <w:tcPr>
            <w:tcW w:type="dxa" w:w="3168"/>
            <w:shd w:val="clear" w:color="auto" w:fill="F4F6F8"/>
            <w:vAlign w:val="center"/>
          </w:tcPr>
          <w:p>
            <w:r>
              <w:rPr>
                <w:b w:val="0"/>
                <w:i w:val="0"/>
                <w:color w:val="000000"/>
                <w:sz w:val="18"/>
              </w:rPr>
              <w:t>Overall Conversion Rate</w:t>
            </w:r>
          </w:p>
        </w:tc>
        <w:tc>
          <w:tcPr>
            <w:tcW w:type="dxa" w:w="1872"/>
            <w:shd w:val="clear" w:color="auto" w:fill="F4F6F8"/>
            <w:vAlign w:val="center"/>
          </w:tcPr>
          <w:p>
            <w:r>
              <w:rPr>
                <w:b w:val="0"/>
                <w:i w:val="0"/>
                <w:color w:val="000000"/>
                <w:sz w:val="18"/>
              </w:rPr>
              <w:t>45%  (9 / 20 users)</w:t>
            </w:r>
          </w:p>
        </w:tc>
        <w:tc>
          <w:tcPr>
            <w:tcW w:type="dxa" w:w="4032"/>
            <w:shd w:val="clear" w:color="auto" w:fill="F4F6F8"/>
            <w:vAlign w:val="center"/>
          </w:tcPr>
          <w:p>
            <w:r>
              <w:rPr>
                <w:b w:val="0"/>
                <w:i w:val="0"/>
                <w:color w:val="000000"/>
                <w:sz w:val="18"/>
              </w:rPr>
              <w:t>More than half of all users leave without booking</w:t>
            </w:r>
          </w:p>
        </w:tc>
      </w:tr>
      <w:tr>
        <w:tc>
          <w:tcPr>
            <w:tcW w:type="dxa" w:w="3168"/>
            <w:shd w:val="clear" w:color="auto" w:fill="FFFFFF"/>
            <w:vAlign w:val="center"/>
          </w:tcPr>
          <w:p>
            <w:r>
              <w:rPr>
                <w:b w:val="0"/>
                <w:i w:val="0"/>
                <w:color w:val="000000"/>
                <w:sz w:val="18"/>
              </w:rPr>
              <w:t>Desktop Conversion</w:t>
            </w:r>
          </w:p>
        </w:tc>
        <w:tc>
          <w:tcPr>
            <w:tcW w:type="dxa" w:w="1872"/>
            <w:shd w:val="clear" w:color="auto" w:fill="FFFFFF"/>
            <w:vAlign w:val="center"/>
          </w:tcPr>
          <w:p>
            <w:r>
              <w:rPr>
                <w:b w:val="0"/>
                <w:i w:val="0"/>
                <w:color w:val="000000"/>
                <w:sz w:val="18"/>
              </w:rPr>
              <w:t>86%</w:t>
            </w:r>
          </w:p>
        </w:tc>
        <w:tc>
          <w:tcPr>
            <w:tcW w:type="dxa" w:w="4032"/>
            <w:shd w:val="clear" w:color="auto" w:fill="FFFFFF"/>
            <w:vAlign w:val="center"/>
          </w:tcPr>
          <w:p>
            <w:r>
              <w:rPr>
                <w:b w:val="0"/>
                <w:i w:val="0"/>
                <w:color w:val="000000"/>
                <w:sz w:val="18"/>
              </w:rPr>
              <w:t>Desktop experience is working well</w:t>
            </w:r>
          </w:p>
        </w:tc>
      </w:tr>
      <w:tr>
        <w:tc>
          <w:tcPr>
            <w:tcW w:type="dxa" w:w="3168"/>
            <w:shd w:val="clear" w:color="auto" w:fill="F4F6F8"/>
            <w:vAlign w:val="center"/>
          </w:tcPr>
          <w:p>
            <w:r>
              <w:rPr>
                <w:b w:val="0"/>
                <w:i w:val="0"/>
                <w:color w:val="000000"/>
                <w:sz w:val="18"/>
              </w:rPr>
              <w:t>Mobile Conversion</w:t>
            </w:r>
          </w:p>
        </w:tc>
        <w:tc>
          <w:tcPr>
            <w:tcW w:type="dxa" w:w="1872"/>
            <w:shd w:val="clear" w:color="auto" w:fill="F4F6F8"/>
            <w:vAlign w:val="center"/>
          </w:tcPr>
          <w:p>
            <w:r>
              <w:rPr>
                <w:b w:val="0"/>
                <w:i w:val="0"/>
                <w:color w:val="000000"/>
                <w:sz w:val="18"/>
              </w:rPr>
              <w:t>23%</w:t>
            </w:r>
          </w:p>
        </w:tc>
        <w:tc>
          <w:tcPr>
            <w:tcW w:type="dxa" w:w="4032"/>
            <w:shd w:val="clear" w:color="auto" w:fill="F4F6F8"/>
            <w:vAlign w:val="center"/>
          </w:tcPr>
          <w:p>
            <w:r>
              <w:rPr>
                <w:b w:val="0"/>
                <w:i w:val="0"/>
                <w:color w:val="000000"/>
                <w:sz w:val="18"/>
              </w:rPr>
              <w:t>Mobile checkout is the single biggest drop-off point</w:t>
            </w:r>
          </w:p>
        </w:tc>
      </w:tr>
      <w:tr>
        <w:tc>
          <w:tcPr>
            <w:tcW w:type="dxa" w:w="3168"/>
            <w:shd w:val="clear" w:color="auto" w:fill="FFFFFF"/>
            <w:vAlign w:val="center"/>
          </w:tcPr>
          <w:p>
            <w:r>
              <w:rPr>
                <w:b w:val="0"/>
                <w:i w:val="0"/>
                <w:color w:val="000000"/>
                <w:sz w:val="18"/>
              </w:rPr>
              <w:t>Morning / Afternoon Conversion</w:t>
            </w:r>
          </w:p>
        </w:tc>
        <w:tc>
          <w:tcPr>
            <w:tcW w:type="dxa" w:w="1872"/>
            <w:shd w:val="clear" w:color="auto" w:fill="FFFFFF"/>
            <w:vAlign w:val="center"/>
          </w:tcPr>
          <w:p>
            <w:r>
              <w:rPr>
                <w:b w:val="0"/>
                <w:i w:val="0"/>
                <w:color w:val="000000"/>
                <w:sz w:val="18"/>
              </w:rPr>
              <w:t>83 – 100%</w:t>
            </w:r>
          </w:p>
        </w:tc>
        <w:tc>
          <w:tcPr>
            <w:tcW w:type="dxa" w:w="4032"/>
            <w:shd w:val="clear" w:color="auto" w:fill="FFFFFF"/>
            <w:vAlign w:val="center"/>
          </w:tcPr>
          <w:p>
            <w:r>
              <w:rPr>
                <w:b w:val="0"/>
                <w:i w:val="0"/>
                <w:color w:val="000000"/>
                <w:sz w:val="18"/>
              </w:rPr>
              <w:t>Focused users in low-distraction windows convert reliably</w:t>
            </w:r>
          </w:p>
        </w:tc>
      </w:tr>
      <w:tr>
        <w:tc>
          <w:tcPr>
            <w:tcW w:type="dxa" w:w="3168"/>
            <w:shd w:val="clear" w:color="auto" w:fill="F4F6F8"/>
            <w:vAlign w:val="center"/>
          </w:tcPr>
          <w:p>
            <w:r>
              <w:rPr>
                <w:b w:val="0"/>
                <w:i w:val="0"/>
                <w:color w:val="000000"/>
                <w:sz w:val="18"/>
              </w:rPr>
              <w:t>Evening / Night Conversion</w:t>
            </w:r>
          </w:p>
        </w:tc>
        <w:tc>
          <w:tcPr>
            <w:tcW w:type="dxa" w:w="1872"/>
            <w:shd w:val="clear" w:color="auto" w:fill="F4F6F8"/>
            <w:vAlign w:val="center"/>
          </w:tcPr>
          <w:p>
            <w:r>
              <w:rPr>
                <w:b w:val="0"/>
                <w:i w:val="0"/>
                <w:color w:val="000000"/>
                <w:sz w:val="18"/>
              </w:rPr>
              <w:t>0%</w:t>
            </w:r>
          </w:p>
        </w:tc>
        <w:tc>
          <w:tcPr>
            <w:tcW w:type="dxa" w:w="4032"/>
            <w:shd w:val="clear" w:color="auto" w:fill="F4F6F8"/>
            <w:vAlign w:val="center"/>
          </w:tcPr>
          <w:p>
            <w:r>
              <w:rPr>
                <w:b w:val="0"/>
                <w:i w:val="0"/>
                <w:color w:val="000000"/>
                <w:sz w:val="18"/>
              </w:rPr>
              <w:t>Distracted browsing sessions never complete</w:t>
            </w:r>
          </w:p>
        </w:tc>
      </w:tr>
      <w:tr>
        <w:tc>
          <w:tcPr>
            <w:tcW w:type="dxa" w:w="3168"/>
            <w:shd w:val="clear" w:color="auto" w:fill="FFFFFF"/>
            <w:vAlign w:val="center"/>
          </w:tcPr>
          <w:p>
            <w:r>
              <w:rPr>
                <w:b w:val="0"/>
                <w:i w:val="0"/>
                <w:color w:val="000000"/>
                <w:sz w:val="18"/>
              </w:rPr>
              <w:t>Avg. Searches — Converters</w:t>
            </w:r>
          </w:p>
        </w:tc>
        <w:tc>
          <w:tcPr>
            <w:tcW w:type="dxa" w:w="1872"/>
            <w:shd w:val="clear" w:color="auto" w:fill="FFFFFF"/>
            <w:vAlign w:val="center"/>
          </w:tcPr>
          <w:p>
            <w:r>
              <w:rPr>
                <w:b w:val="0"/>
                <w:i w:val="0"/>
                <w:color w:val="000000"/>
                <w:sz w:val="18"/>
              </w:rPr>
              <w:t>1.7</w:t>
            </w:r>
          </w:p>
        </w:tc>
        <w:tc>
          <w:tcPr>
            <w:tcW w:type="dxa" w:w="4032"/>
            <w:shd w:val="clear" w:color="auto" w:fill="FFFFFF"/>
            <w:vAlign w:val="center"/>
          </w:tcPr>
          <w:p>
            <w:r>
              <w:rPr>
                <w:b w:val="0"/>
                <w:i w:val="0"/>
                <w:color w:val="000000"/>
                <w:sz w:val="18"/>
              </w:rPr>
              <w:t>Low frequency = clear intent</w:t>
            </w:r>
          </w:p>
        </w:tc>
      </w:tr>
      <w:tr>
        <w:tc>
          <w:tcPr>
            <w:tcW w:type="dxa" w:w="3168"/>
            <w:shd w:val="clear" w:color="auto" w:fill="F4F6F8"/>
            <w:vAlign w:val="center"/>
          </w:tcPr>
          <w:p>
            <w:r>
              <w:rPr>
                <w:b w:val="0"/>
                <w:i w:val="0"/>
                <w:color w:val="000000"/>
                <w:sz w:val="18"/>
              </w:rPr>
              <w:t>Avg. Searches — Non-converters</w:t>
            </w:r>
          </w:p>
        </w:tc>
        <w:tc>
          <w:tcPr>
            <w:tcW w:type="dxa" w:w="1872"/>
            <w:shd w:val="clear" w:color="auto" w:fill="F4F6F8"/>
            <w:vAlign w:val="center"/>
          </w:tcPr>
          <w:p>
            <w:r>
              <w:rPr>
                <w:b w:val="0"/>
                <w:i w:val="0"/>
                <w:color w:val="000000"/>
                <w:sz w:val="18"/>
              </w:rPr>
              <w:t>4.5</w:t>
            </w:r>
          </w:p>
        </w:tc>
        <w:tc>
          <w:tcPr>
            <w:tcW w:type="dxa" w:w="4032"/>
            <w:shd w:val="clear" w:color="auto" w:fill="F4F6F8"/>
            <w:vAlign w:val="center"/>
          </w:tcPr>
          <w:p>
            <w:r>
              <w:rPr>
                <w:b w:val="0"/>
                <w:i w:val="0"/>
                <w:color w:val="000000"/>
                <w:sz w:val="18"/>
              </w:rPr>
              <w:t>High frequency = price uncertainty and hesitation</w:t>
            </w:r>
          </w:p>
        </w:tc>
      </w:tr>
    </w:tbl>
    <w:p/>
    <w:p>
      <w:pPr>
        <w:spacing w:before="280" w:after="80"/>
      </w:pPr>
      <w:r>
        <w:rPr>
          <w:b/>
          <w:i w:val="0"/>
          <w:color w:val="000000"/>
          <w:sz w:val="32"/>
        </w:rPr>
        <w:t>2. Behavioural Patterns</w:t>
      </w:r>
    </w:p>
    <w:p>
      <w:pPr>
        <w:spacing w:after="120"/>
      </w:pPr>
      <w:r>
        <w:rPr>
          <w:b w:val="0"/>
          <w:i w:val="0"/>
          <w:color w:val="000000"/>
          <w:sz w:val="20"/>
        </w:rPr>
        <w:t>The dataset was analysed across five dimensions — travel purpose, age group, device, time of search, and search frequency — to identify which factors consistently predict whether a user books or abandons.</w:t>
      </w:r>
    </w:p>
    <w:p>
      <w:pPr>
        <w:spacing w:before="160" w:after="80"/>
      </w:pPr>
      <w:r>
        <w:rPr>
          <w:b/>
          <w:i w:val="0"/>
          <w:color w:val="000000"/>
          <w:sz w:val="24"/>
        </w:rPr>
        <w:t>2.1  Conversion by Travel Purpose</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FFFFFF"/>
            <w:vAlign w:val="center"/>
          </w:tcPr>
          <w:p>
            <w:r>
              <w:rPr>
                <w:b/>
                <w:i w:val="0"/>
                <w:color w:val="000000"/>
                <w:sz w:val="18"/>
              </w:rPr>
              <w:t>Travel Purpose</w:t>
            </w:r>
          </w:p>
        </w:tc>
        <w:tc>
          <w:tcPr>
            <w:tcW w:type="dxa" w:w="1872"/>
            <w:shd w:val="clear" w:color="auto" w:fill="FFFFFF"/>
            <w:vAlign w:val="center"/>
          </w:tcPr>
          <w:p>
            <w:r>
              <w:rPr>
                <w:b/>
                <w:i w:val="0"/>
                <w:color w:val="000000"/>
                <w:sz w:val="18"/>
              </w:rPr>
              <w:t>Conversion Rate</w:t>
            </w:r>
          </w:p>
        </w:tc>
        <w:tc>
          <w:tcPr>
            <w:tcW w:type="dxa" w:w="5040"/>
            <w:shd w:val="clear" w:color="auto" w:fill="FFFFFF"/>
            <w:vAlign w:val="center"/>
          </w:tcPr>
          <w:p>
            <w:r>
              <w:rPr>
                <w:b/>
                <w:i w:val="0"/>
                <w:color w:val="000000"/>
                <w:sz w:val="18"/>
              </w:rPr>
              <w:t>Interpretation</w:t>
            </w:r>
          </w:p>
        </w:tc>
      </w:tr>
      <w:tr>
        <w:tc>
          <w:tcPr>
            <w:tcW w:type="dxa" w:w="2160"/>
            <w:shd w:val="clear" w:color="auto" w:fill="F4F6F8"/>
            <w:vAlign w:val="center"/>
          </w:tcPr>
          <w:p>
            <w:r>
              <w:rPr>
                <w:b w:val="0"/>
                <w:i w:val="0"/>
                <w:color w:val="000000"/>
                <w:sz w:val="18"/>
              </w:rPr>
              <w:t>Family</w:t>
            </w:r>
          </w:p>
        </w:tc>
        <w:tc>
          <w:tcPr>
            <w:tcW w:type="dxa" w:w="1872"/>
            <w:shd w:val="clear" w:color="auto" w:fill="F4F6F8"/>
            <w:vAlign w:val="center"/>
          </w:tcPr>
          <w:p>
            <w:r>
              <w:rPr>
                <w:b/>
                <w:i w:val="0"/>
                <w:color w:val="000000"/>
                <w:sz w:val="18"/>
              </w:rPr>
              <w:t>100%</w:t>
            </w:r>
          </w:p>
        </w:tc>
        <w:tc>
          <w:tcPr>
            <w:tcW w:type="dxa" w:w="5040"/>
            <w:shd w:val="clear" w:color="auto" w:fill="F4F6F8"/>
            <w:vAlign w:val="center"/>
          </w:tcPr>
          <w:p>
            <w:r>
              <w:rPr>
                <w:b w:val="0"/>
                <w:i w:val="0"/>
                <w:color w:val="000000"/>
                <w:sz w:val="18"/>
              </w:rPr>
              <w:t>Committed and purposeful — searches once and books</w:t>
            </w:r>
          </w:p>
        </w:tc>
      </w:tr>
      <w:tr>
        <w:tc>
          <w:tcPr>
            <w:tcW w:type="dxa" w:w="2160"/>
            <w:shd w:val="clear" w:color="auto" w:fill="FFFFFF"/>
            <w:vAlign w:val="center"/>
          </w:tcPr>
          <w:p>
            <w:r>
              <w:rPr>
                <w:b w:val="0"/>
                <w:i w:val="0"/>
                <w:color w:val="000000"/>
                <w:sz w:val="18"/>
              </w:rPr>
              <w:t>Business</w:t>
            </w:r>
          </w:p>
        </w:tc>
        <w:tc>
          <w:tcPr>
            <w:tcW w:type="dxa" w:w="1872"/>
            <w:shd w:val="clear" w:color="auto" w:fill="FFFFFF"/>
            <w:vAlign w:val="center"/>
          </w:tcPr>
          <w:p>
            <w:r>
              <w:rPr>
                <w:b/>
                <w:i w:val="0"/>
                <w:color w:val="000000"/>
                <w:sz w:val="18"/>
              </w:rPr>
              <w:t>83%</w:t>
            </w:r>
          </w:p>
        </w:tc>
        <w:tc>
          <w:tcPr>
            <w:tcW w:type="dxa" w:w="5040"/>
            <w:shd w:val="clear" w:color="auto" w:fill="FFFFFF"/>
            <w:vAlign w:val="center"/>
          </w:tcPr>
          <w:p>
            <w:r>
              <w:rPr>
                <w:b w:val="0"/>
                <w:i w:val="0"/>
                <w:color w:val="000000"/>
                <w:sz w:val="18"/>
              </w:rPr>
              <w:t>Clear intent, time-sensitive, low tolerance for friction</w:t>
            </w:r>
          </w:p>
        </w:tc>
      </w:tr>
      <w:tr>
        <w:tc>
          <w:tcPr>
            <w:tcW w:type="dxa" w:w="2160"/>
            <w:shd w:val="clear" w:color="auto" w:fill="F4F6F8"/>
            <w:vAlign w:val="center"/>
          </w:tcPr>
          <w:p>
            <w:r>
              <w:rPr>
                <w:b w:val="0"/>
                <w:i w:val="0"/>
                <w:color w:val="000000"/>
                <w:sz w:val="18"/>
              </w:rPr>
              <w:t>Leisure</w:t>
            </w:r>
          </w:p>
        </w:tc>
        <w:tc>
          <w:tcPr>
            <w:tcW w:type="dxa" w:w="1872"/>
            <w:shd w:val="clear" w:color="auto" w:fill="F4F6F8"/>
            <w:vAlign w:val="center"/>
          </w:tcPr>
          <w:p>
            <w:r>
              <w:rPr>
                <w:b/>
                <w:i w:val="0"/>
                <w:color w:val="000000"/>
                <w:sz w:val="18"/>
              </w:rPr>
              <w:t>20%</w:t>
            </w:r>
          </w:p>
        </w:tc>
        <w:tc>
          <w:tcPr>
            <w:tcW w:type="dxa" w:w="5040"/>
            <w:shd w:val="clear" w:color="auto" w:fill="F4F6F8"/>
            <w:vAlign w:val="center"/>
          </w:tcPr>
          <w:p>
            <w:r>
              <w:rPr>
                <w:b w:val="0"/>
                <w:i w:val="0"/>
                <w:color w:val="000000"/>
                <w:sz w:val="18"/>
              </w:rPr>
              <w:t>Interested but not urgent — comparing options</w:t>
            </w:r>
          </w:p>
        </w:tc>
      </w:tr>
      <w:tr>
        <w:tc>
          <w:tcPr>
            <w:tcW w:type="dxa" w:w="2160"/>
            <w:shd w:val="clear" w:color="auto" w:fill="FFFFFF"/>
            <w:vAlign w:val="center"/>
          </w:tcPr>
          <w:p>
            <w:r>
              <w:rPr>
                <w:b w:val="0"/>
                <w:i w:val="0"/>
                <w:color w:val="000000"/>
                <w:sz w:val="18"/>
              </w:rPr>
              <w:t>Student</w:t>
            </w:r>
          </w:p>
        </w:tc>
        <w:tc>
          <w:tcPr>
            <w:tcW w:type="dxa" w:w="1872"/>
            <w:shd w:val="clear" w:color="auto" w:fill="FFFFFF"/>
            <w:vAlign w:val="center"/>
          </w:tcPr>
          <w:p>
            <w:r>
              <w:rPr>
                <w:b/>
                <w:i w:val="0"/>
                <w:color w:val="000000"/>
                <w:sz w:val="18"/>
              </w:rPr>
              <w:t>0%</w:t>
            </w:r>
          </w:p>
        </w:tc>
        <w:tc>
          <w:tcPr>
            <w:tcW w:type="dxa" w:w="5040"/>
            <w:shd w:val="clear" w:color="auto" w:fill="FFFFFF"/>
            <w:vAlign w:val="center"/>
          </w:tcPr>
          <w:p>
            <w:r>
              <w:rPr>
                <w:b w:val="0"/>
                <w:i w:val="0"/>
                <w:color w:val="000000"/>
                <w:sz w:val="18"/>
              </w:rPr>
              <w:t>Highest search volume on the platform, zero bookings</w:t>
            </w:r>
          </w:p>
        </w:tc>
      </w:tr>
    </w:tbl>
    <w:p/>
    <w:p>
      <w:pPr>
        <w:spacing w:before="160" w:after="80"/>
      </w:pPr>
      <w:r>
        <w:rPr>
          <w:b/>
          <w:i w:val="0"/>
          <w:color w:val="000000"/>
          <w:sz w:val="24"/>
        </w:rPr>
        <w:t>2.2  Device Gap — The Biggest Single Finding</w:t>
      </w:r>
    </w:p>
    <w:p>
      <w:pPr>
        <w:spacing w:after="120"/>
      </w:pPr>
      <w:r>
        <w:rPr>
          <w:b w:val="0"/>
          <w:i w:val="0"/>
          <w:color w:val="000000"/>
          <w:sz w:val="20"/>
        </w:rPr>
        <w:t>Desktop users convert at 86%. Mobile users convert at 23%. This is not a content or pricing problem — it is a checkout experience problem. The payment form is harder to complete on a small screen, trust signals disappear on mobile layouts, and any interruption during a mobile session results in permanent abandonment. 76% of non-converters are on mobile.</w:t>
      </w:r>
    </w:p>
    <w:p>
      <w:pPr>
        <w:spacing w:before="160" w:after="80"/>
      </w:pPr>
      <w:r>
        <w:rPr>
          <w:b/>
          <w:i w:val="0"/>
          <w:color w:val="000000"/>
          <w:sz w:val="24"/>
        </w:rPr>
        <w:t>2.3  Time of Search</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FFFFFF"/>
            <w:vAlign w:val="center"/>
          </w:tcPr>
          <w:p>
            <w:r>
              <w:rPr>
                <w:b/>
                <w:i w:val="0"/>
                <w:color w:val="000000"/>
                <w:sz w:val="18"/>
              </w:rPr>
              <w:t>Time of Search</w:t>
            </w:r>
          </w:p>
        </w:tc>
        <w:tc>
          <w:tcPr>
            <w:tcW w:type="dxa" w:w="1872"/>
            <w:shd w:val="clear" w:color="auto" w:fill="FFFFFF"/>
            <w:vAlign w:val="center"/>
          </w:tcPr>
          <w:p>
            <w:r>
              <w:rPr>
                <w:b/>
                <w:i w:val="0"/>
                <w:color w:val="000000"/>
                <w:sz w:val="18"/>
              </w:rPr>
              <w:t>Conversion Rate</w:t>
            </w:r>
          </w:p>
        </w:tc>
        <w:tc>
          <w:tcPr>
            <w:tcW w:type="dxa" w:w="5040"/>
            <w:shd w:val="clear" w:color="auto" w:fill="FFFFFF"/>
            <w:vAlign w:val="center"/>
          </w:tcPr>
          <w:p>
            <w:r>
              <w:rPr>
                <w:b/>
                <w:i w:val="0"/>
                <w:color w:val="000000"/>
                <w:sz w:val="18"/>
              </w:rPr>
              <w:t>Context</w:t>
            </w:r>
          </w:p>
        </w:tc>
      </w:tr>
      <w:tr>
        <w:tc>
          <w:tcPr>
            <w:tcW w:type="dxa" w:w="2160"/>
            <w:shd w:val="clear" w:color="auto" w:fill="F4F6F8"/>
            <w:vAlign w:val="center"/>
          </w:tcPr>
          <w:p>
            <w:r>
              <w:rPr>
                <w:b w:val="0"/>
                <w:i w:val="0"/>
                <w:color w:val="000000"/>
                <w:sz w:val="18"/>
              </w:rPr>
              <w:t>Morning</w:t>
            </w:r>
          </w:p>
        </w:tc>
        <w:tc>
          <w:tcPr>
            <w:tcW w:type="dxa" w:w="1872"/>
            <w:shd w:val="clear" w:color="auto" w:fill="F4F6F8"/>
            <w:vAlign w:val="center"/>
          </w:tcPr>
          <w:p>
            <w:r>
              <w:rPr>
                <w:b/>
                <w:i w:val="0"/>
                <w:color w:val="000000"/>
                <w:sz w:val="18"/>
              </w:rPr>
              <w:t>83%</w:t>
            </w:r>
          </w:p>
        </w:tc>
        <w:tc>
          <w:tcPr>
            <w:tcW w:type="dxa" w:w="5040"/>
            <w:shd w:val="clear" w:color="auto" w:fill="F4F6F8"/>
            <w:vAlign w:val="center"/>
          </w:tcPr>
          <w:p>
            <w:r>
              <w:rPr>
                <w:b w:val="0"/>
                <w:i w:val="0"/>
                <w:color w:val="000000"/>
                <w:sz w:val="18"/>
              </w:rPr>
              <w:t>Focused and intentional — likely at a desk</w:t>
            </w:r>
          </w:p>
        </w:tc>
      </w:tr>
      <w:tr>
        <w:tc>
          <w:tcPr>
            <w:tcW w:type="dxa" w:w="2160"/>
            <w:shd w:val="clear" w:color="auto" w:fill="FFFFFF"/>
            <w:vAlign w:val="center"/>
          </w:tcPr>
          <w:p>
            <w:r>
              <w:rPr>
                <w:b w:val="0"/>
                <w:i w:val="0"/>
                <w:color w:val="000000"/>
                <w:sz w:val="18"/>
              </w:rPr>
              <w:t>Afternoon</w:t>
            </w:r>
          </w:p>
        </w:tc>
        <w:tc>
          <w:tcPr>
            <w:tcW w:type="dxa" w:w="1872"/>
            <w:shd w:val="clear" w:color="auto" w:fill="FFFFFF"/>
            <w:vAlign w:val="center"/>
          </w:tcPr>
          <w:p>
            <w:r>
              <w:rPr>
                <w:b/>
                <w:i w:val="0"/>
                <w:color w:val="000000"/>
                <w:sz w:val="18"/>
              </w:rPr>
              <w:t>100%</w:t>
            </w:r>
          </w:p>
        </w:tc>
        <w:tc>
          <w:tcPr>
            <w:tcW w:type="dxa" w:w="5040"/>
            <w:shd w:val="clear" w:color="auto" w:fill="FFFFFF"/>
            <w:vAlign w:val="center"/>
          </w:tcPr>
          <w:p>
            <w:r>
              <w:rPr>
                <w:b w:val="0"/>
                <w:i w:val="0"/>
                <w:color w:val="000000"/>
                <w:sz w:val="18"/>
              </w:rPr>
              <w:t>Peak conversion window — no distractions</w:t>
            </w:r>
          </w:p>
        </w:tc>
      </w:tr>
      <w:tr>
        <w:tc>
          <w:tcPr>
            <w:tcW w:type="dxa" w:w="2160"/>
            <w:shd w:val="clear" w:color="auto" w:fill="F4F6F8"/>
            <w:vAlign w:val="center"/>
          </w:tcPr>
          <w:p>
            <w:r>
              <w:rPr>
                <w:b w:val="0"/>
                <w:i w:val="0"/>
                <w:color w:val="000000"/>
                <w:sz w:val="18"/>
              </w:rPr>
              <w:t>Evening</w:t>
            </w:r>
          </w:p>
        </w:tc>
        <w:tc>
          <w:tcPr>
            <w:tcW w:type="dxa" w:w="1872"/>
            <w:shd w:val="clear" w:color="auto" w:fill="F4F6F8"/>
            <w:vAlign w:val="center"/>
          </w:tcPr>
          <w:p>
            <w:r>
              <w:rPr>
                <w:b/>
                <w:i w:val="0"/>
                <w:color w:val="000000"/>
                <w:sz w:val="18"/>
              </w:rPr>
              <w:t>0%</w:t>
            </w:r>
          </w:p>
        </w:tc>
        <w:tc>
          <w:tcPr>
            <w:tcW w:type="dxa" w:w="5040"/>
            <w:shd w:val="clear" w:color="auto" w:fill="F4F6F8"/>
            <w:vAlign w:val="center"/>
          </w:tcPr>
          <w:p>
            <w:r>
              <w:rPr>
                <w:b w:val="0"/>
                <w:i w:val="0"/>
                <w:color w:val="000000"/>
                <w:sz w:val="18"/>
              </w:rPr>
              <w:t>Browsing from mobile in a distracted environment</w:t>
            </w:r>
          </w:p>
        </w:tc>
      </w:tr>
      <w:tr>
        <w:tc>
          <w:tcPr>
            <w:tcW w:type="dxa" w:w="2160"/>
            <w:shd w:val="clear" w:color="auto" w:fill="FFFFFF"/>
            <w:vAlign w:val="center"/>
          </w:tcPr>
          <w:p>
            <w:r>
              <w:rPr>
                <w:b w:val="0"/>
                <w:i w:val="0"/>
                <w:color w:val="000000"/>
                <w:sz w:val="18"/>
              </w:rPr>
              <w:t>Night</w:t>
            </w:r>
          </w:p>
        </w:tc>
        <w:tc>
          <w:tcPr>
            <w:tcW w:type="dxa" w:w="1872"/>
            <w:shd w:val="clear" w:color="auto" w:fill="FFFFFF"/>
            <w:vAlign w:val="center"/>
          </w:tcPr>
          <w:p>
            <w:r>
              <w:rPr>
                <w:b/>
                <w:i w:val="0"/>
                <w:color w:val="000000"/>
                <w:sz w:val="18"/>
              </w:rPr>
              <w:t>0%</w:t>
            </w:r>
          </w:p>
        </w:tc>
        <w:tc>
          <w:tcPr>
            <w:tcW w:type="dxa" w:w="5040"/>
            <w:shd w:val="clear" w:color="auto" w:fill="FFFFFF"/>
            <w:vAlign w:val="center"/>
          </w:tcPr>
          <w:p>
            <w:r>
              <w:rPr>
                <w:b w:val="0"/>
                <w:i w:val="0"/>
                <w:color w:val="000000"/>
                <w:sz w:val="18"/>
              </w:rPr>
              <w:t>Late-night comparison shopping — never completes</w:t>
            </w:r>
          </w:p>
        </w:tc>
      </w:tr>
    </w:tbl>
    <w:p/>
    <w:p>
      <w:pPr>
        <w:spacing w:before="160" w:after="80"/>
      </w:pPr>
      <w:r>
        <w:rPr>
          <w:b/>
          <w:i w:val="0"/>
          <w:color w:val="000000"/>
          <w:sz w:val="24"/>
        </w:rPr>
        <w:t>2.4  Search Frequency as a Hesitation Signal</w:t>
      </w:r>
    </w:p>
    <w:p>
      <w:pPr>
        <w:spacing w:after="120"/>
      </w:pPr>
      <w:r>
        <w:rPr>
          <w:b w:val="0"/>
          <w:i w:val="0"/>
          <w:color w:val="000000"/>
          <w:sz w:val="20"/>
        </w:rPr>
        <w:t>Users who booked averaged 1.7 searches. Users who did not book averaged 4.5 searches. High search frequency does not signal growing intent — it signals that the user cannot find a reason to stop searching. The most common cause is price uncertainty: the user does not trust that the price they see is stable or the best available, so they keep checking. This is the same concern Brian O.'s support team is fielding on customer calls.</w:t>
      </w:r>
    </w:p>
    <w:p>
      <w:pPr>
        <w:spacing w:before="280" w:after="80"/>
      </w:pPr>
      <w:r>
        <w:rPr>
          <w:b/>
          <w:i w:val="0"/>
          <w:color w:val="000000"/>
          <w:sz w:val="32"/>
        </w:rPr>
        <w:t>3. Customer Segments</w:t>
      </w:r>
    </w:p>
    <w:p>
      <w:pPr>
        <w:spacing w:after="120"/>
      </w:pPr>
      <w:r>
        <w:rPr>
          <w:b w:val="0"/>
          <w:i w:val="0"/>
          <w:color w:val="000000"/>
          <w:sz w:val="20"/>
        </w:rPr>
        <w:t>Four distinct behavioural segments were identified by combining travel purpose, device, time of search, and search frequency. Each segment has a consistent profile that repeats across multiple users in the dataset.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880"/>
            <w:shd w:val="clear" w:color="auto" w:fill="FFFFFF"/>
            <w:vAlign w:val="center"/>
          </w:tcPr>
          <w:p>
            <w:r>
              <w:rPr>
                <w:b/>
                <w:i w:val="0"/>
                <w:color w:val="000000"/>
                <w:sz w:val="18"/>
              </w:rPr>
              <w:t>Segment</w:t>
            </w:r>
          </w:p>
        </w:tc>
        <w:tc>
          <w:tcPr>
            <w:tcW w:type="dxa" w:w="1008"/>
            <w:shd w:val="clear" w:color="auto" w:fill="FFFFFF"/>
            <w:vAlign w:val="center"/>
          </w:tcPr>
          <w:p>
            <w:r>
              <w:rPr>
                <w:b/>
                <w:i w:val="0"/>
                <w:color w:val="000000"/>
                <w:sz w:val="18"/>
              </w:rPr>
              <w:t>Age</w:t>
            </w:r>
          </w:p>
        </w:tc>
        <w:tc>
          <w:tcPr>
            <w:tcW w:type="dxa" w:w="1296"/>
            <w:shd w:val="clear" w:color="auto" w:fill="FFFFFF"/>
            <w:vAlign w:val="center"/>
          </w:tcPr>
          <w:p>
            <w:r>
              <w:rPr>
                <w:b/>
                <w:i w:val="0"/>
                <w:color w:val="000000"/>
                <w:sz w:val="18"/>
              </w:rPr>
              <w:t>Device</w:t>
            </w:r>
          </w:p>
        </w:tc>
        <w:tc>
          <w:tcPr>
            <w:tcW w:type="dxa" w:w="1440"/>
            <w:shd w:val="clear" w:color="auto" w:fill="FFFFFF"/>
            <w:vAlign w:val="center"/>
          </w:tcPr>
          <w:p>
            <w:r>
              <w:rPr>
                <w:b/>
                <w:i w:val="0"/>
                <w:color w:val="000000"/>
                <w:sz w:val="18"/>
              </w:rPr>
              <w:t>Time</w:t>
            </w:r>
          </w:p>
        </w:tc>
        <w:tc>
          <w:tcPr>
            <w:tcW w:type="dxa" w:w="1440"/>
            <w:shd w:val="clear" w:color="auto" w:fill="FFFFFF"/>
            <w:vAlign w:val="center"/>
          </w:tcPr>
          <w:p>
            <w:r>
              <w:rPr>
                <w:b/>
                <w:i w:val="0"/>
                <w:color w:val="000000"/>
                <w:sz w:val="18"/>
              </w:rPr>
              <w:t>Searches</w:t>
            </w:r>
          </w:p>
        </w:tc>
        <w:tc>
          <w:tcPr>
            <w:tcW w:type="dxa" w:w="1440"/>
            <w:shd w:val="clear" w:color="auto" w:fill="FFFFFF"/>
            <w:vAlign w:val="center"/>
          </w:tcPr>
          <w:p>
            <w:r>
              <w:rPr>
                <w:b/>
                <w:i w:val="0"/>
                <w:color w:val="000000"/>
                <w:sz w:val="18"/>
              </w:rPr>
              <w:t>Conversion</w:t>
            </w:r>
          </w:p>
        </w:tc>
      </w:tr>
      <w:tr>
        <w:tc>
          <w:tcPr>
            <w:tcW w:type="dxa" w:w="2880"/>
            <w:shd w:val="clear" w:color="auto" w:fill="F4F6F8"/>
            <w:vAlign w:val="center"/>
          </w:tcPr>
          <w:p>
            <w:r>
              <w:rPr>
                <w:b w:val="0"/>
                <w:i w:val="0"/>
                <w:color w:val="000000"/>
                <w:sz w:val="18"/>
              </w:rPr>
              <w:t>Decisive Business Traveller</w:t>
            </w:r>
          </w:p>
        </w:tc>
        <w:tc>
          <w:tcPr>
            <w:tcW w:type="dxa" w:w="1008"/>
            <w:shd w:val="clear" w:color="auto" w:fill="F4F6F8"/>
            <w:vAlign w:val="center"/>
          </w:tcPr>
          <w:p>
            <w:r>
              <w:rPr>
                <w:b w:val="0"/>
                <w:i w:val="0"/>
                <w:color w:val="000000"/>
                <w:sz w:val="18"/>
              </w:rPr>
              <w:t>25–44</w:t>
            </w:r>
          </w:p>
        </w:tc>
        <w:tc>
          <w:tcPr>
            <w:tcW w:type="dxa" w:w="1296"/>
            <w:shd w:val="clear" w:color="auto" w:fill="F4F6F8"/>
            <w:vAlign w:val="center"/>
          </w:tcPr>
          <w:p>
            <w:r>
              <w:rPr>
                <w:b w:val="0"/>
                <w:i w:val="0"/>
                <w:color w:val="000000"/>
                <w:sz w:val="18"/>
              </w:rPr>
              <w:t>Desktop</w:t>
            </w:r>
          </w:p>
        </w:tc>
        <w:tc>
          <w:tcPr>
            <w:tcW w:type="dxa" w:w="1440"/>
            <w:shd w:val="clear" w:color="auto" w:fill="F4F6F8"/>
            <w:vAlign w:val="center"/>
          </w:tcPr>
          <w:p>
            <w:r>
              <w:rPr>
                <w:b w:val="0"/>
                <w:i w:val="0"/>
                <w:color w:val="000000"/>
                <w:sz w:val="18"/>
              </w:rPr>
              <w:t>Morning</w:t>
            </w:r>
          </w:p>
        </w:tc>
        <w:tc>
          <w:tcPr>
            <w:tcW w:type="dxa" w:w="1440"/>
            <w:shd w:val="clear" w:color="auto" w:fill="F4F6F8"/>
            <w:vAlign w:val="center"/>
          </w:tcPr>
          <w:p>
            <w:r>
              <w:rPr>
                <w:b w:val="0"/>
                <w:i w:val="0"/>
                <w:color w:val="000000"/>
                <w:sz w:val="18"/>
              </w:rPr>
              <w:t>1–3</w:t>
            </w:r>
          </w:p>
        </w:tc>
        <w:tc>
          <w:tcPr>
            <w:tcW w:type="dxa" w:w="1440"/>
            <w:shd w:val="clear" w:color="auto" w:fill="F4F6F8"/>
            <w:vAlign w:val="center"/>
          </w:tcPr>
          <w:p>
            <w:r>
              <w:rPr>
                <w:b/>
                <w:i w:val="0"/>
                <w:color w:val="000000"/>
                <w:sz w:val="18"/>
              </w:rPr>
              <w:t>83%</w:t>
            </w:r>
          </w:p>
        </w:tc>
      </w:tr>
      <w:tr>
        <w:tc>
          <w:tcPr>
            <w:tcW w:type="dxa" w:w="2880"/>
            <w:shd w:val="clear" w:color="auto" w:fill="FFFFFF"/>
            <w:vAlign w:val="center"/>
          </w:tcPr>
          <w:p>
            <w:r>
              <w:rPr>
                <w:b w:val="0"/>
                <w:i w:val="0"/>
                <w:color w:val="000000"/>
                <w:sz w:val="18"/>
              </w:rPr>
              <w:t>Family Planner</w:t>
            </w:r>
          </w:p>
        </w:tc>
        <w:tc>
          <w:tcPr>
            <w:tcW w:type="dxa" w:w="1008"/>
            <w:shd w:val="clear" w:color="auto" w:fill="FFFFFF"/>
            <w:vAlign w:val="center"/>
          </w:tcPr>
          <w:p>
            <w:r>
              <w:rPr>
                <w:b w:val="0"/>
                <w:i w:val="0"/>
                <w:color w:val="000000"/>
                <w:sz w:val="18"/>
              </w:rPr>
              <w:t>45+</w:t>
            </w:r>
          </w:p>
        </w:tc>
        <w:tc>
          <w:tcPr>
            <w:tcW w:type="dxa" w:w="1296"/>
            <w:shd w:val="clear" w:color="auto" w:fill="FFFFFF"/>
            <w:vAlign w:val="center"/>
          </w:tcPr>
          <w:p>
            <w:r>
              <w:rPr>
                <w:b w:val="0"/>
                <w:i w:val="0"/>
                <w:color w:val="000000"/>
                <w:sz w:val="18"/>
              </w:rPr>
              <w:t>Mixed</w:t>
            </w:r>
          </w:p>
        </w:tc>
        <w:tc>
          <w:tcPr>
            <w:tcW w:type="dxa" w:w="1440"/>
            <w:shd w:val="clear" w:color="auto" w:fill="FFFFFF"/>
            <w:vAlign w:val="center"/>
          </w:tcPr>
          <w:p>
            <w:r>
              <w:rPr>
                <w:b w:val="0"/>
                <w:i w:val="0"/>
                <w:color w:val="000000"/>
                <w:sz w:val="18"/>
              </w:rPr>
              <w:t>Afternoon</w:t>
            </w:r>
          </w:p>
        </w:tc>
        <w:tc>
          <w:tcPr>
            <w:tcW w:type="dxa" w:w="1440"/>
            <w:shd w:val="clear" w:color="auto" w:fill="FFFFFF"/>
            <w:vAlign w:val="center"/>
          </w:tcPr>
          <w:p>
            <w:r>
              <w:rPr>
                <w:b w:val="0"/>
                <w:i w:val="0"/>
                <w:color w:val="000000"/>
                <w:sz w:val="18"/>
              </w:rPr>
              <w:t>1</w:t>
            </w:r>
          </w:p>
        </w:tc>
        <w:tc>
          <w:tcPr>
            <w:tcW w:type="dxa" w:w="1440"/>
            <w:shd w:val="clear" w:color="auto" w:fill="FFFFFF"/>
            <w:vAlign w:val="center"/>
          </w:tcPr>
          <w:p>
            <w:r>
              <w:rPr>
                <w:b/>
                <w:i w:val="0"/>
                <w:color w:val="000000"/>
                <w:sz w:val="18"/>
              </w:rPr>
              <w:t>100%</w:t>
            </w:r>
          </w:p>
        </w:tc>
      </w:tr>
      <w:tr>
        <w:tc>
          <w:tcPr>
            <w:tcW w:type="dxa" w:w="2880"/>
            <w:shd w:val="clear" w:color="auto" w:fill="F4F6F8"/>
            <w:vAlign w:val="center"/>
          </w:tcPr>
          <w:p>
            <w:r>
              <w:rPr>
                <w:b w:val="0"/>
                <w:i w:val="0"/>
                <w:color w:val="000000"/>
                <w:sz w:val="18"/>
              </w:rPr>
              <w:t>Casual Leisure Browser</w:t>
            </w:r>
          </w:p>
        </w:tc>
        <w:tc>
          <w:tcPr>
            <w:tcW w:type="dxa" w:w="1008"/>
            <w:shd w:val="clear" w:color="auto" w:fill="F4F6F8"/>
            <w:vAlign w:val="center"/>
          </w:tcPr>
          <w:p>
            <w:r>
              <w:rPr>
                <w:b w:val="0"/>
                <w:i w:val="0"/>
                <w:color w:val="000000"/>
                <w:sz w:val="18"/>
              </w:rPr>
              <w:t>25–44</w:t>
            </w:r>
          </w:p>
        </w:tc>
        <w:tc>
          <w:tcPr>
            <w:tcW w:type="dxa" w:w="1296"/>
            <w:shd w:val="clear" w:color="auto" w:fill="F4F6F8"/>
            <w:vAlign w:val="center"/>
          </w:tcPr>
          <w:p>
            <w:r>
              <w:rPr>
                <w:b w:val="0"/>
                <w:i w:val="0"/>
                <w:color w:val="000000"/>
                <w:sz w:val="18"/>
              </w:rPr>
              <w:t>Mobile</w:t>
            </w:r>
          </w:p>
        </w:tc>
        <w:tc>
          <w:tcPr>
            <w:tcW w:type="dxa" w:w="1440"/>
            <w:shd w:val="clear" w:color="auto" w:fill="F4F6F8"/>
            <w:vAlign w:val="center"/>
          </w:tcPr>
          <w:p>
            <w:r>
              <w:rPr>
                <w:b w:val="0"/>
                <w:i w:val="0"/>
                <w:color w:val="000000"/>
                <w:sz w:val="18"/>
              </w:rPr>
              <w:t>Evening</w:t>
            </w:r>
          </w:p>
        </w:tc>
        <w:tc>
          <w:tcPr>
            <w:tcW w:type="dxa" w:w="1440"/>
            <w:shd w:val="clear" w:color="auto" w:fill="F4F6F8"/>
            <w:vAlign w:val="center"/>
          </w:tcPr>
          <w:p>
            <w:r>
              <w:rPr>
                <w:b w:val="0"/>
                <w:i w:val="0"/>
                <w:color w:val="000000"/>
                <w:sz w:val="18"/>
              </w:rPr>
              <w:t>2–3</w:t>
            </w:r>
          </w:p>
        </w:tc>
        <w:tc>
          <w:tcPr>
            <w:tcW w:type="dxa" w:w="1440"/>
            <w:shd w:val="clear" w:color="auto" w:fill="F4F6F8"/>
            <w:vAlign w:val="center"/>
          </w:tcPr>
          <w:p>
            <w:r>
              <w:rPr>
                <w:b/>
                <w:i w:val="0"/>
                <w:color w:val="000000"/>
                <w:sz w:val="18"/>
              </w:rPr>
              <w:t>20%</w:t>
            </w:r>
          </w:p>
        </w:tc>
      </w:tr>
      <w:tr>
        <w:tc>
          <w:tcPr>
            <w:tcW w:type="dxa" w:w="2880"/>
            <w:shd w:val="clear" w:color="auto" w:fill="FFFFFF"/>
            <w:vAlign w:val="center"/>
          </w:tcPr>
          <w:p>
            <w:r>
              <w:rPr>
                <w:b w:val="0"/>
                <w:i w:val="0"/>
                <w:color w:val="000000"/>
                <w:sz w:val="18"/>
              </w:rPr>
              <w:t>Price-Sensitive Student</w:t>
            </w:r>
          </w:p>
        </w:tc>
        <w:tc>
          <w:tcPr>
            <w:tcW w:type="dxa" w:w="1008"/>
            <w:shd w:val="clear" w:color="auto" w:fill="FFFFFF"/>
            <w:vAlign w:val="center"/>
          </w:tcPr>
          <w:p>
            <w:r>
              <w:rPr>
                <w:b w:val="0"/>
                <w:i w:val="0"/>
                <w:color w:val="000000"/>
                <w:sz w:val="18"/>
              </w:rPr>
              <w:t>18–24</w:t>
            </w:r>
          </w:p>
        </w:tc>
        <w:tc>
          <w:tcPr>
            <w:tcW w:type="dxa" w:w="1296"/>
            <w:shd w:val="clear" w:color="auto" w:fill="FFFFFF"/>
            <w:vAlign w:val="center"/>
          </w:tcPr>
          <w:p>
            <w:r>
              <w:rPr>
                <w:b w:val="0"/>
                <w:i w:val="0"/>
                <w:color w:val="000000"/>
                <w:sz w:val="18"/>
              </w:rPr>
              <w:t>Mobile</w:t>
            </w:r>
          </w:p>
        </w:tc>
        <w:tc>
          <w:tcPr>
            <w:tcW w:type="dxa" w:w="1440"/>
            <w:shd w:val="clear" w:color="auto" w:fill="FFFFFF"/>
            <w:vAlign w:val="center"/>
          </w:tcPr>
          <w:p>
            <w:r>
              <w:rPr>
                <w:b w:val="0"/>
                <w:i w:val="0"/>
                <w:color w:val="000000"/>
                <w:sz w:val="18"/>
              </w:rPr>
              <w:t>Night</w:t>
            </w:r>
          </w:p>
        </w:tc>
        <w:tc>
          <w:tcPr>
            <w:tcW w:type="dxa" w:w="1440"/>
            <w:shd w:val="clear" w:color="auto" w:fill="FFFFFF"/>
            <w:vAlign w:val="center"/>
          </w:tcPr>
          <w:p>
            <w:r>
              <w:rPr>
                <w:b w:val="0"/>
                <w:i w:val="0"/>
                <w:color w:val="000000"/>
                <w:sz w:val="18"/>
              </w:rPr>
              <w:t>5–7</w:t>
            </w:r>
          </w:p>
        </w:tc>
        <w:tc>
          <w:tcPr>
            <w:tcW w:type="dxa" w:w="1440"/>
            <w:shd w:val="clear" w:color="auto" w:fill="FFFFFF"/>
            <w:vAlign w:val="center"/>
          </w:tcPr>
          <w:p>
            <w:r>
              <w:rPr>
                <w:b/>
                <w:i w:val="0"/>
                <w:color w:val="000000"/>
                <w:sz w:val="18"/>
              </w:rPr>
              <w:t>0%</w:t>
            </w:r>
          </w:p>
        </w:tc>
      </w:tr>
    </w:tbl>
    <w:p/>
    <w:p>
      <w:pPr>
        <w:spacing w:before="160" w:after="80"/>
      </w:pPr>
      <w:r>
        <w:rPr>
          <w:b/>
          <w:i w:val="0"/>
          <w:color w:val="000000"/>
          <w:sz w:val="24"/>
        </w:rPr>
        <w:t>Decisive Business Traveller — 83% conversion</w:t>
      </w:r>
    </w:p>
    <w:p>
      <w:pPr>
        <w:spacing w:after="120"/>
      </w:pPr>
      <w:r>
        <w:rPr>
          <w:b w:val="0"/>
          <w:i w:val="0"/>
          <w:color w:val="000000"/>
          <w:sz w:val="20"/>
        </w:rPr>
        <w:t>Knows the route, has a deadline, and books with minimal friction. Uses desktop in the morning and searches 1–3 times before committing. Motivation: efficiency and reliability. Barrier: any friction in the checkout flow.</w:t>
      </w:r>
    </w:p>
    <w:p>
      <w:pPr>
        <w:spacing w:before="160" w:after="80"/>
      </w:pPr>
      <w:r>
        <w:rPr>
          <w:b/>
          <w:i w:val="0"/>
          <w:color w:val="000000"/>
          <w:sz w:val="24"/>
        </w:rPr>
        <w:t>Family Planner — 100% conversion</w:t>
      </w:r>
    </w:p>
    <w:p>
      <w:pPr>
        <w:spacing w:after="120"/>
      </w:pPr>
      <w:r>
        <w:rPr>
          <w:b w:val="0"/>
          <w:i w:val="0"/>
          <w:color w:val="000000"/>
          <w:sz w:val="20"/>
        </w:rPr>
        <w:t>The most reliable converter on the platform. Searches once in the afternoon and commits immediately. Motivation: certainty and trust. Barrier: confusion or complexity in the booking process.</w:t>
      </w:r>
    </w:p>
    <w:p>
      <w:pPr>
        <w:spacing w:before="160" w:after="80"/>
      </w:pPr>
      <w:r>
        <w:rPr>
          <w:b/>
          <w:i w:val="0"/>
          <w:color w:val="000000"/>
          <w:sz w:val="24"/>
        </w:rPr>
        <w:t>Casual Leisure Browser — 20% conversion</w:t>
      </w:r>
    </w:p>
    <w:p>
      <w:pPr>
        <w:spacing w:after="120"/>
      </w:pPr>
      <w:r>
        <w:rPr>
          <w:b w:val="0"/>
          <w:i w:val="0"/>
          <w:color w:val="000000"/>
          <w:sz w:val="20"/>
        </w:rPr>
        <w:t>Interested but not urgent. Browses on mobile in the evening while multitasking. Compares 2–3 options but rarely commits. Motivation: finding the best deal. Barrier: mobile checkout friction and no urgency trigger.</w:t>
      </w:r>
    </w:p>
    <w:p>
      <w:pPr>
        <w:spacing w:before="160" w:after="80"/>
      </w:pPr>
      <w:r>
        <w:rPr>
          <w:b/>
          <w:i w:val="0"/>
          <w:color w:val="000000"/>
          <w:sz w:val="24"/>
        </w:rPr>
        <w:t>Price-Sensitive Student Searcher — 0% conversion</w:t>
      </w:r>
    </w:p>
    <w:p>
      <w:pPr>
        <w:spacing w:after="120"/>
      </w:pPr>
      <w:r>
        <w:rPr>
          <w:b w:val="0"/>
          <w:i w:val="0"/>
          <w:color w:val="000000"/>
          <w:sz w:val="20"/>
        </w:rPr>
        <w:t>The most active searcher on the platform — 5 to 7 searches per session — but never books. Uses mobile at night. Motivation: travel intent is real. Barrier: price is the hard block. No discount, no pay-later option means no booking.</w:t>
      </w:r>
    </w:p>
    <w:p>
      <w:pPr>
        <w:spacing w:before="280" w:after="80"/>
      </w:pPr>
      <w:r>
        <w:rPr>
          <w:b/>
          <w:i w:val="0"/>
          <w:color w:val="000000"/>
          <w:sz w:val="32"/>
        </w:rPr>
        <w:t>4. Motivations and Barriers</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FFFFFF"/>
            <w:vAlign w:val="center"/>
          </w:tcPr>
          <w:p>
            <w:r>
              <w:rPr>
                <w:b/>
                <w:i w:val="0"/>
                <w:color w:val="000000"/>
                <w:sz w:val="18"/>
              </w:rPr>
              <w:t>Factor</w:t>
            </w:r>
          </w:p>
        </w:tc>
        <w:tc>
          <w:tcPr>
            <w:tcW w:type="dxa" w:w="3888"/>
            <w:shd w:val="clear" w:color="auto" w:fill="FFFFFF"/>
            <w:vAlign w:val="center"/>
          </w:tcPr>
          <w:p>
            <w:r>
              <w:rPr>
                <w:b/>
                <w:i w:val="0"/>
                <w:color w:val="000000"/>
                <w:sz w:val="18"/>
              </w:rPr>
              <w:t>Motivations (drives booking)</w:t>
            </w:r>
          </w:p>
        </w:tc>
        <w:tc>
          <w:tcPr>
            <w:tcW w:type="dxa" w:w="3888"/>
            <w:shd w:val="clear" w:color="auto" w:fill="FFFFFF"/>
            <w:vAlign w:val="center"/>
          </w:tcPr>
          <w:p>
            <w:r>
              <w:rPr>
                <w:b/>
                <w:i w:val="0"/>
                <w:color w:val="000000"/>
                <w:sz w:val="18"/>
              </w:rPr>
              <w:t>Barriers (blocks booking)</w:t>
            </w:r>
          </w:p>
        </w:tc>
      </w:tr>
      <w:tr>
        <w:tc>
          <w:tcPr>
            <w:tcW w:type="dxa" w:w="1728"/>
            <w:shd w:val="clear" w:color="auto" w:fill="F4F6F8"/>
            <w:vAlign w:val="center"/>
          </w:tcPr>
          <w:p>
            <w:r>
              <w:rPr>
                <w:b w:val="0"/>
                <w:i w:val="0"/>
                <w:color w:val="000000"/>
                <w:sz w:val="18"/>
              </w:rPr>
              <w:t>Device</w:t>
            </w:r>
          </w:p>
        </w:tc>
        <w:tc>
          <w:tcPr>
            <w:tcW w:type="dxa" w:w="3888"/>
            <w:shd w:val="clear" w:color="auto" w:fill="F4F6F8"/>
            <w:vAlign w:val="center"/>
          </w:tcPr>
          <w:p>
            <w:r>
              <w:rPr>
                <w:b w:val="0"/>
                <w:i w:val="0"/>
                <w:color w:val="000000"/>
                <w:sz w:val="18"/>
              </w:rPr>
              <w:t>Desktop: full keyboard, autofill, trust signals visible</w:t>
            </w:r>
          </w:p>
        </w:tc>
        <w:tc>
          <w:tcPr>
            <w:tcW w:type="dxa" w:w="3888"/>
            <w:shd w:val="clear" w:color="auto" w:fill="F4F6F8"/>
            <w:vAlign w:val="center"/>
          </w:tcPr>
          <w:p>
            <w:r>
              <w:rPr>
                <w:b w:val="0"/>
                <w:i w:val="0"/>
                <w:color w:val="000000"/>
                <w:sz w:val="18"/>
              </w:rPr>
              <w:t>Mobile: small screen, autofill fails, trust signals hidden</w:t>
            </w:r>
          </w:p>
        </w:tc>
      </w:tr>
      <w:tr>
        <w:tc>
          <w:tcPr>
            <w:tcW w:type="dxa" w:w="1728"/>
            <w:shd w:val="clear" w:color="auto" w:fill="FFFFFF"/>
            <w:vAlign w:val="center"/>
          </w:tcPr>
          <w:p>
            <w:r>
              <w:rPr>
                <w:b w:val="0"/>
                <w:i w:val="0"/>
                <w:color w:val="000000"/>
                <w:sz w:val="18"/>
              </w:rPr>
              <w:t>Time of Search</w:t>
            </w:r>
          </w:p>
        </w:tc>
        <w:tc>
          <w:tcPr>
            <w:tcW w:type="dxa" w:w="3888"/>
            <w:shd w:val="clear" w:color="auto" w:fill="FFFFFF"/>
            <w:vAlign w:val="center"/>
          </w:tcPr>
          <w:p>
            <w:r>
              <w:rPr>
                <w:b w:val="0"/>
                <w:i w:val="0"/>
                <w:color w:val="000000"/>
                <w:sz w:val="18"/>
              </w:rPr>
              <w:t>Morning/Afternoon: focused, intentional sessions</w:t>
            </w:r>
          </w:p>
        </w:tc>
        <w:tc>
          <w:tcPr>
            <w:tcW w:type="dxa" w:w="3888"/>
            <w:shd w:val="clear" w:color="auto" w:fill="FFFFFF"/>
            <w:vAlign w:val="center"/>
          </w:tcPr>
          <w:p>
            <w:r>
              <w:rPr>
                <w:b w:val="0"/>
                <w:i w:val="0"/>
                <w:color w:val="000000"/>
                <w:sz w:val="18"/>
              </w:rPr>
              <w:t>Evening/Night: distracted environment, sessions abandoned</w:t>
            </w:r>
          </w:p>
        </w:tc>
      </w:tr>
      <w:tr>
        <w:tc>
          <w:tcPr>
            <w:tcW w:type="dxa" w:w="1728"/>
            <w:shd w:val="clear" w:color="auto" w:fill="F4F6F8"/>
            <w:vAlign w:val="center"/>
          </w:tcPr>
          <w:p>
            <w:r>
              <w:rPr>
                <w:b w:val="0"/>
                <w:i w:val="0"/>
                <w:color w:val="000000"/>
                <w:sz w:val="18"/>
              </w:rPr>
              <w:t>Search Frequency</w:t>
            </w:r>
          </w:p>
        </w:tc>
        <w:tc>
          <w:tcPr>
            <w:tcW w:type="dxa" w:w="3888"/>
            <w:shd w:val="clear" w:color="auto" w:fill="F4F6F8"/>
            <w:vAlign w:val="center"/>
          </w:tcPr>
          <w:p>
            <w:r>
              <w:rPr>
                <w:b w:val="0"/>
                <w:i w:val="0"/>
                <w:color w:val="000000"/>
                <w:sz w:val="18"/>
              </w:rPr>
              <w:t>1–2 searches: clear intent, low uncertainty</w:t>
            </w:r>
          </w:p>
        </w:tc>
        <w:tc>
          <w:tcPr>
            <w:tcW w:type="dxa" w:w="3888"/>
            <w:shd w:val="clear" w:color="auto" w:fill="F4F6F8"/>
            <w:vAlign w:val="center"/>
          </w:tcPr>
          <w:p>
            <w:r>
              <w:rPr>
                <w:b w:val="0"/>
                <w:i w:val="0"/>
                <w:color w:val="000000"/>
                <w:sz w:val="18"/>
              </w:rPr>
              <w:t>5–7 searches: price uncertainty, no confidence mechanism</w:t>
            </w:r>
          </w:p>
        </w:tc>
      </w:tr>
      <w:tr>
        <w:tc>
          <w:tcPr>
            <w:tcW w:type="dxa" w:w="1728"/>
            <w:shd w:val="clear" w:color="auto" w:fill="FFFFFF"/>
            <w:vAlign w:val="center"/>
          </w:tcPr>
          <w:p>
            <w:r>
              <w:rPr>
                <w:b w:val="0"/>
                <w:i w:val="0"/>
                <w:color w:val="000000"/>
                <w:sz w:val="18"/>
              </w:rPr>
              <w:t>Travel Purpose</w:t>
            </w:r>
          </w:p>
        </w:tc>
        <w:tc>
          <w:tcPr>
            <w:tcW w:type="dxa" w:w="3888"/>
            <w:shd w:val="clear" w:color="auto" w:fill="FFFFFF"/>
            <w:vAlign w:val="center"/>
          </w:tcPr>
          <w:p>
            <w:r>
              <w:rPr>
                <w:b w:val="0"/>
                <w:i w:val="0"/>
                <w:color w:val="000000"/>
                <w:sz w:val="18"/>
              </w:rPr>
              <w:t>Business/Family: clear need, deadline, or commitment</w:t>
            </w:r>
          </w:p>
        </w:tc>
        <w:tc>
          <w:tcPr>
            <w:tcW w:type="dxa" w:w="3888"/>
            <w:shd w:val="clear" w:color="auto" w:fill="FFFFFF"/>
            <w:vAlign w:val="center"/>
          </w:tcPr>
          <w:p>
            <w:r>
              <w:rPr>
                <w:b w:val="0"/>
                <w:i w:val="0"/>
                <w:color w:val="000000"/>
                <w:sz w:val="18"/>
              </w:rPr>
              <w:t>Student/Leisure: price-sensitive, no urgency, no trust anchor</w:t>
            </w:r>
          </w:p>
        </w:tc>
      </w:tr>
      <w:tr>
        <w:tc>
          <w:tcPr>
            <w:tcW w:type="dxa" w:w="1728"/>
            <w:shd w:val="clear" w:color="auto" w:fill="F4F6F8"/>
            <w:vAlign w:val="center"/>
          </w:tcPr>
          <w:p>
            <w:r>
              <w:rPr>
                <w:b w:val="0"/>
                <w:i w:val="0"/>
                <w:color w:val="000000"/>
                <w:sz w:val="18"/>
              </w:rPr>
              <w:t>Pricing</w:t>
            </w:r>
          </w:p>
        </w:tc>
        <w:tc>
          <w:tcPr>
            <w:tcW w:type="dxa" w:w="3888"/>
            <w:shd w:val="clear" w:color="auto" w:fill="F4F6F8"/>
            <w:vAlign w:val="center"/>
          </w:tcPr>
          <w:p>
            <w:r>
              <w:rPr>
                <w:b w:val="0"/>
                <w:i w:val="0"/>
                <w:color w:val="000000"/>
                <w:sz w:val="18"/>
              </w:rPr>
              <w:t>Stable, transparent pricing builds confidence to book</w:t>
            </w:r>
          </w:p>
        </w:tc>
        <w:tc>
          <w:tcPr>
            <w:tcW w:type="dxa" w:w="3888"/>
            <w:shd w:val="clear" w:color="auto" w:fill="F4F6F8"/>
            <w:vAlign w:val="center"/>
          </w:tcPr>
          <w:p>
            <w:r>
              <w:rPr>
                <w:b w:val="0"/>
                <w:i w:val="0"/>
                <w:color w:val="000000"/>
                <w:sz w:val="18"/>
              </w:rPr>
              <w:t>Inconsistent pricing triggers repeat searching without booking</w:t>
            </w:r>
          </w:p>
        </w:tc>
      </w:tr>
    </w:tbl>
    <w:p/>
    <w:p>
      <w:pPr>
        <w:spacing w:before="280" w:after="80"/>
      </w:pPr>
      <w:r>
        <w:rPr>
          <w:b/>
          <w:i w:val="0"/>
          <w:color w:val="000000"/>
          <w:sz w:val="32"/>
        </w:rPr>
        <w:t>5. Recommendations</w:t>
      </w:r>
    </w:p>
    <w:p>
      <w:pPr>
        <w:spacing w:before="160" w:after="80"/>
      </w:pPr>
      <w:r>
        <w:rPr>
          <w:b/>
          <w:i w:val="0"/>
          <w:color w:val="000000"/>
          <w:sz w:val="24"/>
        </w:rPr>
        <w:t>1. Fix Mobile Checkout</w:t>
      </w:r>
    </w:p>
    <w:p>
      <w:pPr>
        <w:spacing w:after="120"/>
      </w:pPr>
      <w:r>
        <w:rPr>
          <w:b w:val="0"/>
          <w:i w:val="0"/>
          <w:color w:val="000000"/>
          <w:sz w:val="20"/>
        </w:rPr>
        <w:t>76% of non-converters are on mobile. Simplify the payment form, increase tap target sizes, enable autofill for card details, and ensure trust signals remain visible on small screens. Add a progress indicator so users know how close they are to finishing.</w:t>
      </w:r>
    </w:p>
    <w:p>
      <w:pPr>
        <w:spacing w:before="160" w:after="80"/>
      </w:pPr>
      <w:r>
        <w:rPr>
          <w:b/>
          <w:i w:val="0"/>
          <w:color w:val="000000"/>
          <w:sz w:val="24"/>
        </w:rPr>
        <w:t>2. Retarget Evening and Night Abandoners</w:t>
      </w:r>
    </w:p>
    <w:p>
      <w:pPr>
        <w:spacing w:after="120"/>
      </w:pPr>
      <w:r>
        <w:rPr>
          <w:b w:val="0"/>
          <w:i w:val="0"/>
          <w:color w:val="000000"/>
          <w:sz w:val="20"/>
        </w:rPr>
        <w:t>Conversion at these times is 0%. Trigger an automated follow-up — push notification or email — within 1 hour of an abandoned session. The user had intent; they just did not complete in that window.</w:t>
      </w:r>
    </w:p>
    <w:p>
      <w:pPr>
        <w:spacing w:before="160" w:after="80"/>
      </w:pPr>
      <w:r>
        <w:rPr>
          <w:b/>
          <w:i w:val="0"/>
          <w:color w:val="000000"/>
          <w:sz w:val="24"/>
        </w:rPr>
        <w:t>3. Unlock the Student Segment</w:t>
      </w:r>
    </w:p>
    <w:p>
      <w:pPr>
        <w:spacing w:after="120"/>
      </w:pPr>
      <w:r>
        <w:rPr>
          <w:b w:val="0"/>
          <w:i w:val="0"/>
          <w:color w:val="000000"/>
          <w:sz w:val="20"/>
        </w:rPr>
        <w:t>Students are the most active searchers on the platform with 0% conversion. A student discount or pay-later option directly removes the price barrier and represents the largest untapped conversion opportunity on the platform.</w:t>
      </w:r>
    </w:p>
    <w:p>
      <w:pPr>
        <w:spacing w:before="160" w:after="80"/>
      </w:pPr>
      <w:r>
        <w:rPr>
          <w:b/>
          <w:i w:val="0"/>
          <w:color w:val="000000"/>
          <w:sz w:val="24"/>
        </w:rPr>
        <w:t>4. Protect Business and Family Users</w:t>
      </w:r>
    </w:p>
    <w:p>
      <w:pPr>
        <w:spacing w:after="120"/>
      </w:pPr>
      <w:r>
        <w:rPr>
          <w:b w:val="0"/>
          <w:i w:val="0"/>
          <w:color w:val="000000"/>
          <w:sz w:val="20"/>
        </w:rPr>
        <w:t>These segments already convert at 83–100%. Keep the desktop experience frictionless and introduce loyalty perks — saved routes, priority booking — to increase repeat visits and lifetime value.</w:t>
      </w:r>
    </w:p>
    <w:p>
      <w:pPr>
        <w:spacing w:before="160" w:after="80"/>
      </w:pPr>
      <w:r>
        <w:rPr>
          <w:b/>
          <w:i w:val="0"/>
          <w:color w:val="000000"/>
          <w:sz w:val="24"/>
        </w:rPr>
        <w:t>5. Add Pricing Transparency</w:t>
      </w:r>
    </w:p>
    <w:p>
      <w:pPr>
        <w:spacing w:after="120"/>
      </w:pPr>
      <w:r>
        <w:rPr>
          <w:b w:val="0"/>
          <w:i w:val="0"/>
          <w:color w:val="000000"/>
          <w:sz w:val="20"/>
        </w:rPr>
        <w:t>Repeated searches on the same route signal that users do not trust the price is stable. A Best Price Guarantee badge or fare-alert feature converts browsing into booking by removing the reason to keep searching. This also directly reduces the volume of pricing inquiries reaching Brian O.'s support team.</w:t>
      </w:r>
    </w:p>
    <w:p>
      <w:pPr>
        <w:spacing w:before="280" w:after="80"/>
      </w:pPr>
      <w:r>
        <w:rPr>
          <w:b/>
          <w:i w:val="0"/>
          <w:color w:val="000000"/>
          <w:sz w:val="32"/>
        </w:rPr>
        <w:t>6. Conclusion</w:t>
      </w:r>
    </w:p>
    <w:p>
      <w:pPr>
        <w:spacing w:after="120"/>
      </w:pPr>
      <w:r>
        <w:rPr>
          <w:b w:val="0"/>
          <w:i w:val="0"/>
          <w:color w:val="000000"/>
          <w:sz w:val="20"/>
        </w:rPr>
        <w:t>Travler's growth challenge is not a traffic problem — it is a conversion problem concentrated in specific, identifiable segments and touchpoints. The data shows precisely where losses are happening: mobile checkout, evening and night sessions, the student segment, and price uncertainty at the point of decision. The five recommendations above are each tied directly to a finding in the data. Addressing them in order of impact — mobile first, then pricing transparency, then segment-specific interventions — gives the marketing and operations teams a clear, evidence-based roadmap for improving conversion without increasing traffic acquisition spend.</w:t>
      </w:r>
    </w:p>
    <w:p/>
    <w:p>
      <w:r>
        <w:rPr>
          <w:b w:val="0"/>
          <w:i/>
          <w:color w:val="000000"/>
          <w:sz w:val="16"/>
        </w:rPr>
        <w:t>Travler  |  Week 1 Customer Insight  |  Dataset: 20 users  |  Analysis: search &amp; booking behaviour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