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i w:val="0"/>
          <w:color w:val="000000"/>
          <w:sz w:val="44"/>
        </w:rPr>
        <w:t>Travler — Week 3 Campaign Performance &amp; Sentiment Analysis</w:t>
      </w:r>
    </w:p>
    <w:p>
      <w:pPr>
        <w:spacing w:after="200"/>
      </w:pPr>
      <w:r>
        <w:rPr>
          <w:b w:val="0"/>
          <w:i/>
          <w:color w:val="000000"/>
          <w:sz w:val="22"/>
        </w:rPr>
        <w:t>Marketing Team Submission  |  Campaign Review, Customer Sentiment &amp; Brand Perception Strategy</w:t>
      </w:r>
    </w:p>
    <w:p>
      <w:pPr>
        <w:spacing w:before="280" w:after="80"/>
      </w:pPr>
      <w:r>
        <w:rPr>
          <w:b/>
          <w:i w:val="0"/>
          <w:color w:val="000000"/>
          <w:sz w:val="32"/>
        </w:rPr>
        <w:t>1. Executive Summary</w:t>
      </w:r>
    </w:p>
    <w:p>
      <w:pPr>
        <w:spacing w:after="120"/>
      </w:pPr>
      <w:r>
        <w:rPr>
          <w:b w:val="0"/>
          <w:i w:val="0"/>
          <w:color w:val="000000"/>
          <w:sz w:val="20"/>
        </w:rPr>
        <w:t>Travler is operating in a difficult environment this week. A customer complaint regarding a double-charge and delayed support response went viral, placing the brand under public scrutiny at the same time as a multi-channel paid campaign was running. The campaign data shows a clear performance split: Google Ads is delivering strong conversion rates of 12–15.7% for Business Travellers and Young Professionals, while TikTok is generating high impressions with conversion rates as low as 1.6%. Instagram sits in the middle, performing adequately on reach but not efficiently on cost per acquisition. Simultaneously, sentiment analysis across 10 customer comments reveals that 50% are negative, concentrated on X (Twitter), and centred on three themes: trust and platform legitimacy, payment and support failures, and price perception. This report addresses all four required tasks: four campaign performance insights, identification of high and underperforming channels, three sentiment themes, and three actionable recommendations.</w:t>
      </w:r>
    </w:p>
    <w:p>
      <w:pPr>
        <w:spacing w:before="160" w:after="80"/>
      </w:pPr>
      <w:r>
        <w:rPr>
          <w:b/>
          <w:i w:val="0"/>
          <w:color w:val="000000"/>
          <w:sz w:val="24"/>
        </w:rPr>
        <w:t>Internal Context</w:t>
      </w:r>
    </w:p>
    <w:p>
      <w:pPr>
        <w:spacing w:after="120"/>
      </w:pPr>
      <w:r>
        <w:rPr>
          <w:b w:val="0"/>
          <w:i w:val="0"/>
          <w:color w:val="000000"/>
          <w:sz w:val="20"/>
        </w:rPr>
        <w:t>Amina K. has flagged that the delayed support response has affected public perception and that the team needs a clear plan to rebuild trust. Diana K. has reported an increase in inbound complaints and inquiries, consistent with the sentiment data showing unresolved concerns about payments and refunds. The campaign performance concerns raised by the team are addressed directly in this report — the data shows the issue is not campaign volume but channel misalignment, with spend concentrated on platforms that are not converting at the same rate as Google Ads.</w:t>
      </w:r>
    </w:p>
    <w:tbl>
      <w:tblPr>
        <w:tblStyle w:val="TableGrid"/>
        <w:tblW w:type="auto" w:w="0"/>
        <w:tblLook w:firstColumn="1" w:firstRow="1" w:lastColumn="0" w:lastRow="0" w:noHBand="0" w:noVBand="1" w:val="04A0"/>
      </w:tblPr>
      <w:tblGrid>
        <w:gridCol w:w="3135"/>
        <w:gridCol w:w="3135"/>
        <w:gridCol w:w="3135"/>
      </w:tblGrid>
      <w:tr>
        <w:tc>
          <w:tcPr>
            <w:tcW w:type="dxa" w:w="3456"/>
            <w:shd w:val="clear" w:color="auto" w:fill="FFFFFF"/>
            <w:vAlign w:val="center"/>
          </w:tcPr>
          <w:p>
            <w:r>
              <w:rPr>
                <w:b/>
                <w:i w:val="0"/>
                <w:color w:val="000000"/>
                <w:sz w:val="18"/>
              </w:rPr>
              <w:t>Metric</w:t>
            </w:r>
          </w:p>
        </w:tc>
        <w:tc>
          <w:tcPr>
            <w:tcW w:type="dxa" w:w="2592"/>
            <w:shd w:val="clear" w:color="auto" w:fill="FFFFFF"/>
            <w:vAlign w:val="center"/>
          </w:tcPr>
          <w:p>
            <w:r>
              <w:rPr>
                <w:b/>
                <w:i w:val="0"/>
                <w:color w:val="000000"/>
                <w:sz w:val="18"/>
              </w:rPr>
              <w:t>Value</w:t>
            </w:r>
          </w:p>
        </w:tc>
        <w:tc>
          <w:tcPr>
            <w:tcW w:type="dxa" w:w="3744"/>
            <w:shd w:val="clear" w:color="auto" w:fill="FFFFFF"/>
            <w:vAlign w:val="center"/>
          </w:tcPr>
          <w:p>
            <w:r>
              <w:rPr>
                <w:b/>
                <w:i w:val="0"/>
                <w:color w:val="000000"/>
                <w:sz w:val="18"/>
              </w:rPr>
              <w:t>Implication</w:t>
            </w:r>
          </w:p>
        </w:tc>
      </w:tr>
      <w:tr>
        <w:tc>
          <w:tcPr>
            <w:tcW w:type="dxa" w:w="3456"/>
            <w:shd w:val="clear" w:color="auto" w:fill="F4F6F8"/>
            <w:vAlign w:val="center"/>
          </w:tcPr>
          <w:p>
            <w:r>
              <w:rPr>
                <w:b w:val="0"/>
                <w:i w:val="0"/>
                <w:color w:val="000000"/>
                <w:sz w:val="18"/>
              </w:rPr>
              <w:t>Total Campaigns Analysed</w:t>
            </w:r>
          </w:p>
        </w:tc>
        <w:tc>
          <w:tcPr>
            <w:tcW w:type="dxa" w:w="2592"/>
            <w:shd w:val="clear" w:color="auto" w:fill="F4F6F8"/>
            <w:vAlign w:val="center"/>
          </w:tcPr>
          <w:p>
            <w:r>
              <w:rPr>
                <w:b w:val="0"/>
                <w:i w:val="0"/>
                <w:color w:val="000000"/>
                <w:sz w:val="18"/>
              </w:rPr>
              <w:t>8 (C001–C008)</w:t>
            </w:r>
          </w:p>
        </w:tc>
        <w:tc>
          <w:tcPr>
            <w:tcW w:type="dxa" w:w="3744"/>
            <w:shd w:val="clear" w:color="auto" w:fill="F4F6F8"/>
            <w:vAlign w:val="center"/>
          </w:tcPr>
          <w:p>
            <w:r>
              <w:rPr>
                <w:b w:val="0"/>
                <w:i w:val="0"/>
                <w:color w:val="000000"/>
                <w:sz w:val="18"/>
              </w:rPr>
              <w:t>Across Instagram, TikTok, X, and Google Ads</w:t>
            </w:r>
          </w:p>
        </w:tc>
      </w:tr>
      <w:tr>
        <w:tc>
          <w:tcPr>
            <w:tcW w:type="dxa" w:w="3456"/>
            <w:shd w:val="clear" w:color="auto" w:fill="FFFFFF"/>
            <w:vAlign w:val="center"/>
          </w:tcPr>
          <w:p>
            <w:r>
              <w:rPr>
                <w:b w:val="0"/>
                <w:i w:val="0"/>
                <w:color w:val="000000"/>
                <w:sz w:val="18"/>
              </w:rPr>
              <w:t>Highest Conversion Rate</w:t>
            </w:r>
          </w:p>
        </w:tc>
        <w:tc>
          <w:tcPr>
            <w:tcW w:type="dxa" w:w="2592"/>
            <w:shd w:val="clear" w:color="auto" w:fill="FFFFFF"/>
            <w:vAlign w:val="center"/>
          </w:tcPr>
          <w:p>
            <w:r>
              <w:rPr>
                <w:b w:val="0"/>
                <w:i w:val="0"/>
                <w:color w:val="000000"/>
                <w:sz w:val="18"/>
              </w:rPr>
              <w:t>C006 — 15.7%</w:t>
            </w:r>
          </w:p>
        </w:tc>
        <w:tc>
          <w:tcPr>
            <w:tcW w:type="dxa" w:w="3744"/>
            <w:shd w:val="clear" w:color="auto" w:fill="FFFFFF"/>
            <w:vAlign w:val="center"/>
          </w:tcPr>
          <w:p>
            <w:r>
              <w:rPr>
                <w:b w:val="0"/>
                <w:i w:val="0"/>
                <w:color w:val="000000"/>
                <w:sz w:val="18"/>
              </w:rPr>
              <w:t>Google Ads, Business Travellers — highest ROI campaign</w:t>
            </w:r>
          </w:p>
        </w:tc>
      </w:tr>
      <w:tr>
        <w:tc>
          <w:tcPr>
            <w:tcW w:type="dxa" w:w="3456"/>
            <w:shd w:val="clear" w:color="auto" w:fill="F4F6F8"/>
            <w:vAlign w:val="center"/>
          </w:tcPr>
          <w:p>
            <w:r>
              <w:rPr>
                <w:b w:val="0"/>
                <w:i w:val="0"/>
                <w:color w:val="000000"/>
                <w:sz w:val="18"/>
              </w:rPr>
              <w:t>Lowest Conversion Rate</w:t>
            </w:r>
          </w:p>
        </w:tc>
        <w:tc>
          <w:tcPr>
            <w:tcW w:type="dxa" w:w="2592"/>
            <w:shd w:val="clear" w:color="auto" w:fill="F4F6F8"/>
            <w:vAlign w:val="center"/>
          </w:tcPr>
          <w:p>
            <w:r>
              <w:rPr>
                <w:b w:val="0"/>
                <w:i w:val="0"/>
                <w:color w:val="000000"/>
                <w:sz w:val="18"/>
              </w:rPr>
              <w:t>C003 / C008 — 1.6%</w:t>
            </w:r>
          </w:p>
        </w:tc>
        <w:tc>
          <w:tcPr>
            <w:tcW w:type="dxa" w:w="3744"/>
            <w:shd w:val="clear" w:color="auto" w:fill="F4F6F8"/>
            <w:vAlign w:val="center"/>
          </w:tcPr>
          <w:p>
            <w:r>
              <w:rPr>
                <w:b w:val="0"/>
                <w:i w:val="0"/>
                <w:color w:val="000000"/>
                <w:sz w:val="18"/>
              </w:rPr>
              <w:t>TikTok (both audiences) — reach without intent</w:t>
            </w:r>
          </w:p>
        </w:tc>
      </w:tr>
      <w:tr>
        <w:tc>
          <w:tcPr>
            <w:tcW w:type="dxa" w:w="3456"/>
            <w:shd w:val="clear" w:color="auto" w:fill="FFFFFF"/>
            <w:vAlign w:val="center"/>
          </w:tcPr>
          <w:p>
            <w:r>
              <w:rPr>
                <w:b w:val="0"/>
                <w:i w:val="0"/>
                <w:color w:val="000000"/>
                <w:sz w:val="18"/>
              </w:rPr>
              <w:t>Best Cost per Acquisition</w:t>
            </w:r>
          </w:p>
        </w:tc>
        <w:tc>
          <w:tcPr>
            <w:tcW w:type="dxa" w:w="2592"/>
            <w:shd w:val="clear" w:color="auto" w:fill="FFFFFF"/>
            <w:vAlign w:val="center"/>
          </w:tcPr>
          <w:p>
            <w:r>
              <w:rPr>
                <w:b w:val="0"/>
                <w:i w:val="0"/>
                <w:color w:val="000000"/>
                <w:sz w:val="18"/>
              </w:rPr>
              <w:t>C006 — KES 455</w:t>
            </w:r>
          </w:p>
        </w:tc>
        <w:tc>
          <w:tcPr>
            <w:tcW w:type="dxa" w:w="3744"/>
            <w:shd w:val="clear" w:color="auto" w:fill="FFFFFF"/>
            <w:vAlign w:val="center"/>
          </w:tcPr>
          <w:p>
            <w:r>
              <w:rPr>
                <w:b w:val="0"/>
                <w:i w:val="0"/>
                <w:color w:val="000000"/>
                <w:sz w:val="18"/>
              </w:rPr>
              <w:t>Google Ads, Business Travellers — most efficient spend</w:t>
            </w:r>
          </w:p>
        </w:tc>
      </w:tr>
      <w:tr>
        <w:tc>
          <w:tcPr>
            <w:tcW w:type="dxa" w:w="3456"/>
            <w:shd w:val="clear" w:color="auto" w:fill="F4F6F8"/>
            <w:vAlign w:val="center"/>
          </w:tcPr>
          <w:p>
            <w:r>
              <w:rPr>
                <w:b w:val="0"/>
                <w:i w:val="0"/>
                <w:color w:val="000000"/>
                <w:sz w:val="18"/>
              </w:rPr>
              <w:t>Worst Cost per Acquisition</w:t>
            </w:r>
          </w:p>
        </w:tc>
        <w:tc>
          <w:tcPr>
            <w:tcW w:type="dxa" w:w="2592"/>
            <w:shd w:val="clear" w:color="auto" w:fill="F4F6F8"/>
            <w:vAlign w:val="center"/>
          </w:tcPr>
          <w:p>
            <w:r>
              <w:rPr>
                <w:b w:val="0"/>
                <w:i w:val="0"/>
                <w:color w:val="000000"/>
                <w:sz w:val="18"/>
              </w:rPr>
              <w:t>C005 — KES 458</w:t>
            </w:r>
          </w:p>
        </w:tc>
        <w:tc>
          <w:tcPr>
            <w:tcW w:type="dxa" w:w="3744"/>
            <w:shd w:val="clear" w:color="auto" w:fill="F4F6F8"/>
            <w:vAlign w:val="center"/>
          </w:tcPr>
          <w:p>
            <w:r>
              <w:rPr>
                <w:b w:val="0"/>
                <w:i w:val="0"/>
                <w:color w:val="000000"/>
                <w:sz w:val="18"/>
              </w:rPr>
              <w:t>Google Ads, Young Professionals — still competitive</w:t>
            </w:r>
          </w:p>
        </w:tc>
      </w:tr>
      <w:tr>
        <w:tc>
          <w:tcPr>
            <w:tcW w:type="dxa" w:w="3456"/>
            <w:shd w:val="clear" w:color="auto" w:fill="FFFFFF"/>
            <w:vAlign w:val="center"/>
          </w:tcPr>
          <w:p>
            <w:r>
              <w:rPr>
                <w:b w:val="0"/>
                <w:i w:val="0"/>
                <w:color w:val="000000"/>
                <w:sz w:val="18"/>
              </w:rPr>
              <w:t>Overall Sentiment</w:t>
            </w:r>
          </w:p>
        </w:tc>
        <w:tc>
          <w:tcPr>
            <w:tcW w:type="dxa" w:w="2592"/>
            <w:shd w:val="clear" w:color="auto" w:fill="FFFFFF"/>
            <w:vAlign w:val="center"/>
          </w:tcPr>
          <w:p>
            <w:r>
              <w:rPr>
                <w:b w:val="0"/>
                <w:i w:val="0"/>
                <w:color w:val="000000"/>
                <w:sz w:val="18"/>
              </w:rPr>
              <w:t>50% Negative</w:t>
            </w:r>
          </w:p>
        </w:tc>
        <w:tc>
          <w:tcPr>
            <w:tcW w:type="dxa" w:w="3744"/>
            <w:shd w:val="clear" w:color="auto" w:fill="FFFFFF"/>
            <w:vAlign w:val="center"/>
          </w:tcPr>
          <w:p>
            <w:r>
              <w:rPr>
                <w:b w:val="0"/>
                <w:i w:val="0"/>
                <w:color w:val="000000"/>
                <w:sz w:val="18"/>
              </w:rPr>
              <w:t>Trust and payment concerns dominate — crisis response needed</w:t>
            </w:r>
          </w:p>
        </w:tc>
      </w:tr>
      <w:tr>
        <w:tc>
          <w:tcPr>
            <w:tcW w:type="dxa" w:w="3456"/>
            <w:shd w:val="clear" w:color="auto" w:fill="F4F6F8"/>
            <w:vAlign w:val="center"/>
          </w:tcPr>
          <w:p>
            <w:r>
              <w:rPr>
                <w:b w:val="0"/>
                <w:i w:val="0"/>
                <w:color w:val="000000"/>
                <w:sz w:val="18"/>
              </w:rPr>
              <w:t>Most Negative Platform</w:t>
            </w:r>
          </w:p>
        </w:tc>
        <w:tc>
          <w:tcPr>
            <w:tcW w:type="dxa" w:w="2592"/>
            <w:shd w:val="clear" w:color="auto" w:fill="F4F6F8"/>
            <w:vAlign w:val="center"/>
          </w:tcPr>
          <w:p>
            <w:r>
              <w:rPr>
                <w:b w:val="0"/>
                <w:i w:val="0"/>
                <w:color w:val="000000"/>
                <w:sz w:val="18"/>
              </w:rPr>
              <w:t>X (Twitter)</w:t>
            </w:r>
          </w:p>
        </w:tc>
        <w:tc>
          <w:tcPr>
            <w:tcW w:type="dxa" w:w="3744"/>
            <w:shd w:val="clear" w:color="auto" w:fill="F4F6F8"/>
            <w:vAlign w:val="center"/>
          </w:tcPr>
          <w:p>
            <w:r>
              <w:rPr>
                <w:b w:val="0"/>
                <w:i w:val="0"/>
                <w:color w:val="000000"/>
                <w:sz w:val="18"/>
              </w:rPr>
              <w:t>3 of 4 X comments are negative — priority for response</w:t>
            </w:r>
          </w:p>
        </w:tc>
      </w:tr>
      <w:tr>
        <w:tc>
          <w:tcPr>
            <w:tcW w:type="dxa" w:w="3456"/>
            <w:shd w:val="clear" w:color="auto" w:fill="FFFFFF"/>
            <w:vAlign w:val="center"/>
          </w:tcPr>
          <w:p>
            <w:r>
              <w:rPr>
                <w:b w:val="0"/>
                <w:i w:val="0"/>
                <w:color w:val="000000"/>
                <w:sz w:val="18"/>
              </w:rPr>
              <w:t>Top Negative Theme</w:t>
            </w:r>
          </w:p>
        </w:tc>
        <w:tc>
          <w:tcPr>
            <w:tcW w:type="dxa" w:w="2592"/>
            <w:shd w:val="clear" w:color="auto" w:fill="FFFFFF"/>
            <w:vAlign w:val="center"/>
          </w:tcPr>
          <w:p>
            <w:r>
              <w:rPr>
                <w:b w:val="0"/>
                <w:i w:val="0"/>
                <w:color w:val="000000"/>
                <w:sz w:val="18"/>
              </w:rPr>
              <w:t>Trust / Legitimacy</w:t>
            </w:r>
          </w:p>
        </w:tc>
        <w:tc>
          <w:tcPr>
            <w:tcW w:type="dxa" w:w="3744"/>
            <w:shd w:val="clear" w:color="auto" w:fill="FFFFFF"/>
            <w:vAlign w:val="center"/>
          </w:tcPr>
          <w:p>
            <w:r>
              <w:rPr>
                <w:b w:val="0"/>
                <w:i w:val="0"/>
                <w:color w:val="000000"/>
                <w:sz w:val="18"/>
              </w:rPr>
              <w:t>Users questioning platform reliability post-viral complaint</w:t>
            </w:r>
          </w:p>
        </w:tc>
      </w:tr>
    </w:tbl>
    <w:p/>
    <w:p>
      <w:pPr>
        <w:spacing w:before="280" w:after="80"/>
      </w:pPr>
      <w:r>
        <w:rPr>
          <w:b/>
          <w:i w:val="0"/>
          <w:color w:val="000000"/>
          <w:sz w:val="32"/>
        </w:rPr>
        <w:t>2. Task 1 — Four Key Campaign Performance Insights</w:t>
      </w:r>
    </w:p>
    <w:p>
      <w:pPr>
        <w:spacing w:after="120"/>
      </w:pPr>
      <w:r>
        <w:rPr>
          <w:b w:val="0"/>
          <w:i w:val="0"/>
          <w:color w:val="000000"/>
          <w:sz w:val="20"/>
        </w:rPr>
        <w:t>The following four insights summarise the most significant patterns in the Week 3 campaign dataset, comparing results across all four channels.</w:t>
      </w:r>
    </w:p>
    <w:p>
      <w:pPr>
        <w:spacing w:before="160" w:after="80"/>
      </w:pPr>
      <w:r>
        <w:rPr>
          <w:b/>
          <w:i w:val="0"/>
          <w:color w:val="000000"/>
          <w:sz w:val="24"/>
        </w:rPr>
        <w:t>Insight 1 — Google Ads Converts at 8–10× the Rate of TikTok</w:t>
      </w:r>
    </w:p>
    <w:p>
      <w:pPr>
        <w:spacing w:after="120"/>
      </w:pPr>
      <w:r>
        <w:rPr>
          <w:b w:val="0"/>
          <w:i w:val="0"/>
          <w:color w:val="000000"/>
          <w:sz w:val="20"/>
        </w:rPr>
        <w:t>Google Ads campaigns (C005 and C006) achieved conversion rates of 12.0% and 15.7% respectively. TikTok campaigns (C003 and C008) achieved 1.6% each. This is not a marginal difference — it is a structural one. Google Ads reaches users who are actively searching for travel options, meaning intent is already present at the point of contact. TikTok reaches users in a passive, entertainment-first mindset. The platform is not the problem; the mismatch between platform behaviour and conversion expectation is. TikTok should not be measured against Google Ads on conversion — it serves a different stage of the customer journey.</w:t>
      </w:r>
    </w:p>
    <w:p>
      <w:pPr>
        <w:spacing w:before="160" w:after="80"/>
      </w:pPr>
      <w:r>
        <w:rPr>
          <w:b/>
          <w:i w:val="0"/>
          <w:color w:val="000000"/>
          <w:sz w:val="24"/>
        </w:rPr>
        <w:t>Insight 2 — CTR Does Not Predict Conversion</w:t>
      </w:r>
    </w:p>
    <w:p>
      <w:pPr>
        <w:spacing w:after="120"/>
      </w:pPr>
      <w:r>
        <w:rPr>
          <w:b w:val="0"/>
          <w:i w:val="0"/>
          <w:color w:val="000000"/>
          <w:sz w:val="20"/>
        </w:rPr>
        <w:t>TikTok's click-through rates (8.0% and 8.3%) are the highest in the dataset, yet its conversion rates are the lowest. X achieved a 5.0% CTR for C004 but a strong 11.6% conversion rate. This confirms that clicks measure curiosity, not intent. A user who taps a TikTok ad is responding to entertainment value; a user who clicks a Google search ad is responding to a specific need. Campaign optimisation should prioritise conversion rate and cost per acquisition over CTR as the primary success metric.</w:t>
      </w:r>
    </w:p>
    <w:p>
      <w:pPr>
        <w:spacing w:before="160" w:after="80"/>
      </w:pPr>
      <w:r>
        <w:rPr>
          <w:b/>
          <w:i w:val="0"/>
          <w:color w:val="000000"/>
          <w:sz w:val="24"/>
        </w:rPr>
        <w:t>Insight 3 — Business Travellers Deliver the Highest Return on Spend</w:t>
      </w:r>
    </w:p>
    <w:p>
      <w:pPr>
        <w:spacing w:after="120"/>
      </w:pPr>
      <w:r>
        <w:rPr>
          <w:b w:val="0"/>
          <w:i w:val="0"/>
          <w:color w:val="000000"/>
          <w:sz w:val="20"/>
        </w:rPr>
        <w:t>C006 (Google Ads, Business Travellers) generated 110 bookings from 10,000 impressions at a cost of KES 50,000 — a cost per acquisition of KES 455. C004 (X, Business Travellers) generated 70 bookings from 12,000 impressions at KES 30,000 — a CPA of KES 429. Business Travellers convert at the highest rate across every channel they appear in. This segment is the most valuable in the dataset and should receive protected budget allocation regardless of channel decisions made for other segments.</w:t>
      </w:r>
    </w:p>
    <w:p>
      <w:pPr>
        <w:spacing w:before="160" w:after="80"/>
      </w:pPr>
      <w:r>
        <w:rPr>
          <w:b/>
          <w:i w:val="0"/>
          <w:color w:val="000000"/>
          <w:sz w:val="24"/>
        </w:rPr>
        <w:t>Insight 4 — Instagram Performs Moderately but Inconsistently Across Audiences</w:t>
      </w:r>
    </w:p>
    <w:p>
      <w:pPr>
        <w:spacing w:after="120"/>
      </w:pPr>
      <w:r>
        <w:rPr>
          <w:b w:val="0"/>
          <w:i w:val="0"/>
          <w:color w:val="000000"/>
          <w:sz w:val="20"/>
        </w:rPr>
        <w:t>Instagram campaigns ranged from 3.3% conversion (C001, Students) to 6.1% (C002, Young Professionals) to 4.3% (C007, Leisure Travellers). The platform is mid-tier on both conversion and cost efficiency. It outperforms TikTok on conversion but significantly underperforms Google Ads. Instagram's value lies in its visual format and retargeting capability — it is best used as a mid-funnel channel that bridges TikTok awareness content and Google Ads conversion, rather than as a primary booking driver.</w:t>
      </w:r>
    </w:p>
    <w:p>
      <w:pPr>
        <w:spacing w:before="280" w:after="80"/>
      </w:pPr>
      <w:r>
        <w:rPr>
          <w:b/>
          <w:i w:val="0"/>
          <w:color w:val="000000"/>
          <w:sz w:val="32"/>
        </w:rPr>
        <w:t>3. Task 2 — High-Performing and Underperforming Channels</w:t>
      </w:r>
    </w:p>
    <w:p>
      <w:pPr>
        <w:spacing w:after="120"/>
      </w:pPr>
      <w:r>
        <w:rPr>
          <w:b w:val="0"/>
          <w:i w:val="0"/>
          <w:color w:val="000000"/>
          <w:sz w:val="20"/>
        </w:rPr>
        <w:t>Based on conversion rate, cost per acquisition, and booking volume, two channels are identified as high-performing and two as underperforming.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016"/>
            <w:shd w:val="clear" w:color="auto" w:fill="FFFFFF"/>
            <w:vAlign w:val="center"/>
          </w:tcPr>
          <w:p>
            <w:r>
              <w:rPr>
                <w:b/>
                <w:i w:val="0"/>
                <w:color w:val="000000"/>
                <w:sz w:val="18"/>
              </w:rPr>
              <w:t>Classification</w:t>
            </w:r>
          </w:p>
        </w:tc>
        <w:tc>
          <w:tcPr>
            <w:tcW w:type="dxa" w:w="3168"/>
            <w:shd w:val="clear" w:color="auto" w:fill="FFFFFF"/>
            <w:vAlign w:val="center"/>
          </w:tcPr>
          <w:p>
            <w:r>
              <w:rPr>
                <w:b/>
                <w:i w:val="0"/>
                <w:color w:val="000000"/>
                <w:sz w:val="18"/>
              </w:rPr>
              <w:t>Channel / Segment</w:t>
            </w:r>
          </w:p>
        </w:tc>
        <w:tc>
          <w:tcPr>
            <w:tcW w:type="dxa" w:w="1296"/>
            <w:shd w:val="clear" w:color="auto" w:fill="FFFFFF"/>
            <w:vAlign w:val="center"/>
          </w:tcPr>
          <w:p>
            <w:r>
              <w:rPr>
                <w:b/>
                <w:i w:val="0"/>
                <w:color w:val="000000"/>
                <w:sz w:val="18"/>
              </w:rPr>
              <w:t>Conv Rate</w:t>
            </w:r>
          </w:p>
        </w:tc>
        <w:tc>
          <w:tcPr>
            <w:tcW w:type="dxa" w:w="1440"/>
            <w:shd w:val="clear" w:color="auto" w:fill="FFFFFF"/>
            <w:vAlign w:val="center"/>
          </w:tcPr>
          <w:p>
            <w:r>
              <w:rPr>
                <w:b/>
                <w:i w:val="0"/>
                <w:color w:val="000000"/>
                <w:sz w:val="18"/>
              </w:rPr>
              <w:t>CPA (KES)</w:t>
            </w:r>
          </w:p>
        </w:tc>
        <w:tc>
          <w:tcPr>
            <w:tcW w:type="dxa" w:w="3312"/>
            <w:shd w:val="clear" w:color="auto" w:fill="FFFFFF"/>
            <w:vAlign w:val="center"/>
          </w:tcPr>
          <w:p>
            <w:r>
              <w:rPr>
                <w:b/>
                <w:i w:val="0"/>
                <w:color w:val="000000"/>
                <w:sz w:val="18"/>
              </w:rPr>
              <w:t>Key Reason</w:t>
            </w:r>
          </w:p>
        </w:tc>
      </w:tr>
      <w:tr>
        <w:tc>
          <w:tcPr>
            <w:tcW w:type="dxa" w:w="2016"/>
            <w:shd w:val="clear" w:color="auto" w:fill="F4F6F8"/>
            <w:vAlign w:val="center"/>
          </w:tcPr>
          <w:p>
            <w:r>
              <w:rPr>
                <w:b w:val="0"/>
                <w:i w:val="0"/>
                <w:color w:val="000000"/>
                <w:sz w:val="18"/>
              </w:rPr>
              <w:t>High-Performing</w:t>
            </w:r>
          </w:p>
        </w:tc>
        <w:tc>
          <w:tcPr>
            <w:tcW w:type="dxa" w:w="3168"/>
            <w:shd w:val="clear" w:color="auto" w:fill="F4F6F8"/>
            <w:vAlign w:val="center"/>
          </w:tcPr>
          <w:p>
            <w:r>
              <w:rPr>
                <w:b w:val="0"/>
                <w:i w:val="0"/>
                <w:color w:val="000000"/>
                <w:sz w:val="18"/>
              </w:rPr>
              <w:t>Google Ads — Business Travellers (C006)</w:t>
            </w:r>
          </w:p>
        </w:tc>
        <w:tc>
          <w:tcPr>
            <w:tcW w:type="dxa" w:w="1296"/>
            <w:shd w:val="clear" w:color="auto" w:fill="F4F6F8"/>
            <w:vAlign w:val="center"/>
          </w:tcPr>
          <w:p>
            <w:r>
              <w:rPr>
                <w:b w:val="0"/>
                <w:i w:val="0"/>
                <w:color w:val="000000"/>
                <w:sz w:val="18"/>
              </w:rPr>
              <w:t>15.7%</w:t>
            </w:r>
          </w:p>
        </w:tc>
        <w:tc>
          <w:tcPr>
            <w:tcW w:type="dxa" w:w="1440"/>
            <w:shd w:val="clear" w:color="auto" w:fill="F4F6F8"/>
            <w:vAlign w:val="center"/>
          </w:tcPr>
          <w:p>
            <w:r>
              <w:rPr>
                <w:b w:val="0"/>
                <w:i w:val="0"/>
                <w:color w:val="000000"/>
                <w:sz w:val="18"/>
              </w:rPr>
              <w:t>455</w:t>
            </w:r>
          </w:p>
        </w:tc>
        <w:tc>
          <w:tcPr>
            <w:tcW w:type="dxa" w:w="3312"/>
            <w:shd w:val="clear" w:color="auto" w:fill="F4F6F8"/>
            <w:vAlign w:val="center"/>
          </w:tcPr>
          <w:p>
            <w:r>
              <w:rPr>
                <w:b w:val="0"/>
                <w:i w:val="0"/>
                <w:color w:val="000000"/>
                <w:sz w:val="18"/>
              </w:rPr>
              <w:t>Search intent + high-value audience = highest ROI in dataset</w:t>
            </w:r>
          </w:p>
        </w:tc>
      </w:tr>
      <w:tr>
        <w:tc>
          <w:tcPr>
            <w:tcW w:type="dxa" w:w="2016"/>
            <w:shd w:val="clear" w:color="auto" w:fill="FFFFFF"/>
            <w:vAlign w:val="center"/>
          </w:tcPr>
          <w:p>
            <w:r>
              <w:rPr>
                <w:b w:val="0"/>
                <w:i w:val="0"/>
                <w:color w:val="000000"/>
                <w:sz w:val="18"/>
              </w:rPr>
              <w:t>High-Performing</w:t>
            </w:r>
          </w:p>
        </w:tc>
        <w:tc>
          <w:tcPr>
            <w:tcW w:type="dxa" w:w="3168"/>
            <w:shd w:val="clear" w:color="auto" w:fill="FFFFFF"/>
            <w:vAlign w:val="center"/>
          </w:tcPr>
          <w:p>
            <w:r>
              <w:rPr>
                <w:b w:val="0"/>
                <w:i w:val="0"/>
                <w:color w:val="000000"/>
                <w:sz w:val="18"/>
              </w:rPr>
              <w:t>Google Ads — Young Professionals (C005)</w:t>
            </w:r>
          </w:p>
        </w:tc>
        <w:tc>
          <w:tcPr>
            <w:tcW w:type="dxa" w:w="1296"/>
            <w:shd w:val="clear" w:color="auto" w:fill="FFFFFF"/>
            <w:vAlign w:val="center"/>
          </w:tcPr>
          <w:p>
            <w:r>
              <w:rPr>
                <w:b w:val="0"/>
                <w:i w:val="0"/>
                <w:color w:val="000000"/>
                <w:sz w:val="18"/>
              </w:rPr>
              <w:t>12.0%</w:t>
            </w:r>
          </w:p>
        </w:tc>
        <w:tc>
          <w:tcPr>
            <w:tcW w:type="dxa" w:w="1440"/>
            <w:shd w:val="clear" w:color="auto" w:fill="FFFFFF"/>
            <w:vAlign w:val="center"/>
          </w:tcPr>
          <w:p>
            <w:r>
              <w:rPr>
                <w:b w:val="0"/>
                <w:i w:val="0"/>
                <w:color w:val="000000"/>
                <w:sz w:val="18"/>
              </w:rPr>
              <w:t>458</w:t>
            </w:r>
          </w:p>
        </w:tc>
        <w:tc>
          <w:tcPr>
            <w:tcW w:type="dxa" w:w="3312"/>
            <w:shd w:val="clear" w:color="auto" w:fill="FFFFFF"/>
            <w:vAlign w:val="center"/>
          </w:tcPr>
          <w:p>
            <w:r>
              <w:rPr>
                <w:b w:val="0"/>
                <w:i w:val="0"/>
                <w:color w:val="000000"/>
                <w:sz w:val="18"/>
              </w:rPr>
              <w:t>Motivated audience, search-based targeting, strong click-to-book ratio</w:t>
            </w:r>
          </w:p>
        </w:tc>
      </w:tr>
      <w:tr>
        <w:tc>
          <w:tcPr>
            <w:tcW w:type="dxa" w:w="2016"/>
            <w:shd w:val="clear" w:color="auto" w:fill="F4F6F8"/>
            <w:vAlign w:val="center"/>
          </w:tcPr>
          <w:p>
            <w:r>
              <w:rPr>
                <w:b w:val="0"/>
                <w:i w:val="0"/>
                <w:color w:val="000000"/>
                <w:sz w:val="18"/>
              </w:rPr>
              <w:t>Underperforming</w:t>
            </w:r>
          </w:p>
        </w:tc>
        <w:tc>
          <w:tcPr>
            <w:tcW w:type="dxa" w:w="3168"/>
            <w:shd w:val="clear" w:color="auto" w:fill="F4F6F8"/>
            <w:vAlign w:val="center"/>
          </w:tcPr>
          <w:p>
            <w:r>
              <w:rPr>
                <w:b w:val="0"/>
                <w:i w:val="0"/>
                <w:color w:val="000000"/>
                <w:sz w:val="18"/>
              </w:rPr>
              <w:t>TikTok — Students (C003)</w:t>
            </w:r>
          </w:p>
        </w:tc>
        <w:tc>
          <w:tcPr>
            <w:tcW w:type="dxa" w:w="1296"/>
            <w:shd w:val="clear" w:color="auto" w:fill="F4F6F8"/>
            <w:vAlign w:val="center"/>
          </w:tcPr>
          <w:p>
            <w:r>
              <w:rPr>
                <w:b w:val="0"/>
                <w:i w:val="0"/>
                <w:color w:val="000000"/>
                <w:sz w:val="18"/>
              </w:rPr>
              <w:t>1.6%</w:t>
            </w:r>
          </w:p>
        </w:tc>
        <w:tc>
          <w:tcPr>
            <w:tcW w:type="dxa" w:w="1440"/>
            <w:shd w:val="clear" w:color="auto" w:fill="F4F6F8"/>
            <w:vAlign w:val="center"/>
          </w:tcPr>
          <w:p>
            <w:r>
              <w:rPr>
                <w:b w:val="0"/>
                <w:i w:val="0"/>
                <w:color w:val="000000"/>
                <w:sz w:val="18"/>
              </w:rPr>
              <w:t>1,000</w:t>
            </w:r>
          </w:p>
        </w:tc>
        <w:tc>
          <w:tcPr>
            <w:tcW w:type="dxa" w:w="3312"/>
            <w:shd w:val="clear" w:color="auto" w:fill="F4F6F8"/>
            <w:vAlign w:val="center"/>
          </w:tcPr>
          <w:p>
            <w:r>
              <w:rPr>
                <w:b w:val="0"/>
                <w:i w:val="0"/>
                <w:color w:val="000000"/>
                <w:sz w:val="18"/>
              </w:rPr>
              <w:t>Entertainment mindset, price-sensitive, no booking intent at point of contact</w:t>
            </w:r>
          </w:p>
        </w:tc>
      </w:tr>
      <w:tr>
        <w:tc>
          <w:tcPr>
            <w:tcW w:type="dxa" w:w="2016"/>
            <w:shd w:val="clear" w:color="auto" w:fill="FFFFFF"/>
            <w:vAlign w:val="center"/>
          </w:tcPr>
          <w:p>
            <w:r>
              <w:rPr>
                <w:b w:val="0"/>
                <w:i w:val="0"/>
                <w:color w:val="000000"/>
                <w:sz w:val="18"/>
              </w:rPr>
              <w:t>Underperforming</w:t>
            </w:r>
          </w:p>
        </w:tc>
        <w:tc>
          <w:tcPr>
            <w:tcW w:type="dxa" w:w="3168"/>
            <w:shd w:val="clear" w:color="auto" w:fill="FFFFFF"/>
            <w:vAlign w:val="center"/>
          </w:tcPr>
          <w:p>
            <w:r>
              <w:rPr>
                <w:b w:val="0"/>
                <w:i w:val="0"/>
                <w:color w:val="000000"/>
                <w:sz w:val="18"/>
              </w:rPr>
              <w:t>TikTok — Leisure Travellers (C008)</w:t>
            </w:r>
          </w:p>
        </w:tc>
        <w:tc>
          <w:tcPr>
            <w:tcW w:type="dxa" w:w="1296"/>
            <w:shd w:val="clear" w:color="auto" w:fill="FFFFFF"/>
            <w:vAlign w:val="center"/>
          </w:tcPr>
          <w:p>
            <w:r>
              <w:rPr>
                <w:b w:val="0"/>
                <w:i w:val="0"/>
                <w:color w:val="000000"/>
                <w:sz w:val="18"/>
              </w:rPr>
              <w:t>1.6%</w:t>
            </w:r>
          </w:p>
        </w:tc>
        <w:tc>
          <w:tcPr>
            <w:tcW w:type="dxa" w:w="1440"/>
            <w:shd w:val="clear" w:color="auto" w:fill="FFFFFF"/>
            <w:vAlign w:val="center"/>
          </w:tcPr>
          <w:p>
            <w:r>
              <w:rPr>
                <w:b w:val="0"/>
                <w:i w:val="0"/>
                <w:color w:val="000000"/>
                <w:sz w:val="18"/>
              </w:rPr>
              <w:t>1,125</w:t>
            </w:r>
          </w:p>
        </w:tc>
        <w:tc>
          <w:tcPr>
            <w:tcW w:type="dxa" w:w="3312"/>
            <w:shd w:val="clear" w:color="auto" w:fill="FFFFFF"/>
            <w:vAlign w:val="center"/>
          </w:tcPr>
          <w:p>
            <w:r>
              <w:rPr>
                <w:b w:val="0"/>
                <w:i w:val="0"/>
                <w:color w:val="000000"/>
                <w:sz w:val="18"/>
              </w:rPr>
              <w:t>Passive scrollers, highest impressions but lowest conversion — worst CPA in dataset</w:t>
            </w:r>
          </w:p>
        </w:tc>
      </w:tr>
    </w:tbl>
    <w:p/>
    <w:p>
      <w:pPr>
        <w:spacing w:before="160" w:after="80"/>
      </w:pPr>
      <w:r>
        <w:rPr>
          <w:b/>
          <w:i w:val="0"/>
          <w:color w:val="000000"/>
          <w:sz w:val="24"/>
        </w:rPr>
        <w:t>High-Performing: Google Ads — Business Travellers and Young Professionals</w:t>
      </w:r>
    </w:p>
    <w:p>
      <w:pPr>
        <w:spacing w:after="120"/>
      </w:pPr>
      <w:r>
        <w:rPr>
          <w:b w:val="0"/>
          <w:i w:val="0"/>
          <w:color w:val="000000"/>
          <w:sz w:val="20"/>
        </w:rPr>
        <w:t>Both Google Ads campaigns outperform every other channel in the dataset on conversion rate and cost efficiency. The reason is audience intent: users who search for travel options on Google are in an active decision-making state. They have already identified a need and are evaluating options. Travler's ad appears at the moment of highest purchase intent, which is why the click-to-booking conversion is so much stronger than on social platforms. Business Travellers in particular are time-sensitive and brand-agnostic — they will book the first reliable option that appears. Google Ads captures that moment directly. Young Professionals follow a similar pattern: they are goal-oriented when searching and respond well to clear value propositions.</w:t>
      </w:r>
    </w:p>
    <w:p>
      <w:pPr>
        <w:spacing w:before="160" w:after="80"/>
      </w:pPr>
      <w:r>
        <w:rPr>
          <w:b/>
          <w:i w:val="0"/>
          <w:color w:val="000000"/>
          <w:sz w:val="24"/>
        </w:rPr>
        <w:t>Underperforming: TikTok — Students and Leisure Travellers</w:t>
      </w:r>
    </w:p>
    <w:p>
      <w:pPr>
        <w:spacing w:after="120"/>
      </w:pPr>
      <w:r>
        <w:rPr>
          <w:b w:val="0"/>
          <w:i w:val="0"/>
          <w:color w:val="000000"/>
          <w:sz w:val="20"/>
        </w:rPr>
        <w:t>TikTok's underperformance is not a failure of the platform — it is a failure of expectation. TikTok users are in a passive, entertainment-first state when they encounter Travler content. Students are price-sensitive and unlikely to commit to a purchase from a social feed without a specific incentive. Leisure Travellers are browsing aspirationally, not planning actively. The result is high impressions, reasonable CTR, and almost no bookings. The cost per acquisition for TikTok campaigns is KES 1,000–1,125 — more than double the Google Ads CPA. This does not mean TikTok should be abandoned; it means TikTok spend should be treated as awareness investment, not conversion spend, and success should be measured by retargeting pool growth rather than direct bookings.</w:t>
      </w:r>
    </w:p>
    <w:p>
      <w:pPr>
        <w:spacing w:before="280" w:after="80"/>
      </w:pPr>
      <w:r>
        <w:rPr>
          <w:b/>
          <w:i w:val="0"/>
          <w:color w:val="000000"/>
          <w:sz w:val="32"/>
        </w:rPr>
        <w:t>4. Task 3 — Three Key Sentiment Themes Affecting Trust and Perception</w:t>
      </w:r>
    </w:p>
    <w:p>
      <w:pPr>
        <w:spacing w:after="120"/>
      </w:pPr>
      <w:r>
        <w:rPr>
          <w:b w:val="0"/>
          <w:i w:val="0"/>
          <w:color w:val="000000"/>
          <w:sz w:val="20"/>
        </w:rPr>
        <w:t>Analysis of 10 customer comments across X, Instagram, and TikTok reveals three dominant themes. Five comments (50%) are negative, three (30%) are neutral, and two (20%) are positive. The negative and neutral comments cluster around three concerns that directly affect willingness to book.</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92"/>
            <w:shd w:val="clear" w:color="auto" w:fill="FFFFFF"/>
            <w:vAlign w:val="center"/>
          </w:tcPr>
          <w:p>
            <w:r>
              <w:rPr>
                <w:b/>
                <w:i w:val="0"/>
                <w:color w:val="000000"/>
                <w:sz w:val="18"/>
              </w:rPr>
              <w:t>Theme</w:t>
            </w:r>
          </w:p>
        </w:tc>
        <w:tc>
          <w:tcPr>
            <w:tcW w:type="dxa" w:w="1728"/>
            <w:shd w:val="clear" w:color="auto" w:fill="FFFFFF"/>
            <w:vAlign w:val="center"/>
          </w:tcPr>
          <w:p>
            <w:r>
              <w:rPr>
                <w:b/>
                <w:i w:val="0"/>
                <w:color w:val="000000"/>
                <w:sz w:val="18"/>
              </w:rPr>
              <w:t>Sentiment</w:t>
            </w:r>
          </w:p>
        </w:tc>
        <w:tc>
          <w:tcPr>
            <w:tcW w:type="dxa" w:w="1728"/>
            <w:shd w:val="clear" w:color="auto" w:fill="FFFFFF"/>
            <w:vAlign w:val="center"/>
          </w:tcPr>
          <w:p>
            <w:r>
              <w:rPr>
                <w:b/>
                <w:i w:val="0"/>
                <w:color w:val="000000"/>
                <w:sz w:val="18"/>
              </w:rPr>
              <w:t>Platforms</w:t>
            </w:r>
          </w:p>
        </w:tc>
        <w:tc>
          <w:tcPr>
            <w:tcW w:type="dxa" w:w="1440"/>
            <w:shd w:val="clear" w:color="auto" w:fill="FFFFFF"/>
            <w:vAlign w:val="center"/>
          </w:tcPr>
          <w:p>
            <w:r>
              <w:rPr>
                <w:b/>
                <w:i w:val="0"/>
                <w:color w:val="000000"/>
                <w:sz w:val="18"/>
              </w:rPr>
              <w:t>Comments</w:t>
            </w:r>
          </w:p>
        </w:tc>
        <w:tc>
          <w:tcPr>
            <w:tcW w:type="dxa" w:w="3744"/>
            <w:shd w:val="clear" w:color="auto" w:fill="FFFFFF"/>
            <w:vAlign w:val="center"/>
          </w:tcPr>
          <w:p>
            <w:r>
              <w:rPr>
                <w:b/>
                <w:i w:val="0"/>
                <w:color w:val="000000"/>
                <w:sz w:val="18"/>
              </w:rPr>
              <w:t>Business Impact</w:t>
            </w:r>
          </w:p>
        </w:tc>
      </w:tr>
      <w:tr>
        <w:tc>
          <w:tcPr>
            <w:tcW w:type="dxa" w:w="2592"/>
            <w:shd w:val="clear" w:color="auto" w:fill="F4F6F8"/>
            <w:vAlign w:val="center"/>
          </w:tcPr>
          <w:p>
            <w:r>
              <w:rPr>
                <w:b w:val="0"/>
                <w:i w:val="0"/>
                <w:color w:val="000000"/>
                <w:sz w:val="18"/>
              </w:rPr>
              <w:t>Trust &amp; Platform Legitimacy</w:t>
            </w:r>
          </w:p>
        </w:tc>
        <w:tc>
          <w:tcPr>
            <w:tcW w:type="dxa" w:w="1728"/>
            <w:shd w:val="clear" w:color="auto" w:fill="F4F6F8"/>
            <w:vAlign w:val="center"/>
          </w:tcPr>
          <w:p>
            <w:r>
              <w:rPr>
                <w:b w:val="0"/>
                <w:i w:val="0"/>
                <w:color w:val="000000"/>
                <w:sz w:val="18"/>
              </w:rPr>
              <w:t>Negative / Neutral</w:t>
            </w:r>
          </w:p>
        </w:tc>
        <w:tc>
          <w:tcPr>
            <w:tcW w:type="dxa" w:w="1728"/>
            <w:shd w:val="clear" w:color="auto" w:fill="F4F6F8"/>
            <w:vAlign w:val="center"/>
          </w:tcPr>
          <w:p>
            <w:r>
              <w:rPr>
                <w:b w:val="0"/>
                <w:i w:val="0"/>
                <w:color w:val="000000"/>
                <w:sz w:val="18"/>
              </w:rPr>
              <w:t>X, Instagram</w:t>
            </w:r>
          </w:p>
        </w:tc>
        <w:tc>
          <w:tcPr>
            <w:tcW w:type="dxa" w:w="1440"/>
            <w:shd w:val="clear" w:color="auto" w:fill="F4F6F8"/>
            <w:vAlign w:val="center"/>
          </w:tcPr>
          <w:p>
            <w:r>
              <w:rPr>
                <w:b w:val="0"/>
                <w:i w:val="0"/>
                <w:color w:val="000000"/>
                <w:sz w:val="18"/>
              </w:rPr>
              <w:t>S002, S007, S010</w:t>
            </w:r>
          </w:p>
        </w:tc>
        <w:tc>
          <w:tcPr>
            <w:tcW w:type="dxa" w:w="3744"/>
            <w:shd w:val="clear" w:color="auto" w:fill="F4F6F8"/>
            <w:vAlign w:val="center"/>
          </w:tcPr>
          <w:p>
            <w:r>
              <w:rPr>
                <w:b w:val="0"/>
                <w:i w:val="0"/>
                <w:color w:val="000000"/>
                <w:sz w:val="18"/>
              </w:rPr>
              <w:t>Users questioning whether Travler is reliable — directly linked to viral complaint</w:t>
            </w:r>
          </w:p>
        </w:tc>
      </w:tr>
      <w:tr>
        <w:tc>
          <w:tcPr>
            <w:tcW w:type="dxa" w:w="2592"/>
            <w:shd w:val="clear" w:color="auto" w:fill="FFFFFF"/>
            <w:vAlign w:val="center"/>
          </w:tcPr>
          <w:p>
            <w:r>
              <w:rPr>
                <w:b w:val="0"/>
                <w:i w:val="0"/>
                <w:color w:val="000000"/>
                <w:sz w:val="18"/>
              </w:rPr>
              <w:t>Payment &amp; Support Failures</w:t>
            </w:r>
          </w:p>
        </w:tc>
        <w:tc>
          <w:tcPr>
            <w:tcW w:type="dxa" w:w="1728"/>
            <w:shd w:val="clear" w:color="auto" w:fill="FFFFFF"/>
            <w:vAlign w:val="center"/>
          </w:tcPr>
          <w:p>
            <w:r>
              <w:rPr>
                <w:b w:val="0"/>
                <w:i w:val="0"/>
                <w:color w:val="000000"/>
                <w:sz w:val="18"/>
              </w:rPr>
              <w:t>Negative</w:t>
            </w:r>
          </w:p>
        </w:tc>
        <w:tc>
          <w:tcPr>
            <w:tcW w:type="dxa" w:w="1728"/>
            <w:shd w:val="clear" w:color="auto" w:fill="FFFFFF"/>
            <w:vAlign w:val="center"/>
          </w:tcPr>
          <w:p>
            <w:r>
              <w:rPr>
                <w:b w:val="0"/>
                <w:i w:val="0"/>
                <w:color w:val="000000"/>
                <w:sz w:val="18"/>
              </w:rPr>
              <w:t>X, TikTok</w:t>
            </w:r>
          </w:p>
        </w:tc>
        <w:tc>
          <w:tcPr>
            <w:tcW w:type="dxa" w:w="1440"/>
            <w:shd w:val="clear" w:color="auto" w:fill="FFFFFF"/>
            <w:vAlign w:val="center"/>
          </w:tcPr>
          <w:p>
            <w:r>
              <w:rPr>
                <w:b w:val="0"/>
                <w:i w:val="0"/>
                <w:color w:val="000000"/>
                <w:sz w:val="18"/>
              </w:rPr>
              <w:t>S001, S005, S009</w:t>
            </w:r>
          </w:p>
        </w:tc>
        <w:tc>
          <w:tcPr>
            <w:tcW w:type="dxa" w:w="3744"/>
            <w:shd w:val="clear" w:color="auto" w:fill="FFFFFF"/>
            <w:vAlign w:val="center"/>
          </w:tcPr>
          <w:p>
            <w:r>
              <w:rPr>
                <w:b w:val="0"/>
                <w:i w:val="0"/>
                <w:color w:val="000000"/>
                <w:sz w:val="18"/>
              </w:rPr>
              <w:t>Double-charge, slow support, app crash — operational failures amplifying reputational damage</w:t>
            </w:r>
          </w:p>
        </w:tc>
      </w:tr>
      <w:tr>
        <w:tc>
          <w:tcPr>
            <w:tcW w:type="dxa" w:w="2592"/>
            <w:shd w:val="clear" w:color="auto" w:fill="F4F6F8"/>
            <w:vAlign w:val="center"/>
          </w:tcPr>
          <w:p>
            <w:r>
              <w:rPr>
                <w:b w:val="0"/>
                <w:i w:val="0"/>
                <w:color w:val="000000"/>
                <w:sz w:val="18"/>
              </w:rPr>
              <w:t>Price Perception</w:t>
            </w:r>
          </w:p>
        </w:tc>
        <w:tc>
          <w:tcPr>
            <w:tcW w:type="dxa" w:w="1728"/>
            <w:shd w:val="clear" w:color="auto" w:fill="F4F6F8"/>
            <w:vAlign w:val="center"/>
          </w:tcPr>
          <w:p>
            <w:r>
              <w:rPr>
                <w:b w:val="0"/>
                <w:i w:val="0"/>
                <w:color w:val="000000"/>
                <w:sz w:val="18"/>
              </w:rPr>
              <w:t>Neutral / Negative</w:t>
            </w:r>
          </w:p>
        </w:tc>
        <w:tc>
          <w:tcPr>
            <w:tcW w:type="dxa" w:w="1728"/>
            <w:shd w:val="clear" w:color="auto" w:fill="F4F6F8"/>
            <w:vAlign w:val="center"/>
          </w:tcPr>
          <w:p>
            <w:r>
              <w:rPr>
                <w:b w:val="0"/>
                <w:i w:val="0"/>
                <w:color w:val="000000"/>
                <w:sz w:val="18"/>
              </w:rPr>
              <w:t>Instagram</w:t>
            </w:r>
          </w:p>
        </w:tc>
        <w:tc>
          <w:tcPr>
            <w:tcW w:type="dxa" w:w="1440"/>
            <w:shd w:val="clear" w:color="auto" w:fill="F4F6F8"/>
            <w:vAlign w:val="center"/>
          </w:tcPr>
          <w:p>
            <w:r>
              <w:rPr>
                <w:b w:val="0"/>
                <w:i w:val="0"/>
                <w:color w:val="000000"/>
                <w:sz w:val="18"/>
              </w:rPr>
              <w:t>S006</w:t>
            </w:r>
          </w:p>
        </w:tc>
        <w:tc>
          <w:tcPr>
            <w:tcW w:type="dxa" w:w="3744"/>
            <w:shd w:val="clear" w:color="auto" w:fill="F4F6F8"/>
            <w:vAlign w:val="center"/>
          </w:tcPr>
          <w:p>
            <w:r>
              <w:rPr>
                <w:b w:val="0"/>
                <w:i w:val="0"/>
                <w:color w:val="000000"/>
                <w:sz w:val="18"/>
              </w:rPr>
              <w:t>Users comparing to walk-up bus station prices — value proposition not communicated</w:t>
            </w:r>
          </w:p>
        </w:tc>
      </w:tr>
    </w:tbl>
    <w:p/>
    <w:p>
      <w:pPr>
        <w:spacing w:before="160" w:after="80"/>
      </w:pPr>
      <w:r>
        <w:rPr>
          <w:b/>
          <w:i w:val="0"/>
          <w:color w:val="000000"/>
          <w:sz w:val="24"/>
        </w:rPr>
        <w:t>Theme 1 — Trust and Platform Legitimacy</w:t>
      </w:r>
    </w:p>
    <w:p>
      <w:pPr>
        <w:spacing w:after="120"/>
      </w:pPr>
      <w:r>
        <w:rPr>
          <w:b w:val="0"/>
          <w:i w:val="0"/>
          <w:color w:val="000000"/>
          <w:sz w:val="20"/>
        </w:rPr>
        <w:t>Three comments directly question whether Travler can be trusted as a platform. S002 states 'Not sure if this platform is reliable.' S007 says 'Will stick to booking directly.' S010 asks 'Is this platform legit?' These comments are not isolated — they reflect a broader erosion of confidence triggered by the viral complaint. Users who were already uncertain about booking online have been given a public reason to remain hesitant. The trust gap is most acute on X, where the original complaint circulated, and on Instagram, where Travler's paid campaigns are running. The risk is that prospective customers who see these comments alongside a paid ad will choose not to click. Trust must be rebuilt publicly and proactively, not just resolved privately.</w:t>
      </w:r>
    </w:p>
    <w:p>
      <w:pPr>
        <w:spacing w:before="160" w:after="80"/>
      </w:pPr>
      <w:r>
        <w:rPr>
          <w:b/>
          <w:i w:val="0"/>
          <w:color w:val="000000"/>
          <w:sz w:val="24"/>
        </w:rPr>
        <w:t>Theme 2 — Payment and Support Failures</w:t>
      </w:r>
    </w:p>
    <w:p>
      <w:pPr>
        <w:spacing w:after="120"/>
      </w:pPr>
      <w:r>
        <w:rPr>
          <w:b w:val="0"/>
          <w:i w:val="0"/>
          <w:color w:val="000000"/>
          <w:sz w:val="20"/>
        </w:rPr>
        <w:t>Three comments describe direct operational failures: S001 reports being charged twice with no quick response; S005 states that support takes too long; S009 reports the app freezing during booking. These are not perception problems — they are product and process failures that are being aired publicly. Each unresolved complaint on a public platform functions as a negative advertisement. The support response time issue is particularly damaging because it compounds the original payment error: the customer was not only charged incorrectly but was left without resolution. Diana K.'s report of increased inbound complaints is consistent with this pattern — users who do not receive a public response escalate to direct contact. Faster public responses would reduce both the reputational damage and the inbound support volume.</w:t>
      </w:r>
    </w:p>
    <w:p>
      <w:pPr>
        <w:spacing w:before="160" w:after="80"/>
      </w:pPr>
      <w:r>
        <w:rPr>
          <w:b/>
          <w:i w:val="0"/>
          <w:color w:val="000000"/>
          <w:sz w:val="24"/>
        </w:rPr>
        <w:t>Theme 3 — Price Perception</w:t>
      </w:r>
    </w:p>
    <w:p>
      <w:pPr>
        <w:spacing w:after="120"/>
      </w:pPr>
      <w:r>
        <w:rPr>
          <w:b w:val="0"/>
          <w:i w:val="0"/>
          <w:color w:val="000000"/>
          <w:sz w:val="20"/>
        </w:rPr>
        <w:t>S006 states that 'prices seem higher than bus station.' This is a single comment but it represents a structural challenge: Travler is competing against the mental benchmark of walk-up bus station pricing, which users perceive as the default and cheapest option. Without a visible value proposition — convenience, safety, seat guarantee, time saving — the platform appears to charge a premium for no clear reason. This perception is particularly damaging for the Student and Leisure segments, who are already price-sensitive. A Best Price Guarantee message or a clear 'why book online' explanation on the booking page and in campaign creative would directly address this concern and reduce the hesitation that drives repeat searching without conversion.</w:t>
      </w:r>
    </w:p>
    <w:p>
      <w:pPr>
        <w:spacing w:before="280" w:after="80"/>
      </w:pPr>
      <w:r>
        <w:rPr>
          <w:b/>
          <w:i w:val="0"/>
          <w:color w:val="000000"/>
          <w:sz w:val="32"/>
        </w:rPr>
        <w:t>5. Task 4 — Three Recommendations</w:t>
      </w:r>
    </w:p>
    <w:p>
      <w:pPr>
        <w:spacing w:after="120"/>
      </w:pPr>
      <w:r>
        <w:rPr>
          <w:b w:val="0"/>
          <w:i w:val="0"/>
          <w:color w:val="000000"/>
          <w:sz w:val="20"/>
        </w:rPr>
        <w:t>The following three recommendations address both campaign performance and brand perception. Each recommendation is grounded in the data and designed to produce a measurable outcome.</w:t>
      </w:r>
    </w:p>
    <w:p>
      <w:pPr>
        <w:spacing w:before="160" w:after="80"/>
      </w:pPr>
      <w:r>
        <w:rPr>
          <w:b/>
          <w:i w:val="0"/>
          <w:color w:val="000000"/>
          <w:sz w:val="24"/>
        </w:rPr>
        <w:t>Recommendation 1 — Reallocate 20–30% of TikTok Budget to Google Ads</w:t>
      </w:r>
    </w:p>
    <w:p>
      <w:pPr>
        <w:spacing w:after="120"/>
      </w:pPr>
      <w:r>
        <w:rPr>
          <w:b w:val="0"/>
          <w:i w:val="0"/>
          <w:color w:val="000000"/>
          <w:sz w:val="20"/>
        </w:rPr>
        <w:t>The data makes a clear case for budget reallocation. TikTok's CPA is KES 1,000–1,125. Google Ads CPA is KES 455–458. Every KES 1,000 spent on TikTok generates approximately one booking. The same spend on Google Ads generates approximately two. Shifting 20–30% of TikTok spend to Google Ads — specifically targeting Business Travellers and Young Professionals — would increase total bookings without increasing total spend. TikTok should remain in the media mix but be repositioned as a brand awareness channel. Success on TikTok should be measured by retargeting audience growth, not direct bookings. Users who engage with TikTok content should be served Google Ads or Instagram retargeting ads within 24–48 hours to complete the conversion journey.</w:t>
      </w:r>
    </w:p>
    <w:p>
      <w:pPr>
        <w:spacing w:before="160" w:after="80"/>
      </w:pPr>
      <w:r>
        <w:rPr>
          <w:b/>
          <w:i w:val="0"/>
          <w:color w:val="000000"/>
          <w:sz w:val="24"/>
        </w:rPr>
        <w:t>Recommendation 2 — Publish a Public Crisis Response on X Within 24 Hours</w:t>
      </w:r>
    </w:p>
    <w:p>
      <w:pPr>
        <w:spacing w:after="120"/>
      </w:pPr>
      <w:r>
        <w:rPr>
          <w:b w:val="0"/>
          <w:i w:val="0"/>
          <w:color w:val="000000"/>
          <w:sz w:val="20"/>
        </w:rPr>
        <w:t>The trust and payment themes in the sentiment data are concentrated on X, which is also the platform where the original viral complaint circulated. A public response is required — not a private resolution. The response should acknowledge the payment error directly, confirm it has been resolved, state the steps taken to prevent recurrence, and commit to a specific support response time (recommended: 2 hours during business hours). This post should be pinned to the Travler X profile. Every negative comment currently visible on X should receive a personalised public reply within 24 hours of this submission. Users who see a brand respond quickly and transparently to a complaint are significantly more likely to trust the platform than users who see silence. The goal is not to delete the negative narrative but to replace it with a visible demonstration of accountability.</w:t>
      </w:r>
    </w:p>
    <w:p>
      <w:pPr>
        <w:spacing w:before="160" w:after="80"/>
      </w:pPr>
      <w:r>
        <w:rPr>
          <w:b/>
          <w:i w:val="0"/>
          <w:color w:val="000000"/>
          <w:sz w:val="24"/>
        </w:rPr>
        <w:t>Recommendation 3 — Deploy a Retargeting Sequence for High-CTR Non-Converters</w:t>
      </w:r>
    </w:p>
    <w:p>
      <w:pPr>
        <w:spacing w:after="120"/>
      </w:pPr>
      <w:r>
        <w:rPr>
          <w:b w:val="0"/>
          <w:i w:val="0"/>
          <w:color w:val="000000"/>
          <w:sz w:val="20"/>
        </w:rPr>
        <w:t>Students and Young Professionals are clicking on Travler ads — CTR for these segments ranges from 7.2% to 8.0% — but not completing bookings. The gap between click and conversion indicates that the barrier is not awareness or interest but something at the decision stage: price uncertainty, trust hesitation, or checkout friction. A retargeting sequence should be triggered for any user who clicks a Travler ad but does not complete a booking within 2 hours. The sequence should include three touchpoints: first, a trust message addressing the platform's reliability and payment security; second, a price-anchoring message that explains the value of booking online versus walk-up (convenience, seat guarantee, no queuing); third, a limited-time discount offer of 5–10% to create urgency. This sequence directly addresses all three sentiment themes — trust, payment confidence, and price perception — and targets the segment with the highest volume of unconverted clicks.</w:t>
      </w:r>
    </w:p>
    <w:p>
      <w:pPr>
        <w:spacing w:before="280" w:after="80"/>
      </w:pPr>
      <w:r>
        <w:rPr>
          <w:b/>
          <w:i w:val="0"/>
          <w:color w:val="000000"/>
          <w:sz w:val="32"/>
        </w:rPr>
        <w:t>6. Customer Sentiment Summary</w:t>
      </w:r>
    </w:p>
    <w:p>
      <w:pPr>
        <w:spacing w:after="120"/>
      </w:pPr>
      <w:r>
        <w:rPr>
          <w:b w:val="0"/>
          <w:i w:val="0"/>
          <w:color w:val="000000"/>
          <w:sz w:val="20"/>
        </w:rPr>
        <w:t>The table below lists all ten sentiment comments with their platform, tone, and theme for reference.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440"/>
            <w:shd w:val="clear" w:color="auto" w:fill="FFFFFF"/>
            <w:vAlign w:val="center"/>
          </w:tcPr>
          <w:p>
            <w:r>
              <w:rPr>
                <w:b/>
                <w:i w:val="0"/>
                <w:color w:val="000000"/>
                <w:sz w:val="18"/>
              </w:rPr>
              <w:t>Comment ID</w:t>
            </w:r>
          </w:p>
        </w:tc>
        <w:tc>
          <w:tcPr>
            <w:tcW w:type="dxa" w:w="1440"/>
            <w:shd w:val="clear" w:color="auto" w:fill="FFFFFF"/>
            <w:vAlign w:val="center"/>
          </w:tcPr>
          <w:p>
            <w:r>
              <w:rPr>
                <w:b/>
                <w:i w:val="0"/>
                <w:color w:val="000000"/>
                <w:sz w:val="18"/>
              </w:rPr>
              <w:t>Platform</w:t>
            </w:r>
          </w:p>
        </w:tc>
        <w:tc>
          <w:tcPr>
            <w:tcW w:type="dxa" w:w="1440"/>
            <w:shd w:val="clear" w:color="auto" w:fill="FFFFFF"/>
            <w:vAlign w:val="center"/>
          </w:tcPr>
          <w:p>
            <w:r>
              <w:rPr>
                <w:b/>
                <w:i w:val="0"/>
                <w:color w:val="000000"/>
                <w:sz w:val="18"/>
              </w:rPr>
              <w:t>Sentiment</w:t>
            </w:r>
          </w:p>
        </w:tc>
        <w:tc>
          <w:tcPr>
            <w:tcW w:type="dxa" w:w="2016"/>
            <w:shd w:val="clear" w:color="auto" w:fill="FFFFFF"/>
            <w:vAlign w:val="center"/>
          </w:tcPr>
          <w:p>
            <w:r>
              <w:rPr>
                <w:b/>
                <w:i w:val="0"/>
                <w:color w:val="000000"/>
                <w:sz w:val="18"/>
              </w:rPr>
              <w:t>Theme</w:t>
            </w:r>
          </w:p>
        </w:tc>
        <w:tc>
          <w:tcPr>
            <w:tcW w:type="dxa" w:w="4896"/>
            <w:shd w:val="clear" w:color="auto" w:fill="FFFFFF"/>
            <w:vAlign w:val="center"/>
          </w:tcPr>
          <w:p>
            <w:r>
              <w:rPr>
                <w:b/>
                <w:i w:val="0"/>
                <w:color w:val="000000"/>
                <w:sz w:val="18"/>
              </w:rPr>
              <w:t>Summary</w:t>
            </w:r>
          </w:p>
        </w:tc>
      </w:tr>
      <w:tr>
        <w:tc>
          <w:tcPr>
            <w:tcW w:type="dxa" w:w="1440"/>
            <w:shd w:val="clear" w:color="auto" w:fill="F4F6F8"/>
            <w:vAlign w:val="center"/>
          </w:tcPr>
          <w:p>
            <w:r>
              <w:rPr>
                <w:b w:val="0"/>
                <w:i w:val="0"/>
                <w:color w:val="000000"/>
                <w:sz w:val="18"/>
              </w:rPr>
              <w:t>S001</w:t>
            </w:r>
          </w:p>
        </w:tc>
        <w:tc>
          <w:tcPr>
            <w:tcW w:type="dxa" w:w="1440"/>
            <w:shd w:val="clear" w:color="auto" w:fill="F4F6F8"/>
            <w:vAlign w:val="center"/>
          </w:tcPr>
          <w:p>
            <w:r>
              <w:rPr>
                <w:b w:val="0"/>
                <w:i w:val="0"/>
                <w:color w:val="000000"/>
                <w:sz w:val="18"/>
              </w:rPr>
              <w:t>X</w:t>
            </w:r>
          </w:p>
        </w:tc>
        <w:tc>
          <w:tcPr>
            <w:tcW w:type="dxa" w:w="1440"/>
            <w:shd w:val="clear" w:color="auto" w:fill="F4F6F8"/>
            <w:vAlign w:val="center"/>
          </w:tcPr>
          <w:p>
            <w:r>
              <w:rPr>
                <w:b w:val="0"/>
                <w:i w:val="0"/>
                <w:color w:val="000000"/>
                <w:sz w:val="18"/>
              </w:rPr>
              <w:t>Negative</w:t>
            </w:r>
          </w:p>
        </w:tc>
        <w:tc>
          <w:tcPr>
            <w:tcW w:type="dxa" w:w="2016"/>
            <w:shd w:val="clear" w:color="auto" w:fill="F4F6F8"/>
            <w:vAlign w:val="center"/>
          </w:tcPr>
          <w:p>
            <w:r>
              <w:rPr>
                <w:b w:val="0"/>
                <w:i w:val="0"/>
                <w:color w:val="000000"/>
                <w:sz w:val="18"/>
              </w:rPr>
              <w:t>Payment Issue</w:t>
            </w:r>
          </w:p>
        </w:tc>
        <w:tc>
          <w:tcPr>
            <w:tcW w:type="dxa" w:w="4896"/>
            <w:shd w:val="clear" w:color="auto" w:fill="F4F6F8"/>
            <w:vAlign w:val="center"/>
          </w:tcPr>
          <w:p>
            <w:r>
              <w:rPr>
                <w:b w:val="0"/>
                <w:i w:val="0"/>
                <w:color w:val="000000"/>
                <w:sz w:val="18"/>
              </w:rPr>
              <w:t>Charged twice and no quick response</w:t>
            </w:r>
          </w:p>
        </w:tc>
      </w:tr>
      <w:tr>
        <w:tc>
          <w:tcPr>
            <w:tcW w:type="dxa" w:w="1440"/>
            <w:shd w:val="clear" w:color="auto" w:fill="FFFFFF"/>
            <w:vAlign w:val="center"/>
          </w:tcPr>
          <w:p>
            <w:r>
              <w:rPr>
                <w:b w:val="0"/>
                <w:i w:val="0"/>
                <w:color w:val="000000"/>
                <w:sz w:val="18"/>
              </w:rPr>
              <w:t>S002</w:t>
            </w:r>
          </w:p>
        </w:tc>
        <w:tc>
          <w:tcPr>
            <w:tcW w:type="dxa" w:w="1440"/>
            <w:shd w:val="clear" w:color="auto" w:fill="FFFFFF"/>
            <w:vAlign w:val="center"/>
          </w:tcPr>
          <w:p>
            <w:r>
              <w:rPr>
                <w:b w:val="0"/>
                <w:i w:val="0"/>
                <w:color w:val="000000"/>
                <w:sz w:val="18"/>
              </w:rPr>
              <w:t>Instagram</w:t>
            </w:r>
          </w:p>
        </w:tc>
        <w:tc>
          <w:tcPr>
            <w:tcW w:type="dxa" w:w="1440"/>
            <w:shd w:val="clear" w:color="auto" w:fill="FFFFFF"/>
            <w:vAlign w:val="center"/>
          </w:tcPr>
          <w:p>
            <w:r>
              <w:rPr>
                <w:b w:val="0"/>
                <w:i w:val="0"/>
                <w:color w:val="000000"/>
                <w:sz w:val="18"/>
              </w:rPr>
              <w:t>Negative</w:t>
            </w:r>
          </w:p>
        </w:tc>
        <w:tc>
          <w:tcPr>
            <w:tcW w:type="dxa" w:w="2016"/>
            <w:shd w:val="clear" w:color="auto" w:fill="FFFFFF"/>
            <w:vAlign w:val="center"/>
          </w:tcPr>
          <w:p>
            <w:r>
              <w:rPr>
                <w:b w:val="0"/>
                <w:i w:val="0"/>
                <w:color w:val="000000"/>
                <w:sz w:val="18"/>
              </w:rPr>
              <w:t>Trust</w:t>
            </w:r>
          </w:p>
        </w:tc>
        <w:tc>
          <w:tcPr>
            <w:tcW w:type="dxa" w:w="4896"/>
            <w:shd w:val="clear" w:color="auto" w:fill="FFFFFF"/>
            <w:vAlign w:val="center"/>
          </w:tcPr>
          <w:p>
            <w:r>
              <w:rPr>
                <w:b w:val="0"/>
                <w:i w:val="0"/>
                <w:color w:val="000000"/>
                <w:sz w:val="18"/>
              </w:rPr>
              <w:t>Not sure if this platform is reliable</w:t>
            </w:r>
          </w:p>
        </w:tc>
      </w:tr>
      <w:tr>
        <w:tc>
          <w:tcPr>
            <w:tcW w:type="dxa" w:w="1440"/>
            <w:shd w:val="clear" w:color="auto" w:fill="F4F6F8"/>
            <w:vAlign w:val="center"/>
          </w:tcPr>
          <w:p>
            <w:r>
              <w:rPr>
                <w:b w:val="0"/>
                <w:i w:val="0"/>
                <w:color w:val="000000"/>
                <w:sz w:val="18"/>
              </w:rPr>
              <w:t>S003</w:t>
            </w:r>
          </w:p>
        </w:tc>
        <w:tc>
          <w:tcPr>
            <w:tcW w:type="dxa" w:w="1440"/>
            <w:shd w:val="clear" w:color="auto" w:fill="F4F6F8"/>
            <w:vAlign w:val="center"/>
          </w:tcPr>
          <w:p>
            <w:r>
              <w:rPr>
                <w:b w:val="0"/>
                <w:i w:val="0"/>
                <w:color w:val="000000"/>
                <w:sz w:val="18"/>
              </w:rPr>
              <w:t>X</w:t>
            </w:r>
          </w:p>
        </w:tc>
        <w:tc>
          <w:tcPr>
            <w:tcW w:type="dxa" w:w="1440"/>
            <w:shd w:val="clear" w:color="auto" w:fill="F4F6F8"/>
            <w:vAlign w:val="center"/>
          </w:tcPr>
          <w:p>
            <w:r>
              <w:rPr>
                <w:b w:val="0"/>
                <w:i w:val="0"/>
                <w:color w:val="000000"/>
                <w:sz w:val="18"/>
              </w:rPr>
              <w:t>Neutral</w:t>
            </w:r>
          </w:p>
        </w:tc>
        <w:tc>
          <w:tcPr>
            <w:tcW w:type="dxa" w:w="2016"/>
            <w:shd w:val="clear" w:color="auto" w:fill="F4F6F8"/>
            <w:vAlign w:val="center"/>
          </w:tcPr>
          <w:p>
            <w:r>
              <w:rPr>
                <w:b w:val="0"/>
                <w:i w:val="0"/>
                <w:color w:val="000000"/>
                <w:sz w:val="18"/>
              </w:rPr>
              <w:t>Inquiry</w:t>
            </w:r>
          </w:p>
        </w:tc>
        <w:tc>
          <w:tcPr>
            <w:tcW w:type="dxa" w:w="4896"/>
            <w:shd w:val="clear" w:color="auto" w:fill="F4F6F8"/>
            <w:vAlign w:val="center"/>
          </w:tcPr>
          <w:p>
            <w:r>
              <w:rPr>
                <w:b w:val="0"/>
                <w:i w:val="0"/>
                <w:color w:val="000000"/>
                <w:sz w:val="18"/>
              </w:rPr>
              <w:t>How do refunds work?</w:t>
            </w:r>
          </w:p>
        </w:tc>
      </w:tr>
      <w:tr>
        <w:tc>
          <w:tcPr>
            <w:tcW w:type="dxa" w:w="1440"/>
            <w:shd w:val="clear" w:color="auto" w:fill="FFFFFF"/>
            <w:vAlign w:val="center"/>
          </w:tcPr>
          <w:p>
            <w:r>
              <w:rPr>
                <w:b w:val="0"/>
                <w:i w:val="0"/>
                <w:color w:val="000000"/>
                <w:sz w:val="18"/>
              </w:rPr>
              <w:t>S004</w:t>
            </w:r>
          </w:p>
        </w:tc>
        <w:tc>
          <w:tcPr>
            <w:tcW w:type="dxa" w:w="1440"/>
            <w:shd w:val="clear" w:color="auto" w:fill="FFFFFF"/>
            <w:vAlign w:val="center"/>
          </w:tcPr>
          <w:p>
            <w:r>
              <w:rPr>
                <w:b w:val="0"/>
                <w:i w:val="0"/>
                <w:color w:val="000000"/>
                <w:sz w:val="18"/>
              </w:rPr>
              <w:t>Instagram</w:t>
            </w:r>
          </w:p>
        </w:tc>
        <w:tc>
          <w:tcPr>
            <w:tcW w:type="dxa" w:w="1440"/>
            <w:shd w:val="clear" w:color="auto" w:fill="FFFFFF"/>
            <w:vAlign w:val="center"/>
          </w:tcPr>
          <w:p>
            <w:r>
              <w:rPr>
                <w:b w:val="0"/>
                <w:i w:val="0"/>
                <w:color w:val="000000"/>
                <w:sz w:val="18"/>
              </w:rPr>
              <w:t>Positive</w:t>
            </w:r>
          </w:p>
        </w:tc>
        <w:tc>
          <w:tcPr>
            <w:tcW w:type="dxa" w:w="2016"/>
            <w:shd w:val="clear" w:color="auto" w:fill="FFFFFF"/>
            <w:vAlign w:val="center"/>
          </w:tcPr>
          <w:p>
            <w:r>
              <w:rPr>
                <w:b w:val="0"/>
                <w:i w:val="0"/>
                <w:color w:val="000000"/>
                <w:sz w:val="18"/>
              </w:rPr>
              <w:t>Convenience</w:t>
            </w:r>
          </w:p>
        </w:tc>
        <w:tc>
          <w:tcPr>
            <w:tcW w:type="dxa" w:w="4896"/>
            <w:shd w:val="clear" w:color="auto" w:fill="FFFFFF"/>
            <w:vAlign w:val="center"/>
          </w:tcPr>
          <w:p>
            <w:r>
              <w:rPr>
                <w:b w:val="0"/>
                <w:i w:val="0"/>
                <w:color w:val="000000"/>
                <w:sz w:val="18"/>
              </w:rPr>
              <w:t>Booking process is easy</w:t>
            </w:r>
          </w:p>
        </w:tc>
      </w:tr>
      <w:tr>
        <w:tc>
          <w:tcPr>
            <w:tcW w:type="dxa" w:w="1440"/>
            <w:shd w:val="clear" w:color="auto" w:fill="F4F6F8"/>
            <w:vAlign w:val="center"/>
          </w:tcPr>
          <w:p>
            <w:r>
              <w:rPr>
                <w:b w:val="0"/>
                <w:i w:val="0"/>
                <w:color w:val="000000"/>
                <w:sz w:val="18"/>
              </w:rPr>
              <w:t>S005</w:t>
            </w:r>
          </w:p>
        </w:tc>
        <w:tc>
          <w:tcPr>
            <w:tcW w:type="dxa" w:w="1440"/>
            <w:shd w:val="clear" w:color="auto" w:fill="F4F6F8"/>
            <w:vAlign w:val="center"/>
          </w:tcPr>
          <w:p>
            <w:r>
              <w:rPr>
                <w:b w:val="0"/>
                <w:i w:val="0"/>
                <w:color w:val="000000"/>
                <w:sz w:val="18"/>
              </w:rPr>
              <w:t>TikTok</w:t>
            </w:r>
          </w:p>
        </w:tc>
        <w:tc>
          <w:tcPr>
            <w:tcW w:type="dxa" w:w="1440"/>
            <w:shd w:val="clear" w:color="auto" w:fill="F4F6F8"/>
            <w:vAlign w:val="center"/>
          </w:tcPr>
          <w:p>
            <w:r>
              <w:rPr>
                <w:b w:val="0"/>
                <w:i w:val="0"/>
                <w:color w:val="000000"/>
                <w:sz w:val="18"/>
              </w:rPr>
              <w:t>Negative</w:t>
            </w:r>
          </w:p>
        </w:tc>
        <w:tc>
          <w:tcPr>
            <w:tcW w:type="dxa" w:w="2016"/>
            <w:shd w:val="clear" w:color="auto" w:fill="F4F6F8"/>
            <w:vAlign w:val="center"/>
          </w:tcPr>
          <w:p>
            <w:r>
              <w:rPr>
                <w:b w:val="0"/>
                <w:i w:val="0"/>
                <w:color w:val="000000"/>
                <w:sz w:val="18"/>
              </w:rPr>
              <w:t>Customer Service</w:t>
            </w:r>
          </w:p>
        </w:tc>
        <w:tc>
          <w:tcPr>
            <w:tcW w:type="dxa" w:w="4896"/>
            <w:shd w:val="clear" w:color="auto" w:fill="F4F6F8"/>
            <w:vAlign w:val="center"/>
          </w:tcPr>
          <w:p>
            <w:r>
              <w:rPr>
                <w:b w:val="0"/>
                <w:i w:val="0"/>
                <w:color w:val="000000"/>
                <w:sz w:val="18"/>
              </w:rPr>
              <w:t>Support takes too long</w:t>
            </w:r>
          </w:p>
        </w:tc>
      </w:tr>
      <w:tr>
        <w:tc>
          <w:tcPr>
            <w:tcW w:type="dxa" w:w="1440"/>
            <w:shd w:val="clear" w:color="auto" w:fill="FFFFFF"/>
            <w:vAlign w:val="center"/>
          </w:tcPr>
          <w:p>
            <w:r>
              <w:rPr>
                <w:b w:val="0"/>
                <w:i w:val="0"/>
                <w:color w:val="000000"/>
                <w:sz w:val="18"/>
              </w:rPr>
              <w:t>S006</w:t>
            </w:r>
          </w:p>
        </w:tc>
        <w:tc>
          <w:tcPr>
            <w:tcW w:type="dxa" w:w="1440"/>
            <w:shd w:val="clear" w:color="auto" w:fill="FFFFFF"/>
            <w:vAlign w:val="center"/>
          </w:tcPr>
          <w:p>
            <w:r>
              <w:rPr>
                <w:b w:val="0"/>
                <w:i w:val="0"/>
                <w:color w:val="000000"/>
                <w:sz w:val="18"/>
              </w:rPr>
              <w:t>Instagram</w:t>
            </w:r>
          </w:p>
        </w:tc>
        <w:tc>
          <w:tcPr>
            <w:tcW w:type="dxa" w:w="1440"/>
            <w:shd w:val="clear" w:color="auto" w:fill="FFFFFF"/>
            <w:vAlign w:val="center"/>
          </w:tcPr>
          <w:p>
            <w:r>
              <w:rPr>
                <w:b w:val="0"/>
                <w:i w:val="0"/>
                <w:color w:val="000000"/>
                <w:sz w:val="18"/>
              </w:rPr>
              <w:t>Neutral</w:t>
            </w:r>
          </w:p>
        </w:tc>
        <w:tc>
          <w:tcPr>
            <w:tcW w:type="dxa" w:w="2016"/>
            <w:shd w:val="clear" w:color="auto" w:fill="FFFFFF"/>
            <w:vAlign w:val="center"/>
          </w:tcPr>
          <w:p>
            <w:r>
              <w:rPr>
                <w:b w:val="0"/>
                <w:i w:val="0"/>
                <w:color w:val="000000"/>
                <w:sz w:val="18"/>
              </w:rPr>
              <w:t>Price</w:t>
            </w:r>
          </w:p>
        </w:tc>
        <w:tc>
          <w:tcPr>
            <w:tcW w:type="dxa" w:w="4896"/>
            <w:shd w:val="clear" w:color="auto" w:fill="FFFFFF"/>
            <w:vAlign w:val="center"/>
          </w:tcPr>
          <w:p>
            <w:r>
              <w:rPr>
                <w:b w:val="0"/>
                <w:i w:val="0"/>
                <w:color w:val="000000"/>
                <w:sz w:val="18"/>
              </w:rPr>
              <w:t>Prices seem higher than bus station</w:t>
            </w:r>
          </w:p>
        </w:tc>
      </w:tr>
      <w:tr>
        <w:tc>
          <w:tcPr>
            <w:tcW w:type="dxa" w:w="1440"/>
            <w:shd w:val="clear" w:color="auto" w:fill="F4F6F8"/>
            <w:vAlign w:val="center"/>
          </w:tcPr>
          <w:p>
            <w:r>
              <w:rPr>
                <w:b w:val="0"/>
                <w:i w:val="0"/>
                <w:color w:val="000000"/>
                <w:sz w:val="18"/>
              </w:rPr>
              <w:t>S007</w:t>
            </w:r>
          </w:p>
        </w:tc>
        <w:tc>
          <w:tcPr>
            <w:tcW w:type="dxa" w:w="1440"/>
            <w:shd w:val="clear" w:color="auto" w:fill="F4F6F8"/>
            <w:vAlign w:val="center"/>
          </w:tcPr>
          <w:p>
            <w:r>
              <w:rPr>
                <w:b w:val="0"/>
                <w:i w:val="0"/>
                <w:color w:val="000000"/>
                <w:sz w:val="18"/>
              </w:rPr>
              <w:t>X</w:t>
            </w:r>
          </w:p>
        </w:tc>
        <w:tc>
          <w:tcPr>
            <w:tcW w:type="dxa" w:w="1440"/>
            <w:shd w:val="clear" w:color="auto" w:fill="F4F6F8"/>
            <w:vAlign w:val="center"/>
          </w:tcPr>
          <w:p>
            <w:r>
              <w:rPr>
                <w:b w:val="0"/>
                <w:i w:val="0"/>
                <w:color w:val="000000"/>
                <w:sz w:val="18"/>
              </w:rPr>
              <w:t>Negative</w:t>
            </w:r>
          </w:p>
        </w:tc>
        <w:tc>
          <w:tcPr>
            <w:tcW w:type="dxa" w:w="2016"/>
            <w:shd w:val="clear" w:color="auto" w:fill="F4F6F8"/>
            <w:vAlign w:val="center"/>
          </w:tcPr>
          <w:p>
            <w:r>
              <w:rPr>
                <w:b w:val="0"/>
                <w:i w:val="0"/>
                <w:color w:val="000000"/>
                <w:sz w:val="18"/>
              </w:rPr>
              <w:t>Trust</w:t>
            </w:r>
          </w:p>
        </w:tc>
        <w:tc>
          <w:tcPr>
            <w:tcW w:type="dxa" w:w="4896"/>
            <w:shd w:val="clear" w:color="auto" w:fill="F4F6F8"/>
            <w:vAlign w:val="center"/>
          </w:tcPr>
          <w:p>
            <w:r>
              <w:rPr>
                <w:b w:val="0"/>
                <w:i w:val="0"/>
                <w:color w:val="000000"/>
                <w:sz w:val="18"/>
              </w:rPr>
              <w:t>Will stick to booking directly</w:t>
            </w:r>
          </w:p>
        </w:tc>
      </w:tr>
      <w:tr>
        <w:tc>
          <w:tcPr>
            <w:tcW w:type="dxa" w:w="1440"/>
            <w:shd w:val="clear" w:color="auto" w:fill="FFFFFF"/>
            <w:vAlign w:val="center"/>
          </w:tcPr>
          <w:p>
            <w:r>
              <w:rPr>
                <w:b w:val="0"/>
                <w:i w:val="0"/>
                <w:color w:val="000000"/>
                <w:sz w:val="18"/>
              </w:rPr>
              <w:t>S008</w:t>
            </w:r>
          </w:p>
        </w:tc>
        <w:tc>
          <w:tcPr>
            <w:tcW w:type="dxa" w:w="1440"/>
            <w:shd w:val="clear" w:color="auto" w:fill="FFFFFF"/>
            <w:vAlign w:val="center"/>
          </w:tcPr>
          <w:p>
            <w:r>
              <w:rPr>
                <w:b w:val="0"/>
                <w:i w:val="0"/>
                <w:color w:val="000000"/>
                <w:sz w:val="18"/>
              </w:rPr>
              <w:t>Instagram</w:t>
            </w:r>
          </w:p>
        </w:tc>
        <w:tc>
          <w:tcPr>
            <w:tcW w:type="dxa" w:w="1440"/>
            <w:shd w:val="clear" w:color="auto" w:fill="FFFFFF"/>
            <w:vAlign w:val="center"/>
          </w:tcPr>
          <w:p>
            <w:r>
              <w:rPr>
                <w:b w:val="0"/>
                <w:i w:val="0"/>
                <w:color w:val="000000"/>
                <w:sz w:val="18"/>
              </w:rPr>
              <w:t>Positive</w:t>
            </w:r>
          </w:p>
        </w:tc>
        <w:tc>
          <w:tcPr>
            <w:tcW w:type="dxa" w:w="2016"/>
            <w:shd w:val="clear" w:color="auto" w:fill="FFFFFF"/>
            <w:vAlign w:val="center"/>
          </w:tcPr>
          <w:p>
            <w:r>
              <w:rPr>
                <w:b w:val="0"/>
                <w:i w:val="0"/>
                <w:color w:val="000000"/>
                <w:sz w:val="18"/>
              </w:rPr>
              <w:t>Discounts</w:t>
            </w:r>
          </w:p>
        </w:tc>
        <w:tc>
          <w:tcPr>
            <w:tcW w:type="dxa" w:w="4896"/>
            <w:shd w:val="clear" w:color="auto" w:fill="FFFFFF"/>
            <w:vAlign w:val="center"/>
          </w:tcPr>
          <w:p>
            <w:r>
              <w:rPr>
                <w:b w:val="0"/>
                <w:i w:val="0"/>
                <w:color w:val="000000"/>
                <w:sz w:val="18"/>
              </w:rPr>
              <w:t>Got a good deal on tickets</w:t>
            </w:r>
          </w:p>
        </w:tc>
      </w:tr>
      <w:tr>
        <w:tc>
          <w:tcPr>
            <w:tcW w:type="dxa" w:w="1440"/>
            <w:shd w:val="clear" w:color="auto" w:fill="F4F6F8"/>
            <w:vAlign w:val="center"/>
          </w:tcPr>
          <w:p>
            <w:r>
              <w:rPr>
                <w:b w:val="0"/>
                <w:i w:val="0"/>
                <w:color w:val="000000"/>
                <w:sz w:val="18"/>
              </w:rPr>
              <w:t>S009</w:t>
            </w:r>
          </w:p>
        </w:tc>
        <w:tc>
          <w:tcPr>
            <w:tcW w:type="dxa" w:w="1440"/>
            <w:shd w:val="clear" w:color="auto" w:fill="F4F6F8"/>
            <w:vAlign w:val="center"/>
          </w:tcPr>
          <w:p>
            <w:r>
              <w:rPr>
                <w:b w:val="0"/>
                <w:i w:val="0"/>
                <w:color w:val="000000"/>
                <w:sz w:val="18"/>
              </w:rPr>
              <w:t>TikTok</w:t>
            </w:r>
          </w:p>
        </w:tc>
        <w:tc>
          <w:tcPr>
            <w:tcW w:type="dxa" w:w="1440"/>
            <w:shd w:val="clear" w:color="auto" w:fill="F4F6F8"/>
            <w:vAlign w:val="center"/>
          </w:tcPr>
          <w:p>
            <w:r>
              <w:rPr>
                <w:b w:val="0"/>
                <w:i w:val="0"/>
                <w:color w:val="000000"/>
                <w:sz w:val="18"/>
              </w:rPr>
              <w:t>Negative</w:t>
            </w:r>
          </w:p>
        </w:tc>
        <w:tc>
          <w:tcPr>
            <w:tcW w:type="dxa" w:w="2016"/>
            <w:shd w:val="clear" w:color="auto" w:fill="F4F6F8"/>
            <w:vAlign w:val="center"/>
          </w:tcPr>
          <w:p>
            <w:r>
              <w:rPr>
                <w:b w:val="0"/>
                <w:i w:val="0"/>
                <w:color w:val="000000"/>
                <w:sz w:val="18"/>
              </w:rPr>
              <w:t>Experience</w:t>
            </w:r>
          </w:p>
        </w:tc>
        <w:tc>
          <w:tcPr>
            <w:tcW w:type="dxa" w:w="4896"/>
            <w:shd w:val="clear" w:color="auto" w:fill="F4F6F8"/>
            <w:vAlign w:val="center"/>
          </w:tcPr>
          <w:p>
            <w:r>
              <w:rPr>
                <w:b w:val="0"/>
                <w:i w:val="0"/>
                <w:color w:val="000000"/>
                <w:sz w:val="18"/>
              </w:rPr>
              <w:t>App froze during booking</w:t>
            </w:r>
          </w:p>
        </w:tc>
      </w:tr>
      <w:tr>
        <w:tc>
          <w:tcPr>
            <w:tcW w:type="dxa" w:w="1440"/>
            <w:shd w:val="clear" w:color="auto" w:fill="FFFFFF"/>
            <w:vAlign w:val="center"/>
          </w:tcPr>
          <w:p>
            <w:r>
              <w:rPr>
                <w:b w:val="0"/>
                <w:i w:val="0"/>
                <w:color w:val="000000"/>
                <w:sz w:val="18"/>
              </w:rPr>
              <w:t>S010</w:t>
            </w:r>
          </w:p>
        </w:tc>
        <w:tc>
          <w:tcPr>
            <w:tcW w:type="dxa" w:w="1440"/>
            <w:shd w:val="clear" w:color="auto" w:fill="FFFFFF"/>
            <w:vAlign w:val="center"/>
          </w:tcPr>
          <w:p>
            <w:r>
              <w:rPr>
                <w:b w:val="0"/>
                <w:i w:val="0"/>
                <w:color w:val="000000"/>
                <w:sz w:val="18"/>
              </w:rPr>
              <w:t>X</w:t>
            </w:r>
          </w:p>
        </w:tc>
        <w:tc>
          <w:tcPr>
            <w:tcW w:type="dxa" w:w="1440"/>
            <w:shd w:val="clear" w:color="auto" w:fill="FFFFFF"/>
            <w:vAlign w:val="center"/>
          </w:tcPr>
          <w:p>
            <w:r>
              <w:rPr>
                <w:b w:val="0"/>
                <w:i w:val="0"/>
                <w:color w:val="000000"/>
                <w:sz w:val="18"/>
              </w:rPr>
              <w:t>Neutral</w:t>
            </w:r>
          </w:p>
        </w:tc>
        <w:tc>
          <w:tcPr>
            <w:tcW w:type="dxa" w:w="2016"/>
            <w:shd w:val="clear" w:color="auto" w:fill="FFFFFF"/>
            <w:vAlign w:val="center"/>
          </w:tcPr>
          <w:p>
            <w:r>
              <w:rPr>
                <w:b w:val="0"/>
                <w:i w:val="0"/>
                <w:color w:val="000000"/>
                <w:sz w:val="18"/>
              </w:rPr>
              <w:t>Clarification</w:t>
            </w:r>
          </w:p>
        </w:tc>
        <w:tc>
          <w:tcPr>
            <w:tcW w:type="dxa" w:w="4896"/>
            <w:shd w:val="clear" w:color="auto" w:fill="FFFFFF"/>
            <w:vAlign w:val="center"/>
          </w:tcPr>
          <w:p>
            <w:r>
              <w:rPr>
                <w:b w:val="0"/>
                <w:i w:val="0"/>
                <w:color w:val="000000"/>
                <w:sz w:val="18"/>
              </w:rPr>
              <w:t>Is this platform legit?</w:t>
            </w:r>
          </w:p>
        </w:tc>
      </w:tr>
    </w:tbl>
    <w:p/>
    <w:p>
      <w:pPr>
        <w:spacing w:before="280" w:after="80"/>
      </w:pPr>
      <w:r>
        <w:rPr>
          <w:b/>
          <w:i w:val="0"/>
          <w:color w:val="000000"/>
          <w:sz w:val="32"/>
        </w:rPr>
        <w:t>7. Conclusion</w:t>
      </w:r>
    </w:p>
    <w:p>
      <w:pPr>
        <w:spacing w:after="120"/>
      </w:pPr>
      <w:r>
        <w:rPr>
          <w:b w:val="0"/>
          <w:i w:val="0"/>
          <w:color w:val="000000"/>
          <w:sz w:val="20"/>
        </w:rPr>
        <w:t>Travler faces two simultaneous challenges this week: a campaign performance gap driven by channel misalignment, and a reputational challenge driven by a viral complaint and its aftermath. The data shows these challenges are connected. Users who encounter negative sentiment about Travler on X before or after seeing a paid ad are less likely to convert — the trust deficit created by the complaint is actively suppressing the return on campaign spend. Addressing both issues together is therefore more valuable than treating them separately. The three recommendations in this report — reallocating budget to Google Ads, publishing a public crisis response on X, and deploying a retargeting sequence for non-converters — are designed to work as a coordinated response. Budget reallocation improves conversion efficiency. The crisis response rebuilds the trust that makes conversion possible. The retargeting sequence captures the users who are interested but hesitant, addressing the price and trust barriers that the sentiment data has identified. Together, these actions give Travler a structured path from the current situation — high reach, low conversion, damaged trust — to a position of improved performance and rebuilt credibility.</w:t>
      </w:r>
    </w:p>
    <w:p/>
    <w:p>
      <w:r>
        <w:rPr>
          <w:b w:val="0"/>
          <w:i/>
          <w:color w:val="000000"/>
          <w:sz w:val="16"/>
        </w:rPr>
        <w:t>Travler  |  Week 3 Campaign &amp; Sentiment Analysis  |  Dataset: 8 campaigns, 10 sentiment comments, 4 channels  |  Analysis: campaign performance, customer sentiment &amp; brand perception</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