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i w:val="0"/>
          <w:color w:val="000000"/>
          <w:sz w:val="44"/>
        </w:rPr>
        <w:t>Travler — Week 4 Paid Advertising Strategy Under Budget Constraints</w:t>
      </w:r>
    </w:p>
    <w:p>
      <w:pPr>
        <w:spacing w:after="200"/>
      </w:pPr>
      <w:r>
        <w:rPr>
          <w:b w:val="0"/>
          <w:i/>
          <w:color w:val="000000"/>
          <w:sz w:val="22"/>
        </w:rPr>
        <w:t>Marketing Team Submission  |  Audience Prioritisation, Channel Strategy, Messaging &amp; Budget Allocation</w:t>
      </w:r>
    </w:p>
    <w:p>
      <w:pPr>
        <w:spacing w:before="280" w:after="80"/>
      </w:pPr>
      <w:r>
        <w:rPr>
          <w:b/>
          <w:i w:val="0"/>
          <w:color w:val="000000"/>
          <w:sz w:val="32"/>
        </w:rPr>
        <w:t>1. Executive Summary</w:t>
      </w:r>
    </w:p>
    <w:p>
      <w:pPr>
        <w:spacing w:after="120"/>
      </w:pPr>
      <w:r>
        <w:rPr>
          <w:b w:val="0"/>
          <w:i w:val="0"/>
          <w:color w:val="000000"/>
          <w:sz w:val="20"/>
        </w:rPr>
        <w:t>Travler enters Week 4 under increased financial scrutiny following the reputational incident in Week 3 and a leadership decision to reduce marketing spend while reviewing effectiveness. The Finance team, led by Kevin R., is demanding clear justification for every marketing shilling spent. At the same time, Amina K. has stressed that maintaining visibility in a competitive market is non-negotiable. This submission addresses that tension directly by building a paid advertising strategy that is both defensible to Finance and effective for Marketing. The strategy is grounded in three weeks of accumulated data across customer behaviour, content performance, and campaign results. It identifies the three audience segments most likely to deliver high conversion value, proposes a three-channel approach with clearly defined roles, develops three messaging angles tailored to segment behaviour, and recommends a budget allocation that concentrates spend where the data shows the highest return.</w:t>
      </w:r>
    </w:p>
    <w:p>
      <w:pPr>
        <w:spacing w:before="160" w:after="80"/>
      </w:pPr>
      <w:r>
        <w:rPr>
          <w:b/>
          <w:i w:val="0"/>
          <w:color w:val="000000"/>
          <w:sz w:val="24"/>
        </w:rPr>
        <w:t>Internal Context</w:t>
      </w:r>
    </w:p>
    <w:p>
      <w:pPr>
        <w:spacing w:after="120"/>
      </w:pPr>
      <w:r>
        <w:rPr>
          <w:b w:val="0"/>
          <w:i w:val="0"/>
          <w:color w:val="000000"/>
          <w:sz w:val="20"/>
        </w:rPr>
        <w:t>Kevin R. requires that every channel in the plan can demonstrate a measurable link between spend and bookings. This submission meets that requirement by anchoring the primary budget allocation to Google Ads, which delivered the highest ROI score (5/5) and the lowest cost per booking (KES 350–455) in the dataset. Amina K.'s concern about visibility is addressed by maintaining Instagram as a retargeting and mid-funnel channel and retaining X at minimum spend for reputation management — a direct response to the trust and sentiment issues that remain unresolved from Week 3. TikTok is paused under this strategy, a decision supported by its Week 3 CPA of KES 1,000–1,125 and ROI score of 2/5, which cannot be justified under current budget constraints.</w:t>
      </w:r>
    </w:p>
    <w:tbl>
      <w:tblPr>
        <w:tblStyle w:val="TableGrid"/>
        <w:tblW w:type="auto" w:w="0"/>
        <w:tblLook w:firstColumn="1" w:firstRow="1" w:lastColumn="0" w:lastRow="0" w:noHBand="0" w:noVBand="1" w:val="04A0"/>
      </w:tblPr>
      <w:tblGrid>
        <w:gridCol w:w="3135"/>
        <w:gridCol w:w="3135"/>
        <w:gridCol w:w="3135"/>
      </w:tblGrid>
      <w:tr>
        <w:tc>
          <w:tcPr>
            <w:tcW w:type="dxa" w:w="3456"/>
            <w:shd w:val="clear" w:color="auto" w:fill="FFFFFF"/>
            <w:vAlign w:val="center"/>
          </w:tcPr>
          <w:p>
            <w:r>
              <w:rPr>
                <w:b/>
                <w:i w:val="0"/>
                <w:color w:val="000000"/>
                <w:sz w:val="18"/>
              </w:rPr>
              <w:t>Metric</w:t>
            </w:r>
          </w:p>
        </w:tc>
        <w:tc>
          <w:tcPr>
            <w:tcW w:type="dxa" w:w="2592"/>
            <w:shd w:val="clear" w:color="auto" w:fill="FFFFFF"/>
            <w:vAlign w:val="center"/>
          </w:tcPr>
          <w:p>
            <w:r>
              <w:rPr>
                <w:b/>
                <w:i w:val="0"/>
                <w:color w:val="000000"/>
                <w:sz w:val="18"/>
              </w:rPr>
              <w:t>Value</w:t>
            </w:r>
          </w:p>
        </w:tc>
        <w:tc>
          <w:tcPr>
            <w:tcW w:type="dxa" w:w="3744"/>
            <w:shd w:val="clear" w:color="auto" w:fill="FFFFFF"/>
            <w:vAlign w:val="center"/>
          </w:tcPr>
          <w:p>
            <w:r>
              <w:rPr>
                <w:b/>
                <w:i w:val="0"/>
                <w:color w:val="000000"/>
                <w:sz w:val="18"/>
              </w:rPr>
              <w:t>Implication</w:t>
            </w:r>
          </w:p>
        </w:tc>
      </w:tr>
      <w:tr>
        <w:tc>
          <w:tcPr>
            <w:tcW w:type="dxa" w:w="3456"/>
            <w:shd w:val="clear" w:color="auto" w:fill="F4F6F8"/>
            <w:vAlign w:val="center"/>
          </w:tcPr>
          <w:p>
            <w:r>
              <w:rPr>
                <w:b w:val="0"/>
                <w:i w:val="0"/>
                <w:color w:val="000000"/>
                <w:sz w:val="18"/>
              </w:rPr>
              <w:t>Audience Segments Prioritised</w:t>
            </w:r>
          </w:p>
        </w:tc>
        <w:tc>
          <w:tcPr>
            <w:tcW w:type="dxa" w:w="2592"/>
            <w:shd w:val="clear" w:color="auto" w:fill="F4F6F8"/>
            <w:vAlign w:val="center"/>
          </w:tcPr>
          <w:p>
            <w:r>
              <w:rPr>
                <w:b w:val="0"/>
                <w:i w:val="0"/>
                <w:color w:val="000000"/>
                <w:sz w:val="18"/>
              </w:rPr>
              <w:t>3 of 5</w:t>
            </w:r>
          </w:p>
        </w:tc>
        <w:tc>
          <w:tcPr>
            <w:tcW w:type="dxa" w:w="3744"/>
            <w:shd w:val="clear" w:color="auto" w:fill="F4F6F8"/>
            <w:vAlign w:val="center"/>
          </w:tcPr>
          <w:p>
            <w:r>
              <w:rPr>
                <w:b w:val="0"/>
                <w:i w:val="0"/>
                <w:color w:val="000000"/>
                <w:sz w:val="18"/>
              </w:rPr>
              <w:t>Business Travellers, Families, Young Professionals</w:t>
            </w:r>
          </w:p>
        </w:tc>
      </w:tr>
      <w:tr>
        <w:tc>
          <w:tcPr>
            <w:tcW w:type="dxa" w:w="3456"/>
            <w:shd w:val="clear" w:color="auto" w:fill="FFFFFF"/>
            <w:vAlign w:val="center"/>
          </w:tcPr>
          <w:p>
            <w:r>
              <w:rPr>
                <w:b w:val="0"/>
                <w:i w:val="0"/>
                <w:color w:val="000000"/>
                <w:sz w:val="18"/>
              </w:rPr>
              <w:t>Primary Channel</w:t>
            </w:r>
          </w:p>
        </w:tc>
        <w:tc>
          <w:tcPr>
            <w:tcW w:type="dxa" w:w="2592"/>
            <w:shd w:val="clear" w:color="auto" w:fill="FFFFFF"/>
            <w:vAlign w:val="center"/>
          </w:tcPr>
          <w:p>
            <w:r>
              <w:rPr>
                <w:b w:val="0"/>
                <w:i w:val="0"/>
                <w:color w:val="000000"/>
                <w:sz w:val="18"/>
              </w:rPr>
              <w:t>Google Ads</w:t>
            </w:r>
          </w:p>
        </w:tc>
        <w:tc>
          <w:tcPr>
            <w:tcW w:type="dxa" w:w="3744"/>
            <w:shd w:val="clear" w:color="auto" w:fill="FFFFFF"/>
            <w:vAlign w:val="center"/>
          </w:tcPr>
          <w:p>
            <w:r>
              <w:rPr>
                <w:b w:val="0"/>
                <w:i w:val="0"/>
                <w:color w:val="000000"/>
                <w:sz w:val="18"/>
              </w:rPr>
              <w:t>ROI score 5/5, lowest cost per booking, lowest risk</w:t>
            </w:r>
          </w:p>
        </w:tc>
      </w:tr>
      <w:tr>
        <w:tc>
          <w:tcPr>
            <w:tcW w:type="dxa" w:w="3456"/>
            <w:shd w:val="clear" w:color="auto" w:fill="F4F6F8"/>
            <w:vAlign w:val="center"/>
          </w:tcPr>
          <w:p>
            <w:r>
              <w:rPr>
                <w:b w:val="0"/>
                <w:i w:val="0"/>
                <w:color w:val="000000"/>
                <w:sz w:val="18"/>
              </w:rPr>
              <w:t>Secondary Channel</w:t>
            </w:r>
          </w:p>
        </w:tc>
        <w:tc>
          <w:tcPr>
            <w:tcW w:type="dxa" w:w="2592"/>
            <w:shd w:val="clear" w:color="auto" w:fill="F4F6F8"/>
            <w:vAlign w:val="center"/>
          </w:tcPr>
          <w:p>
            <w:r>
              <w:rPr>
                <w:b w:val="0"/>
                <w:i w:val="0"/>
                <w:color w:val="000000"/>
                <w:sz w:val="18"/>
              </w:rPr>
              <w:t>Instagram</w:t>
            </w:r>
          </w:p>
        </w:tc>
        <w:tc>
          <w:tcPr>
            <w:tcW w:type="dxa" w:w="3744"/>
            <w:shd w:val="clear" w:color="auto" w:fill="F4F6F8"/>
            <w:vAlign w:val="center"/>
          </w:tcPr>
          <w:p>
            <w:r>
              <w:rPr>
                <w:b w:val="0"/>
                <w:i w:val="0"/>
                <w:color w:val="000000"/>
                <w:sz w:val="18"/>
              </w:rPr>
              <w:t>Retargeting and mid-funnel, ROI score 4/5</w:t>
            </w:r>
          </w:p>
        </w:tc>
      </w:tr>
      <w:tr>
        <w:tc>
          <w:tcPr>
            <w:tcW w:type="dxa" w:w="3456"/>
            <w:shd w:val="clear" w:color="auto" w:fill="FFFFFF"/>
            <w:vAlign w:val="center"/>
          </w:tcPr>
          <w:p>
            <w:r>
              <w:rPr>
                <w:b w:val="0"/>
                <w:i w:val="0"/>
                <w:color w:val="000000"/>
                <w:sz w:val="18"/>
              </w:rPr>
              <w:t>Reputation Channel</w:t>
            </w:r>
          </w:p>
        </w:tc>
        <w:tc>
          <w:tcPr>
            <w:tcW w:type="dxa" w:w="2592"/>
            <w:shd w:val="clear" w:color="auto" w:fill="FFFFFF"/>
            <w:vAlign w:val="center"/>
          </w:tcPr>
          <w:p>
            <w:r>
              <w:rPr>
                <w:b w:val="0"/>
                <w:i w:val="0"/>
                <w:color w:val="000000"/>
                <w:sz w:val="18"/>
              </w:rPr>
              <w:t>X — minimum spend</w:t>
            </w:r>
          </w:p>
        </w:tc>
        <w:tc>
          <w:tcPr>
            <w:tcW w:type="dxa" w:w="3744"/>
            <w:shd w:val="clear" w:color="auto" w:fill="FFFFFF"/>
            <w:vAlign w:val="center"/>
          </w:tcPr>
          <w:p>
            <w:r>
              <w:rPr>
                <w:b w:val="0"/>
                <w:i w:val="0"/>
                <w:color w:val="000000"/>
                <w:sz w:val="18"/>
              </w:rPr>
              <w:t>Trust recovery post Week 3 incident, ROI score 3/5</w:t>
            </w:r>
          </w:p>
        </w:tc>
      </w:tr>
      <w:tr>
        <w:tc>
          <w:tcPr>
            <w:tcW w:type="dxa" w:w="3456"/>
            <w:shd w:val="clear" w:color="auto" w:fill="F4F6F8"/>
            <w:vAlign w:val="center"/>
          </w:tcPr>
          <w:p>
            <w:r>
              <w:rPr>
                <w:b w:val="0"/>
                <w:i w:val="0"/>
                <w:color w:val="000000"/>
                <w:sz w:val="18"/>
              </w:rPr>
              <w:t>Channel Paused</w:t>
            </w:r>
          </w:p>
        </w:tc>
        <w:tc>
          <w:tcPr>
            <w:tcW w:type="dxa" w:w="2592"/>
            <w:shd w:val="clear" w:color="auto" w:fill="F4F6F8"/>
            <w:vAlign w:val="center"/>
          </w:tcPr>
          <w:p>
            <w:r>
              <w:rPr>
                <w:b w:val="0"/>
                <w:i w:val="0"/>
                <w:color w:val="000000"/>
                <w:sz w:val="18"/>
              </w:rPr>
              <w:t>TikTok</w:t>
            </w:r>
          </w:p>
        </w:tc>
        <w:tc>
          <w:tcPr>
            <w:tcW w:type="dxa" w:w="3744"/>
            <w:shd w:val="clear" w:color="auto" w:fill="F4F6F8"/>
            <w:vAlign w:val="center"/>
          </w:tcPr>
          <w:p>
            <w:r>
              <w:rPr>
                <w:b w:val="0"/>
                <w:i w:val="0"/>
                <w:color w:val="000000"/>
                <w:sz w:val="18"/>
              </w:rPr>
              <w:t>CPA KES 1,000–1,125, ROI score 2/5 — indefensible under constraints</w:t>
            </w:r>
          </w:p>
        </w:tc>
      </w:tr>
      <w:tr>
        <w:tc>
          <w:tcPr>
            <w:tcW w:type="dxa" w:w="3456"/>
            <w:shd w:val="clear" w:color="auto" w:fill="FFFFFF"/>
            <w:vAlign w:val="center"/>
          </w:tcPr>
          <w:p>
            <w:r>
              <w:rPr>
                <w:b w:val="0"/>
                <w:i w:val="0"/>
                <w:color w:val="000000"/>
                <w:sz w:val="18"/>
              </w:rPr>
              <w:t>Recommended Budget Split</w:t>
            </w:r>
          </w:p>
        </w:tc>
        <w:tc>
          <w:tcPr>
            <w:tcW w:type="dxa" w:w="2592"/>
            <w:shd w:val="clear" w:color="auto" w:fill="FFFFFF"/>
            <w:vAlign w:val="center"/>
          </w:tcPr>
          <w:p>
            <w:r>
              <w:rPr>
                <w:b w:val="0"/>
                <w:i w:val="0"/>
                <w:color w:val="000000"/>
                <w:sz w:val="18"/>
              </w:rPr>
              <w:t>55% / 30% / 15%</w:t>
            </w:r>
          </w:p>
        </w:tc>
        <w:tc>
          <w:tcPr>
            <w:tcW w:type="dxa" w:w="3744"/>
            <w:shd w:val="clear" w:color="auto" w:fill="FFFFFF"/>
            <w:vAlign w:val="center"/>
          </w:tcPr>
          <w:p>
            <w:r>
              <w:rPr>
                <w:b w:val="0"/>
                <w:i w:val="0"/>
                <w:color w:val="000000"/>
                <w:sz w:val="18"/>
              </w:rPr>
              <w:t>Google Ads / Instagram / X</w:t>
            </w:r>
          </w:p>
        </w:tc>
      </w:tr>
      <w:tr>
        <w:tc>
          <w:tcPr>
            <w:tcW w:type="dxa" w:w="3456"/>
            <w:shd w:val="clear" w:color="auto" w:fill="F4F6F8"/>
            <w:vAlign w:val="center"/>
          </w:tcPr>
          <w:p>
            <w:r>
              <w:rPr>
                <w:b w:val="0"/>
                <w:i w:val="0"/>
                <w:color w:val="000000"/>
                <w:sz w:val="18"/>
              </w:rPr>
              <w:t>Segments Excluded</w:t>
            </w:r>
          </w:p>
        </w:tc>
        <w:tc>
          <w:tcPr>
            <w:tcW w:type="dxa" w:w="2592"/>
            <w:shd w:val="clear" w:color="auto" w:fill="F4F6F8"/>
            <w:vAlign w:val="center"/>
          </w:tcPr>
          <w:p>
            <w:r>
              <w:rPr>
                <w:b w:val="0"/>
                <w:i w:val="0"/>
                <w:color w:val="000000"/>
                <w:sz w:val="18"/>
              </w:rPr>
              <w:t>Students</w:t>
            </w:r>
          </w:p>
        </w:tc>
        <w:tc>
          <w:tcPr>
            <w:tcW w:type="dxa" w:w="3744"/>
            <w:shd w:val="clear" w:color="auto" w:fill="F4F6F8"/>
            <w:vAlign w:val="center"/>
          </w:tcPr>
          <w:p>
            <w:r>
              <w:rPr>
                <w:b w:val="0"/>
                <w:i w:val="0"/>
                <w:color w:val="000000"/>
                <w:sz w:val="18"/>
              </w:rPr>
              <w:t>1.5% conversion, KES 900 cost per booking — lowest ROI in dataset</w:t>
            </w:r>
          </w:p>
        </w:tc>
      </w:tr>
      <w:tr>
        <w:tc>
          <w:tcPr>
            <w:tcW w:type="dxa" w:w="3456"/>
            <w:shd w:val="clear" w:color="auto" w:fill="FFFFFF"/>
            <w:vAlign w:val="center"/>
          </w:tcPr>
          <w:p>
            <w:r>
              <w:rPr>
                <w:b w:val="0"/>
                <w:i w:val="0"/>
                <w:color w:val="000000"/>
                <w:sz w:val="18"/>
              </w:rPr>
              <w:t>Top Messaging Priority</w:t>
            </w:r>
          </w:p>
        </w:tc>
        <w:tc>
          <w:tcPr>
            <w:tcW w:type="dxa" w:w="2592"/>
            <w:shd w:val="clear" w:color="auto" w:fill="FFFFFF"/>
            <w:vAlign w:val="center"/>
          </w:tcPr>
          <w:p>
            <w:r>
              <w:rPr>
                <w:b w:val="0"/>
                <w:i w:val="0"/>
                <w:color w:val="000000"/>
                <w:sz w:val="18"/>
              </w:rPr>
              <w:t>Trust + Efficiency</w:t>
            </w:r>
          </w:p>
        </w:tc>
        <w:tc>
          <w:tcPr>
            <w:tcW w:type="dxa" w:w="3744"/>
            <w:shd w:val="clear" w:color="auto" w:fill="FFFFFF"/>
            <w:vAlign w:val="center"/>
          </w:tcPr>
          <w:p>
            <w:r>
              <w:rPr>
                <w:b w:val="0"/>
                <w:i w:val="0"/>
                <w:color w:val="000000"/>
                <w:sz w:val="18"/>
              </w:rPr>
              <w:t>Addresses both Week 3 sentiment damage and high-value segment needs</w:t>
            </w:r>
          </w:p>
        </w:tc>
      </w:tr>
    </w:tbl>
    <w:p/>
    <w:p>
      <w:pPr>
        <w:spacing w:before="280" w:after="80"/>
      </w:pPr>
      <w:r>
        <w:rPr>
          <w:b/>
          <w:i w:val="0"/>
          <w:color w:val="000000"/>
          <w:sz w:val="32"/>
        </w:rPr>
        <w:t>2. Task 1 — Audience Segments Most Likely to Deliver High Conversion Value</w:t>
      </w:r>
    </w:p>
    <w:p>
      <w:pPr>
        <w:spacing w:after="120"/>
      </w:pPr>
      <w:r>
        <w:rPr>
          <w:b w:val="0"/>
          <w:i w:val="0"/>
          <w:color w:val="000000"/>
          <w:sz w:val="20"/>
        </w:rPr>
        <w:t>The Week 4 Audience Performance dataset, combined with Week 1 behavioural data and Week 3 campaign results, identifies three segments as the highest-priority targets under budget constraints. Prioritisation is based on conversion rate, cost per booking, and volume potential considered together — not any single metric in isolation.</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2592"/>
            <w:shd w:val="clear" w:color="auto" w:fill="FFFFFF"/>
            <w:vAlign w:val="center"/>
          </w:tcPr>
          <w:p>
            <w:r>
              <w:rPr>
                <w:b/>
                <w:i w:val="0"/>
                <w:color w:val="000000"/>
                <w:sz w:val="18"/>
              </w:rPr>
              <w:t>Segment</w:t>
            </w:r>
          </w:p>
        </w:tc>
        <w:tc>
          <w:tcPr>
            <w:tcW w:type="dxa" w:w="1296"/>
            <w:shd w:val="clear" w:color="auto" w:fill="FFFFFF"/>
            <w:vAlign w:val="center"/>
          </w:tcPr>
          <w:p>
            <w:r>
              <w:rPr>
                <w:b/>
                <w:i w:val="0"/>
                <w:color w:val="000000"/>
                <w:sz w:val="18"/>
              </w:rPr>
              <w:t>Conv Rate</w:t>
            </w:r>
          </w:p>
        </w:tc>
        <w:tc>
          <w:tcPr>
            <w:tcW w:type="dxa" w:w="1872"/>
            <w:shd w:val="clear" w:color="auto" w:fill="FFFFFF"/>
            <w:vAlign w:val="center"/>
          </w:tcPr>
          <w:p>
            <w:r>
              <w:rPr>
                <w:b/>
                <w:i w:val="0"/>
                <w:color w:val="000000"/>
                <w:sz w:val="18"/>
              </w:rPr>
              <w:t>Cost per Booking</w:t>
            </w:r>
          </w:p>
        </w:tc>
        <w:tc>
          <w:tcPr>
            <w:tcW w:type="dxa" w:w="1152"/>
            <w:shd w:val="clear" w:color="auto" w:fill="FFFFFF"/>
            <w:vAlign w:val="center"/>
          </w:tcPr>
          <w:p>
            <w:r>
              <w:rPr>
                <w:b/>
                <w:i w:val="0"/>
                <w:color w:val="000000"/>
                <w:sz w:val="18"/>
              </w:rPr>
              <w:t>Volume</w:t>
            </w:r>
          </w:p>
        </w:tc>
        <w:tc>
          <w:tcPr>
            <w:tcW w:type="dxa" w:w="1584"/>
            <w:shd w:val="clear" w:color="auto" w:fill="FFFFFF"/>
            <w:vAlign w:val="center"/>
          </w:tcPr>
          <w:p>
            <w:r>
              <w:rPr>
                <w:b/>
                <w:i w:val="0"/>
                <w:color w:val="000000"/>
                <w:sz w:val="18"/>
              </w:rPr>
              <w:t>Platform</w:t>
            </w:r>
          </w:p>
        </w:tc>
        <w:tc>
          <w:tcPr>
            <w:tcW w:type="dxa" w:w="2736"/>
            <w:shd w:val="clear" w:color="auto" w:fill="FFFFFF"/>
            <w:vAlign w:val="center"/>
          </w:tcPr>
          <w:p>
            <w:r>
              <w:rPr>
                <w:b/>
                <w:i w:val="0"/>
                <w:color w:val="000000"/>
                <w:sz w:val="18"/>
              </w:rPr>
              <w:t>Priority</w:t>
            </w:r>
          </w:p>
        </w:tc>
      </w:tr>
      <w:tr>
        <w:tc>
          <w:tcPr>
            <w:tcW w:type="dxa" w:w="2592"/>
            <w:shd w:val="clear" w:color="auto" w:fill="F4F6F8"/>
            <w:vAlign w:val="center"/>
          </w:tcPr>
          <w:p>
            <w:r>
              <w:rPr>
                <w:b w:val="0"/>
                <w:i w:val="0"/>
                <w:color w:val="000000"/>
                <w:sz w:val="18"/>
              </w:rPr>
              <w:t>Business Travellers</w:t>
            </w:r>
          </w:p>
        </w:tc>
        <w:tc>
          <w:tcPr>
            <w:tcW w:type="dxa" w:w="1296"/>
            <w:shd w:val="clear" w:color="auto" w:fill="F4F6F8"/>
            <w:vAlign w:val="center"/>
          </w:tcPr>
          <w:p>
            <w:r>
              <w:rPr>
                <w:b w:val="0"/>
                <w:i w:val="0"/>
                <w:color w:val="000000"/>
                <w:sz w:val="18"/>
              </w:rPr>
              <w:t>14.0%</w:t>
            </w:r>
          </w:p>
        </w:tc>
        <w:tc>
          <w:tcPr>
            <w:tcW w:type="dxa" w:w="1872"/>
            <w:shd w:val="clear" w:color="auto" w:fill="F4F6F8"/>
            <w:vAlign w:val="center"/>
          </w:tcPr>
          <w:p>
            <w:r>
              <w:rPr>
                <w:b w:val="0"/>
                <w:i w:val="0"/>
                <w:color w:val="000000"/>
                <w:sz w:val="18"/>
              </w:rPr>
              <w:t>KES 350</w:t>
            </w:r>
          </w:p>
        </w:tc>
        <w:tc>
          <w:tcPr>
            <w:tcW w:type="dxa" w:w="1152"/>
            <w:shd w:val="clear" w:color="auto" w:fill="F4F6F8"/>
            <w:vAlign w:val="center"/>
          </w:tcPr>
          <w:p>
            <w:r>
              <w:rPr>
                <w:b w:val="0"/>
                <w:i w:val="0"/>
                <w:color w:val="000000"/>
                <w:sz w:val="18"/>
              </w:rPr>
              <w:t>Medium</w:t>
            </w:r>
          </w:p>
        </w:tc>
        <w:tc>
          <w:tcPr>
            <w:tcW w:type="dxa" w:w="1584"/>
            <w:shd w:val="clear" w:color="auto" w:fill="F4F6F8"/>
            <w:vAlign w:val="center"/>
          </w:tcPr>
          <w:p>
            <w:r>
              <w:rPr>
                <w:b w:val="0"/>
                <w:i w:val="0"/>
                <w:color w:val="000000"/>
                <w:sz w:val="18"/>
              </w:rPr>
              <w:t>Google Ads</w:t>
            </w:r>
          </w:p>
        </w:tc>
        <w:tc>
          <w:tcPr>
            <w:tcW w:type="dxa" w:w="2736"/>
            <w:shd w:val="clear" w:color="auto" w:fill="F4F6F8"/>
            <w:vAlign w:val="center"/>
          </w:tcPr>
          <w:p>
            <w:r>
              <w:rPr>
                <w:b w:val="0"/>
                <w:i w:val="0"/>
                <w:color w:val="000000"/>
                <w:sz w:val="18"/>
              </w:rPr>
              <w:t>1 — Anchor segment</w:t>
            </w:r>
          </w:p>
        </w:tc>
      </w:tr>
      <w:tr>
        <w:tc>
          <w:tcPr>
            <w:tcW w:type="dxa" w:w="2592"/>
            <w:shd w:val="clear" w:color="auto" w:fill="FFFFFF"/>
            <w:vAlign w:val="center"/>
          </w:tcPr>
          <w:p>
            <w:r>
              <w:rPr>
                <w:b w:val="0"/>
                <w:i w:val="0"/>
                <w:color w:val="000000"/>
                <w:sz w:val="18"/>
              </w:rPr>
              <w:t>Families</w:t>
            </w:r>
          </w:p>
        </w:tc>
        <w:tc>
          <w:tcPr>
            <w:tcW w:type="dxa" w:w="1296"/>
            <w:shd w:val="clear" w:color="auto" w:fill="FFFFFF"/>
            <w:vAlign w:val="center"/>
          </w:tcPr>
          <w:p>
            <w:r>
              <w:rPr>
                <w:b w:val="0"/>
                <w:i w:val="0"/>
                <w:color w:val="000000"/>
                <w:sz w:val="18"/>
              </w:rPr>
              <w:t>10.5%</w:t>
            </w:r>
          </w:p>
        </w:tc>
        <w:tc>
          <w:tcPr>
            <w:tcW w:type="dxa" w:w="1872"/>
            <w:shd w:val="clear" w:color="auto" w:fill="FFFFFF"/>
            <w:vAlign w:val="center"/>
          </w:tcPr>
          <w:p>
            <w:r>
              <w:rPr>
                <w:b w:val="0"/>
                <w:i w:val="0"/>
                <w:color w:val="000000"/>
                <w:sz w:val="18"/>
              </w:rPr>
              <w:t>KES 400</w:t>
            </w:r>
          </w:p>
        </w:tc>
        <w:tc>
          <w:tcPr>
            <w:tcW w:type="dxa" w:w="1152"/>
            <w:shd w:val="clear" w:color="auto" w:fill="FFFFFF"/>
            <w:vAlign w:val="center"/>
          </w:tcPr>
          <w:p>
            <w:r>
              <w:rPr>
                <w:b w:val="0"/>
                <w:i w:val="0"/>
                <w:color w:val="000000"/>
                <w:sz w:val="18"/>
              </w:rPr>
              <w:t>Low</w:t>
            </w:r>
          </w:p>
        </w:tc>
        <w:tc>
          <w:tcPr>
            <w:tcW w:type="dxa" w:w="1584"/>
            <w:shd w:val="clear" w:color="auto" w:fill="FFFFFF"/>
            <w:vAlign w:val="center"/>
          </w:tcPr>
          <w:p>
            <w:r>
              <w:rPr>
                <w:b w:val="0"/>
                <w:i w:val="0"/>
                <w:color w:val="000000"/>
                <w:sz w:val="18"/>
              </w:rPr>
              <w:t>Google Ads</w:t>
            </w:r>
          </w:p>
        </w:tc>
        <w:tc>
          <w:tcPr>
            <w:tcW w:type="dxa" w:w="2736"/>
            <w:shd w:val="clear" w:color="auto" w:fill="FFFFFF"/>
            <w:vAlign w:val="center"/>
          </w:tcPr>
          <w:p>
            <w:r>
              <w:rPr>
                <w:b w:val="0"/>
                <w:i w:val="0"/>
                <w:color w:val="000000"/>
                <w:sz w:val="18"/>
              </w:rPr>
              <w:t>2 — High ROI, low volume</w:t>
            </w:r>
          </w:p>
        </w:tc>
      </w:tr>
      <w:tr>
        <w:tc>
          <w:tcPr>
            <w:tcW w:type="dxa" w:w="2592"/>
            <w:shd w:val="clear" w:color="auto" w:fill="F4F6F8"/>
            <w:vAlign w:val="center"/>
          </w:tcPr>
          <w:p>
            <w:r>
              <w:rPr>
                <w:b w:val="0"/>
                <w:i w:val="0"/>
                <w:color w:val="000000"/>
                <w:sz w:val="18"/>
              </w:rPr>
              <w:t>Young Professionals</w:t>
            </w:r>
          </w:p>
        </w:tc>
        <w:tc>
          <w:tcPr>
            <w:tcW w:type="dxa" w:w="1296"/>
            <w:shd w:val="clear" w:color="auto" w:fill="F4F6F8"/>
            <w:vAlign w:val="center"/>
          </w:tcPr>
          <w:p>
            <w:r>
              <w:rPr>
                <w:b w:val="0"/>
                <w:i w:val="0"/>
                <w:color w:val="000000"/>
                <w:sz w:val="18"/>
              </w:rPr>
              <w:t>6.0%</w:t>
            </w:r>
          </w:p>
        </w:tc>
        <w:tc>
          <w:tcPr>
            <w:tcW w:type="dxa" w:w="1872"/>
            <w:shd w:val="clear" w:color="auto" w:fill="F4F6F8"/>
            <w:vAlign w:val="center"/>
          </w:tcPr>
          <w:p>
            <w:r>
              <w:rPr>
                <w:b w:val="0"/>
                <w:i w:val="0"/>
                <w:color w:val="000000"/>
                <w:sz w:val="18"/>
              </w:rPr>
              <w:t>KES 500</w:t>
            </w:r>
          </w:p>
        </w:tc>
        <w:tc>
          <w:tcPr>
            <w:tcW w:type="dxa" w:w="1152"/>
            <w:shd w:val="clear" w:color="auto" w:fill="F4F6F8"/>
            <w:vAlign w:val="center"/>
          </w:tcPr>
          <w:p>
            <w:r>
              <w:rPr>
                <w:b w:val="0"/>
                <w:i w:val="0"/>
                <w:color w:val="000000"/>
                <w:sz w:val="18"/>
              </w:rPr>
              <w:t>High</w:t>
            </w:r>
          </w:p>
        </w:tc>
        <w:tc>
          <w:tcPr>
            <w:tcW w:type="dxa" w:w="1584"/>
            <w:shd w:val="clear" w:color="auto" w:fill="F4F6F8"/>
            <w:vAlign w:val="center"/>
          </w:tcPr>
          <w:p>
            <w:r>
              <w:rPr>
                <w:b w:val="0"/>
                <w:i w:val="0"/>
                <w:color w:val="000000"/>
                <w:sz w:val="18"/>
              </w:rPr>
              <w:t>Instagram</w:t>
            </w:r>
          </w:p>
        </w:tc>
        <w:tc>
          <w:tcPr>
            <w:tcW w:type="dxa" w:w="2736"/>
            <w:shd w:val="clear" w:color="auto" w:fill="F4F6F8"/>
            <w:vAlign w:val="center"/>
          </w:tcPr>
          <w:p>
            <w:r>
              <w:rPr>
                <w:b w:val="0"/>
                <w:i w:val="0"/>
                <w:color w:val="000000"/>
                <w:sz w:val="18"/>
              </w:rPr>
              <w:t>3 — High volume, manageable CPA</w:t>
            </w:r>
          </w:p>
        </w:tc>
      </w:tr>
      <w:tr>
        <w:tc>
          <w:tcPr>
            <w:tcW w:type="dxa" w:w="2592"/>
            <w:shd w:val="clear" w:color="auto" w:fill="FFFFFF"/>
            <w:vAlign w:val="center"/>
          </w:tcPr>
          <w:p>
            <w:r>
              <w:rPr>
                <w:b w:val="0"/>
                <w:i w:val="0"/>
                <w:color w:val="000000"/>
                <w:sz w:val="18"/>
              </w:rPr>
              <w:t>Leisure Travellers</w:t>
            </w:r>
          </w:p>
        </w:tc>
        <w:tc>
          <w:tcPr>
            <w:tcW w:type="dxa" w:w="1296"/>
            <w:shd w:val="clear" w:color="auto" w:fill="FFFFFF"/>
            <w:vAlign w:val="center"/>
          </w:tcPr>
          <w:p>
            <w:r>
              <w:rPr>
                <w:b w:val="0"/>
                <w:i w:val="0"/>
                <w:color w:val="000000"/>
                <w:sz w:val="18"/>
              </w:rPr>
              <w:t>4.5%</w:t>
            </w:r>
          </w:p>
        </w:tc>
        <w:tc>
          <w:tcPr>
            <w:tcW w:type="dxa" w:w="1872"/>
            <w:shd w:val="clear" w:color="auto" w:fill="FFFFFF"/>
            <w:vAlign w:val="center"/>
          </w:tcPr>
          <w:p>
            <w:r>
              <w:rPr>
                <w:b w:val="0"/>
                <w:i w:val="0"/>
                <w:color w:val="000000"/>
                <w:sz w:val="18"/>
              </w:rPr>
              <w:t>KES 600</w:t>
            </w:r>
          </w:p>
        </w:tc>
        <w:tc>
          <w:tcPr>
            <w:tcW w:type="dxa" w:w="1152"/>
            <w:shd w:val="clear" w:color="auto" w:fill="FFFFFF"/>
            <w:vAlign w:val="center"/>
          </w:tcPr>
          <w:p>
            <w:r>
              <w:rPr>
                <w:b w:val="0"/>
                <w:i w:val="0"/>
                <w:color w:val="000000"/>
                <w:sz w:val="18"/>
              </w:rPr>
              <w:t>Medium</w:t>
            </w:r>
          </w:p>
        </w:tc>
        <w:tc>
          <w:tcPr>
            <w:tcW w:type="dxa" w:w="1584"/>
            <w:shd w:val="clear" w:color="auto" w:fill="FFFFFF"/>
            <w:vAlign w:val="center"/>
          </w:tcPr>
          <w:p>
            <w:r>
              <w:rPr>
                <w:b w:val="0"/>
                <w:i w:val="0"/>
                <w:color w:val="000000"/>
                <w:sz w:val="18"/>
              </w:rPr>
              <w:t>Instagram</w:t>
            </w:r>
          </w:p>
        </w:tc>
        <w:tc>
          <w:tcPr>
            <w:tcW w:type="dxa" w:w="2736"/>
            <w:shd w:val="clear" w:color="auto" w:fill="FFFFFF"/>
            <w:vAlign w:val="center"/>
          </w:tcPr>
          <w:p>
            <w:r>
              <w:rPr>
                <w:b w:val="0"/>
                <w:i w:val="0"/>
                <w:color w:val="000000"/>
                <w:sz w:val="18"/>
              </w:rPr>
              <w:t>Secondary — retained at low spend</w:t>
            </w:r>
          </w:p>
        </w:tc>
      </w:tr>
      <w:tr>
        <w:tc>
          <w:tcPr>
            <w:tcW w:type="dxa" w:w="2592"/>
            <w:shd w:val="clear" w:color="auto" w:fill="F4F6F8"/>
            <w:vAlign w:val="center"/>
          </w:tcPr>
          <w:p>
            <w:r>
              <w:rPr>
                <w:b w:val="0"/>
                <w:i w:val="0"/>
                <w:color w:val="000000"/>
                <w:sz w:val="18"/>
              </w:rPr>
              <w:t>Students</w:t>
            </w:r>
          </w:p>
        </w:tc>
        <w:tc>
          <w:tcPr>
            <w:tcW w:type="dxa" w:w="1296"/>
            <w:shd w:val="clear" w:color="auto" w:fill="F4F6F8"/>
            <w:vAlign w:val="center"/>
          </w:tcPr>
          <w:p>
            <w:r>
              <w:rPr>
                <w:b w:val="0"/>
                <w:i w:val="0"/>
                <w:color w:val="000000"/>
                <w:sz w:val="18"/>
              </w:rPr>
              <w:t>1.5%</w:t>
            </w:r>
          </w:p>
        </w:tc>
        <w:tc>
          <w:tcPr>
            <w:tcW w:type="dxa" w:w="1872"/>
            <w:shd w:val="clear" w:color="auto" w:fill="F4F6F8"/>
            <w:vAlign w:val="center"/>
          </w:tcPr>
          <w:p>
            <w:r>
              <w:rPr>
                <w:b w:val="0"/>
                <w:i w:val="0"/>
                <w:color w:val="000000"/>
                <w:sz w:val="18"/>
              </w:rPr>
              <w:t>KES 900</w:t>
            </w:r>
          </w:p>
        </w:tc>
        <w:tc>
          <w:tcPr>
            <w:tcW w:type="dxa" w:w="1152"/>
            <w:shd w:val="clear" w:color="auto" w:fill="F4F6F8"/>
            <w:vAlign w:val="center"/>
          </w:tcPr>
          <w:p>
            <w:r>
              <w:rPr>
                <w:b w:val="0"/>
                <w:i w:val="0"/>
                <w:color w:val="000000"/>
                <w:sz w:val="18"/>
              </w:rPr>
              <w:t>High</w:t>
            </w:r>
          </w:p>
        </w:tc>
        <w:tc>
          <w:tcPr>
            <w:tcW w:type="dxa" w:w="1584"/>
            <w:shd w:val="clear" w:color="auto" w:fill="F4F6F8"/>
            <w:vAlign w:val="center"/>
          </w:tcPr>
          <w:p>
            <w:r>
              <w:rPr>
                <w:b w:val="0"/>
                <w:i w:val="0"/>
                <w:color w:val="000000"/>
                <w:sz w:val="18"/>
              </w:rPr>
              <w:t>TikTok</w:t>
            </w:r>
          </w:p>
        </w:tc>
        <w:tc>
          <w:tcPr>
            <w:tcW w:type="dxa" w:w="2736"/>
            <w:shd w:val="clear" w:color="auto" w:fill="F4F6F8"/>
            <w:vAlign w:val="center"/>
          </w:tcPr>
          <w:p>
            <w:r>
              <w:rPr>
                <w:b w:val="0"/>
                <w:i w:val="0"/>
                <w:color w:val="000000"/>
                <w:sz w:val="18"/>
              </w:rPr>
              <w:t>Excluded — indefensible CPA</w:t>
            </w:r>
          </w:p>
        </w:tc>
      </w:tr>
    </w:tbl>
    <w:p/>
    <w:p>
      <w:pPr>
        <w:spacing w:before="160" w:after="80"/>
      </w:pPr>
      <w:r>
        <w:rPr>
          <w:b/>
          <w:i w:val="0"/>
          <w:color w:val="000000"/>
          <w:sz w:val="24"/>
        </w:rPr>
        <w:t>Segment 1 — Business Travellers (Priority 1)</w:t>
      </w:r>
    </w:p>
    <w:p>
      <w:pPr>
        <w:spacing w:after="120"/>
      </w:pPr>
      <w:r>
        <w:rPr>
          <w:b w:val="0"/>
          <w:i w:val="0"/>
          <w:color w:val="000000"/>
          <w:sz w:val="20"/>
        </w:rPr>
        <w:t>Business Travellers are the anchor segment for this strategy. They convert at 14% — the highest rate in the dataset — at a cost of KES 350 per booking, the lowest in the dataset. In Week 3, C006 (Google Ads, Business Travellers) delivered 110 bookings from 10,000 impressions at KES 50,000, and C004 (X, Business Travellers) delivered 70 bookings at KES 30,000 — a CPA of KES 429, the best in the entire Week 3 dataset. This segment is time-sensitive, decision-ready, and responds to search-based targeting because they are in an active planning state when they encounter Travler ads. Under budget constraints, this is the segment that delivers the most bookings per shilling spent and must receive protected budget allocation.</w:t>
      </w:r>
    </w:p>
    <w:p>
      <w:pPr>
        <w:spacing w:before="160" w:after="80"/>
      </w:pPr>
      <w:r>
        <w:rPr>
          <w:b/>
          <w:i w:val="0"/>
          <w:color w:val="000000"/>
          <w:sz w:val="24"/>
        </w:rPr>
        <w:t>Segment 2 — Families (Priority 2)</w:t>
      </w:r>
    </w:p>
    <w:p>
      <w:pPr>
        <w:spacing w:after="120"/>
      </w:pPr>
      <w:r>
        <w:rPr>
          <w:b w:val="0"/>
          <w:i w:val="0"/>
          <w:color w:val="000000"/>
          <w:sz w:val="20"/>
        </w:rPr>
        <w:t>Families convert at 10.5% at KES 400 per booking — the second-best combination of conversion rate and cost efficiency in the dataset. In Week 1, the Family Planner segment achieved a 100% conversion rate, searching once and committing immediately. Volume is low, which limits total booking numbers, but the cost efficiency makes every booking from this segment highly profitable. Families respond to trust signals, safety reassurance, and convenience messaging. They are best reached via Google Ads and Instagram, and they convert reliably when the right message is in front of them. Under a constrained budget, low volume is acceptable when the conversion rate and CPA are this strong.</w:t>
      </w:r>
    </w:p>
    <w:p>
      <w:pPr>
        <w:spacing w:before="160" w:after="80"/>
      </w:pPr>
      <w:r>
        <w:rPr>
          <w:b/>
          <w:i w:val="0"/>
          <w:color w:val="000000"/>
          <w:sz w:val="24"/>
        </w:rPr>
        <w:t>Segment 3 — Young Professionals (Priority 3)</w:t>
      </w:r>
    </w:p>
    <w:p>
      <w:pPr>
        <w:spacing w:after="120"/>
      </w:pPr>
      <w:r>
        <w:rPr>
          <w:b w:val="0"/>
          <w:i w:val="0"/>
          <w:color w:val="000000"/>
          <w:sz w:val="20"/>
        </w:rPr>
        <w:t>Young Professionals convert at 6% at KES 500 per booking with high volume potential — the best combination of scale and efficiency outside the top two segments. In Week 3, C005 (Google Ads, Young Professionals) delivered 120 bookings from 700 clicks at KES 55,000 — the highest booking volume of any single campaign in the dataset. This segment is goal-oriented when searching and responds well to clear value propositions and convenience messaging. They are also the primary retargeting audience on Instagram, where CTR is 7.5%. The combination of Google Ads for initial capture and Instagram retargeting for conversion makes this segment viable even under budget pressure.</w:t>
      </w:r>
    </w:p>
    <w:p>
      <w:pPr>
        <w:spacing w:before="280" w:after="80"/>
      </w:pPr>
      <w:r>
        <w:rPr>
          <w:b/>
          <w:i w:val="0"/>
          <w:color w:val="000000"/>
          <w:sz w:val="32"/>
        </w:rPr>
        <w:t>3. Task 2 — Paid Advertising Channel Approach</w:t>
      </w:r>
    </w:p>
    <w:p>
      <w:pPr>
        <w:spacing w:after="120"/>
      </w:pPr>
      <w:r>
        <w:rPr>
          <w:b w:val="0"/>
          <w:i w:val="0"/>
          <w:color w:val="000000"/>
          <w:sz w:val="20"/>
        </w:rPr>
        <w:t>The strategy uses three channels, each with a clearly defined role. Channel selection is based on the Week 4 Budget Scenario data, which scores each channel on ROI (1–5) and risk level, combined with Week 3 campaign performance results.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728"/>
            <w:shd w:val="clear" w:color="auto" w:fill="FFFFFF"/>
            <w:vAlign w:val="center"/>
          </w:tcPr>
          <w:p>
            <w:r>
              <w:rPr>
                <w:b/>
                <w:i w:val="0"/>
                <w:color w:val="000000"/>
                <w:sz w:val="18"/>
              </w:rPr>
              <w:t>Channel</w:t>
            </w:r>
          </w:p>
        </w:tc>
        <w:tc>
          <w:tcPr>
            <w:tcW w:type="dxa" w:w="2592"/>
            <w:shd w:val="clear" w:color="auto" w:fill="FFFFFF"/>
            <w:vAlign w:val="center"/>
          </w:tcPr>
          <w:p>
            <w:r>
              <w:rPr>
                <w:b/>
                <w:i w:val="0"/>
                <w:color w:val="000000"/>
                <w:sz w:val="18"/>
              </w:rPr>
              <w:t>Role</w:t>
            </w:r>
          </w:p>
        </w:tc>
        <w:tc>
          <w:tcPr>
            <w:tcW w:type="dxa" w:w="1296"/>
            <w:shd w:val="clear" w:color="auto" w:fill="FFFFFF"/>
            <w:vAlign w:val="center"/>
          </w:tcPr>
          <w:p>
            <w:r>
              <w:rPr>
                <w:b/>
                <w:i w:val="0"/>
                <w:color w:val="000000"/>
                <w:sz w:val="18"/>
              </w:rPr>
              <w:t>ROI Score</w:t>
            </w:r>
          </w:p>
        </w:tc>
        <w:tc>
          <w:tcPr>
            <w:tcW w:type="dxa" w:w="1152"/>
            <w:shd w:val="clear" w:color="auto" w:fill="FFFFFF"/>
            <w:vAlign w:val="center"/>
          </w:tcPr>
          <w:p>
            <w:r>
              <w:rPr>
                <w:b/>
                <w:i w:val="0"/>
                <w:color w:val="000000"/>
                <w:sz w:val="18"/>
              </w:rPr>
              <w:t>Risk</w:t>
            </w:r>
          </w:p>
        </w:tc>
        <w:tc>
          <w:tcPr>
            <w:tcW w:type="dxa" w:w="2160"/>
            <w:shd w:val="clear" w:color="auto" w:fill="FFFFFF"/>
            <w:vAlign w:val="center"/>
          </w:tcPr>
          <w:p>
            <w:r>
              <w:rPr>
                <w:b/>
                <w:i w:val="0"/>
                <w:color w:val="000000"/>
                <w:sz w:val="18"/>
              </w:rPr>
              <w:t>Spend Range (KES)</w:t>
            </w:r>
          </w:p>
        </w:tc>
        <w:tc>
          <w:tcPr>
            <w:tcW w:type="dxa" w:w="3744"/>
            <w:shd w:val="clear" w:color="auto" w:fill="FFFFFF"/>
            <w:vAlign w:val="center"/>
          </w:tcPr>
          <w:p>
            <w:r>
              <w:rPr>
                <w:b/>
                <w:i w:val="0"/>
                <w:color w:val="000000"/>
                <w:sz w:val="18"/>
              </w:rPr>
              <w:t>Primary Segments</w:t>
            </w:r>
          </w:p>
        </w:tc>
      </w:tr>
      <w:tr>
        <w:tc>
          <w:tcPr>
            <w:tcW w:type="dxa" w:w="1728"/>
            <w:shd w:val="clear" w:color="auto" w:fill="F4F6F8"/>
            <w:vAlign w:val="center"/>
          </w:tcPr>
          <w:p>
            <w:r>
              <w:rPr>
                <w:b w:val="0"/>
                <w:i w:val="0"/>
                <w:color w:val="000000"/>
                <w:sz w:val="18"/>
              </w:rPr>
              <w:t>Google Ads</w:t>
            </w:r>
          </w:p>
        </w:tc>
        <w:tc>
          <w:tcPr>
            <w:tcW w:type="dxa" w:w="2592"/>
            <w:shd w:val="clear" w:color="auto" w:fill="F4F6F8"/>
            <w:vAlign w:val="center"/>
          </w:tcPr>
          <w:p>
            <w:r>
              <w:rPr>
                <w:b w:val="0"/>
                <w:i w:val="0"/>
                <w:color w:val="000000"/>
                <w:sz w:val="18"/>
              </w:rPr>
              <w:t>Primary conversion</w:t>
            </w:r>
          </w:p>
        </w:tc>
        <w:tc>
          <w:tcPr>
            <w:tcW w:type="dxa" w:w="1296"/>
            <w:shd w:val="clear" w:color="auto" w:fill="F4F6F8"/>
            <w:vAlign w:val="center"/>
          </w:tcPr>
          <w:p>
            <w:r>
              <w:rPr>
                <w:b w:val="0"/>
                <w:i w:val="0"/>
                <w:color w:val="000000"/>
                <w:sz w:val="18"/>
              </w:rPr>
              <w:t>5/5</w:t>
            </w:r>
          </w:p>
        </w:tc>
        <w:tc>
          <w:tcPr>
            <w:tcW w:type="dxa" w:w="1152"/>
            <w:shd w:val="clear" w:color="auto" w:fill="F4F6F8"/>
            <w:vAlign w:val="center"/>
          </w:tcPr>
          <w:p>
            <w:r>
              <w:rPr>
                <w:b w:val="0"/>
                <w:i w:val="0"/>
                <w:color w:val="000000"/>
                <w:sz w:val="18"/>
              </w:rPr>
              <w:t>Low</w:t>
            </w:r>
          </w:p>
        </w:tc>
        <w:tc>
          <w:tcPr>
            <w:tcW w:type="dxa" w:w="2160"/>
            <w:shd w:val="clear" w:color="auto" w:fill="F4F6F8"/>
            <w:vAlign w:val="center"/>
          </w:tcPr>
          <w:p>
            <w:r>
              <w:rPr>
                <w:b w:val="0"/>
                <w:i w:val="0"/>
                <w:color w:val="000000"/>
                <w:sz w:val="18"/>
              </w:rPr>
              <w:t>30,000–60,000</w:t>
            </w:r>
          </w:p>
        </w:tc>
        <w:tc>
          <w:tcPr>
            <w:tcW w:type="dxa" w:w="3744"/>
            <w:shd w:val="clear" w:color="auto" w:fill="F4F6F8"/>
            <w:vAlign w:val="center"/>
          </w:tcPr>
          <w:p>
            <w:r>
              <w:rPr>
                <w:b w:val="0"/>
                <w:i w:val="0"/>
                <w:color w:val="000000"/>
                <w:sz w:val="18"/>
              </w:rPr>
              <w:t>Business Travellers, Families, Young Professionals</w:t>
            </w:r>
          </w:p>
        </w:tc>
      </w:tr>
      <w:tr>
        <w:tc>
          <w:tcPr>
            <w:tcW w:type="dxa" w:w="1728"/>
            <w:shd w:val="clear" w:color="auto" w:fill="FFFFFF"/>
            <w:vAlign w:val="center"/>
          </w:tcPr>
          <w:p>
            <w:r>
              <w:rPr>
                <w:b w:val="0"/>
                <w:i w:val="0"/>
                <w:color w:val="000000"/>
                <w:sz w:val="18"/>
              </w:rPr>
              <w:t>Instagram</w:t>
            </w:r>
          </w:p>
        </w:tc>
        <w:tc>
          <w:tcPr>
            <w:tcW w:type="dxa" w:w="2592"/>
            <w:shd w:val="clear" w:color="auto" w:fill="FFFFFF"/>
            <w:vAlign w:val="center"/>
          </w:tcPr>
          <w:p>
            <w:r>
              <w:rPr>
                <w:b w:val="0"/>
                <w:i w:val="0"/>
                <w:color w:val="000000"/>
                <w:sz w:val="18"/>
              </w:rPr>
              <w:t>Retargeting + mid-funnel</w:t>
            </w:r>
          </w:p>
        </w:tc>
        <w:tc>
          <w:tcPr>
            <w:tcW w:type="dxa" w:w="1296"/>
            <w:shd w:val="clear" w:color="auto" w:fill="FFFFFF"/>
            <w:vAlign w:val="center"/>
          </w:tcPr>
          <w:p>
            <w:r>
              <w:rPr>
                <w:b w:val="0"/>
                <w:i w:val="0"/>
                <w:color w:val="000000"/>
                <w:sz w:val="18"/>
              </w:rPr>
              <w:t>4/5</w:t>
            </w:r>
          </w:p>
        </w:tc>
        <w:tc>
          <w:tcPr>
            <w:tcW w:type="dxa" w:w="1152"/>
            <w:shd w:val="clear" w:color="auto" w:fill="FFFFFF"/>
            <w:vAlign w:val="center"/>
          </w:tcPr>
          <w:p>
            <w:r>
              <w:rPr>
                <w:b w:val="0"/>
                <w:i w:val="0"/>
                <w:color w:val="000000"/>
                <w:sz w:val="18"/>
              </w:rPr>
              <w:t>Medium</w:t>
            </w:r>
          </w:p>
        </w:tc>
        <w:tc>
          <w:tcPr>
            <w:tcW w:type="dxa" w:w="2160"/>
            <w:shd w:val="clear" w:color="auto" w:fill="FFFFFF"/>
            <w:vAlign w:val="center"/>
          </w:tcPr>
          <w:p>
            <w:r>
              <w:rPr>
                <w:b w:val="0"/>
                <w:i w:val="0"/>
                <w:color w:val="000000"/>
                <w:sz w:val="18"/>
              </w:rPr>
              <w:t>20,000–40,000</w:t>
            </w:r>
          </w:p>
        </w:tc>
        <w:tc>
          <w:tcPr>
            <w:tcW w:type="dxa" w:w="3744"/>
            <w:shd w:val="clear" w:color="auto" w:fill="FFFFFF"/>
            <w:vAlign w:val="center"/>
          </w:tcPr>
          <w:p>
            <w:r>
              <w:rPr>
                <w:b w:val="0"/>
                <w:i w:val="0"/>
                <w:color w:val="000000"/>
                <w:sz w:val="18"/>
              </w:rPr>
              <w:t>Young Professionals, Leisure Travellers</w:t>
            </w:r>
          </w:p>
        </w:tc>
      </w:tr>
      <w:tr>
        <w:tc>
          <w:tcPr>
            <w:tcW w:type="dxa" w:w="1728"/>
            <w:shd w:val="clear" w:color="auto" w:fill="F4F6F8"/>
            <w:vAlign w:val="center"/>
          </w:tcPr>
          <w:p>
            <w:r>
              <w:rPr>
                <w:b w:val="0"/>
                <w:i w:val="0"/>
                <w:color w:val="000000"/>
                <w:sz w:val="18"/>
              </w:rPr>
              <w:t>X</w:t>
            </w:r>
          </w:p>
        </w:tc>
        <w:tc>
          <w:tcPr>
            <w:tcW w:type="dxa" w:w="2592"/>
            <w:shd w:val="clear" w:color="auto" w:fill="F4F6F8"/>
            <w:vAlign w:val="center"/>
          </w:tcPr>
          <w:p>
            <w:r>
              <w:rPr>
                <w:b w:val="0"/>
                <w:i w:val="0"/>
                <w:color w:val="000000"/>
                <w:sz w:val="18"/>
              </w:rPr>
              <w:t>Reputation management</w:t>
            </w:r>
          </w:p>
        </w:tc>
        <w:tc>
          <w:tcPr>
            <w:tcW w:type="dxa" w:w="1296"/>
            <w:shd w:val="clear" w:color="auto" w:fill="F4F6F8"/>
            <w:vAlign w:val="center"/>
          </w:tcPr>
          <w:p>
            <w:r>
              <w:rPr>
                <w:b w:val="0"/>
                <w:i w:val="0"/>
                <w:color w:val="000000"/>
                <w:sz w:val="18"/>
              </w:rPr>
              <w:t>3/5</w:t>
            </w:r>
          </w:p>
        </w:tc>
        <w:tc>
          <w:tcPr>
            <w:tcW w:type="dxa" w:w="1152"/>
            <w:shd w:val="clear" w:color="auto" w:fill="F4F6F8"/>
            <w:vAlign w:val="center"/>
          </w:tcPr>
          <w:p>
            <w:r>
              <w:rPr>
                <w:b w:val="0"/>
                <w:i w:val="0"/>
                <w:color w:val="000000"/>
                <w:sz w:val="18"/>
              </w:rPr>
              <w:t>Medium</w:t>
            </w:r>
          </w:p>
        </w:tc>
        <w:tc>
          <w:tcPr>
            <w:tcW w:type="dxa" w:w="2160"/>
            <w:shd w:val="clear" w:color="auto" w:fill="F4F6F8"/>
            <w:vAlign w:val="center"/>
          </w:tcPr>
          <w:p>
            <w:r>
              <w:rPr>
                <w:b w:val="0"/>
                <w:i w:val="0"/>
                <w:color w:val="000000"/>
                <w:sz w:val="18"/>
              </w:rPr>
              <w:t>10,000–20,000</w:t>
            </w:r>
          </w:p>
        </w:tc>
        <w:tc>
          <w:tcPr>
            <w:tcW w:type="dxa" w:w="3744"/>
            <w:shd w:val="clear" w:color="auto" w:fill="F4F6F8"/>
            <w:vAlign w:val="center"/>
          </w:tcPr>
          <w:p>
            <w:r>
              <w:rPr>
                <w:b w:val="0"/>
                <w:i w:val="0"/>
                <w:color w:val="000000"/>
                <w:sz w:val="18"/>
              </w:rPr>
              <w:t>Business Travellers — trust recovery</w:t>
            </w:r>
          </w:p>
        </w:tc>
      </w:tr>
      <w:tr>
        <w:tc>
          <w:tcPr>
            <w:tcW w:type="dxa" w:w="1728"/>
            <w:shd w:val="clear" w:color="auto" w:fill="FFFFFF"/>
            <w:vAlign w:val="center"/>
          </w:tcPr>
          <w:p>
            <w:r>
              <w:rPr>
                <w:b w:val="0"/>
                <w:i w:val="0"/>
                <w:color w:val="000000"/>
                <w:sz w:val="18"/>
              </w:rPr>
              <w:t>TikTok</w:t>
            </w:r>
          </w:p>
        </w:tc>
        <w:tc>
          <w:tcPr>
            <w:tcW w:type="dxa" w:w="2592"/>
            <w:shd w:val="clear" w:color="auto" w:fill="FFFFFF"/>
            <w:vAlign w:val="center"/>
          </w:tcPr>
          <w:p>
            <w:r>
              <w:rPr>
                <w:b w:val="0"/>
                <w:i w:val="0"/>
                <w:color w:val="000000"/>
                <w:sz w:val="18"/>
              </w:rPr>
              <w:t>Paused</w:t>
            </w:r>
          </w:p>
        </w:tc>
        <w:tc>
          <w:tcPr>
            <w:tcW w:type="dxa" w:w="1296"/>
            <w:shd w:val="clear" w:color="auto" w:fill="FFFFFF"/>
            <w:vAlign w:val="center"/>
          </w:tcPr>
          <w:p>
            <w:r>
              <w:rPr>
                <w:b w:val="0"/>
                <w:i w:val="0"/>
                <w:color w:val="000000"/>
                <w:sz w:val="18"/>
              </w:rPr>
              <w:t>2/5</w:t>
            </w:r>
          </w:p>
        </w:tc>
        <w:tc>
          <w:tcPr>
            <w:tcW w:type="dxa" w:w="1152"/>
            <w:shd w:val="clear" w:color="auto" w:fill="FFFFFF"/>
            <w:vAlign w:val="center"/>
          </w:tcPr>
          <w:p>
            <w:r>
              <w:rPr>
                <w:b w:val="0"/>
                <w:i w:val="0"/>
                <w:color w:val="000000"/>
                <w:sz w:val="18"/>
              </w:rPr>
              <w:t>High</w:t>
            </w:r>
          </w:p>
        </w:tc>
        <w:tc>
          <w:tcPr>
            <w:tcW w:type="dxa" w:w="2160"/>
            <w:shd w:val="clear" w:color="auto" w:fill="FFFFFF"/>
            <w:vAlign w:val="center"/>
          </w:tcPr>
          <w:p>
            <w:r>
              <w:rPr>
                <w:b w:val="0"/>
                <w:i w:val="0"/>
                <w:color w:val="000000"/>
                <w:sz w:val="18"/>
              </w:rPr>
              <w:t>0</w:t>
            </w:r>
          </w:p>
        </w:tc>
        <w:tc>
          <w:tcPr>
            <w:tcW w:type="dxa" w:w="3744"/>
            <w:shd w:val="clear" w:color="auto" w:fill="FFFFFF"/>
            <w:vAlign w:val="center"/>
          </w:tcPr>
          <w:p>
            <w:r>
              <w:rPr>
                <w:b w:val="0"/>
                <w:i w:val="0"/>
                <w:color w:val="000000"/>
                <w:sz w:val="18"/>
              </w:rPr>
              <w:t>Excluded under current constraints</w:t>
            </w:r>
          </w:p>
        </w:tc>
      </w:tr>
    </w:tbl>
    <w:p/>
    <w:p>
      <w:pPr>
        <w:spacing w:before="160" w:after="80"/>
      </w:pPr>
      <w:r>
        <w:rPr>
          <w:b/>
          <w:i w:val="0"/>
          <w:color w:val="000000"/>
          <w:sz w:val="24"/>
        </w:rPr>
        <w:t>Channel 1 — Google Ads: Primary Conversion Channel</w:t>
      </w:r>
    </w:p>
    <w:p>
      <w:pPr>
        <w:spacing w:after="120"/>
      </w:pPr>
      <w:r>
        <w:rPr>
          <w:b w:val="0"/>
          <w:i w:val="0"/>
          <w:color w:val="000000"/>
          <w:sz w:val="20"/>
        </w:rPr>
        <w:t>Google Ads is the only channel in the dataset that captures users at the moment of active search intent. A user who searches for a Nairobi–Mombasa bus ticket on Google has already identified a need and is evaluating options — Travler's ad appears at the highest point of purchase intent in the entire customer journey. This is why Google Ads delivers conversion rates of 12–15.7% while social platforms deliver 1.6–6.1%. Under budget constraints, this is the most defensible channel to Finance because the link between spend and bookings is direct, measurable, and consistent across two weeks of data. The recommended spend range is KES 30,000–60,000, targeting Business Travellers and Young Professionals as primary audiences and Families as secondary. Search campaigns should be structured around route-specific keywords — 'Nairobi to Mombasa bus', 'book bus ticket Kenya' — to capture users at the decision stage.</w:t>
      </w:r>
    </w:p>
    <w:p>
      <w:pPr>
        <w:spacing w:before="160" w:after="80"/>
      </w:pPr>
      <w:r>
        <w:rPr>
          <w:b/>
          <w:i w:val="0"/>
          <w:color w:val="000000"/>
          <w:sz w:val="24"/>
        </w:rPr>
        <w:t>Channel 2 — Instagram: Retargeting and Mid-Funnel</w:t>
      </w:r>
    </w:p>
    <w:p>
      <w:pPr>
        <w:spacing w:after="120"/>
      </w:pPr>
      <w:r>
        <w:rPr>
          <w:b w:val="0"/>
          <w:i w:val="0"/>
          <w:color w:val="000000"/>
          <w:sz w:val="20"/>
        </w:rPr>
        <w:t>Instagram serves two functions in this strategy. First, it retargets users who clicked a Google Ad or visited the Travler site but did not complete a booking — this audience has already demonstrated intent and requires a lower-cost nudge to convert. Second, it maintains brand visibility for Young Professionals and Leisure Travellers who are in the consideration phase but not yet actively searching. Instagram's ROI score of 4/5 and medium risk rating make it the appropriate secondary channel. In Week 3, Instagram campaigns delivered conversion rates of 3.3–6.1% — lower than Google Ads but significantly higher than TikTok. The visual format also supports the trust-rebuilding messaging that is needed following the Week 3 reputational incident. Retargeting campaigns should be triggered within 2 hours of a click with no booking, serving a trust message followed by a price-anchoring offer within 24 hours.</w:t>
      </w:r>
    </w:p>
    <w:p>
      <w:pPr>
        <w:spacing w:before="160" w:after="80"/>
      </w:pPr>
      <w:r>
        <w:rPr>
          <w:b/>
          <w:i w:val="0"/>
          <w:color w:val="000000"/>
          <w:sz w:val="24"/>
        </w:rPr>
        <w:t>Channel 3 — X: Reputation Management at Minimum Spend</w:t>
      </w:r>
    </w:p>
    <w:p>
      <w:pPr>
        <w:spacing w:after="120"/>
      </w:pPr>
      <w:r>
        <w:rPr>
          <w:b w:val="0"/>
          <w:i w:val="0"/>
          <w:color w:val="000000"/>
          <w:sz w:val="20"/>
        </w:rPr>
        <w:t>X is retained in the strategy at minimum spend (KES 10,000) not as a conversion channel but as a reputation management tool. The Week 3 sentiment analysis showed that 3 of 4 X comments were negative, concentrated on trust and payment themes directly linked to the viral complaint. Cutting X entirely while this negative sentiment remains active would leave the reputational damage unaddressed in the platform where it originated. The minimum spend maintains Travler's presence and supports the pinned crisis response post recommended in Week 3. Every negative comment on X should receive a public reply within 2 hours. This is not a growth investment — it is a risk mitigation cost that protects the return on the Google Ads and Instagram spend by ensuring that users who search Travler on X after seeing a paid ad do not encounter unanswered complaints as their first impression.</w:t>
      </w:r>
    </w:p>
    <w:p>
      <w:pPr>
        <w:spacing w:before="280" w:after="80"/>
      </w:pPr>
      <w:r>
        <w:rPr>
          <w:b/>
          <w:i w:val="0"/>
          <w:color w:val="000000"/>
          <w:sz w:val="32"/>
        </w:rPr>
        <w:t>4. Task 3 — Messaging Angles by Audience Segment</w:t>
      </w:r>
    </w:p>
    <w:p>
      <w:pPr>
        <w:spacing w:after="120"/>
      </w:pPr>
      <w:r>
        <w:rPr>
          <w:b w:val="0"/>
          <w:i w:val="0"/>
          <w:color w:val="000000"/>
          <w:sz w:val="20"/>
        </w:rPr>
        <w:t>Three messaging angles have been developed, each tailored to a priority segment's specific booking behaviour, conversion barrier, and platform context. Each angle addresses a distinct reason why users in that segment do or do not complete a booking.</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304"/>
            <w:shd w:val="clear" w:color="auto" w:fill="FFFFFF"/>
            <w:vAlign w:val="center"/>
          </w:tcPr>
          <w:p>
            <w:r>
              <w:rPr>
                <w:b/>
                <w:i w:val="0"/>
                <w:color w:val="000000"/>
                <w:sz w:val="18"/>
              </w:rPr>
              <w:t>Angle</w:t>
            </w:r>
          </w:p>
        </w:tc>
        <w:tc>
          <w:tcPr>
            <w:tcW w:type="dxa" w:w="2160"/>
            <w:shd w:val="clear" w:color="auto" w:fill="FFFFFF"/>
            <w:vAlign w:val="center"/>
          </w:tcPr>
          <w:p>
            <w:r>
              <w:rPr>
                <w:b/>
                <w:i w:val="0"/>
                <w:color w:val="000000"/>
                <w:sz w:val="18"/>
              </w:rPr>
              <w:t>Segment</w:t>
            </w:r>
          </w:p>
        </w:tc>
        <w:tc>
          <w:tcPr>
            <w:tcW w:type="dxa" w:w="2880"/>
            <w:shd w:val="clear" w:color="auto" w:fill="FFFFFF"/>
            <w:vAlign w:val="center"/>
          </w:tcPr>
          <w:p>
            <w:r>
              <w:rPr>
                <w:b/>
                <w:i w:val="0"/>
                <w:color w:val="000000"/>
                <w:sz w:val="18"/>
              </w:rPr>
              <w:t>Core Message</w:t>
            </w:r>
          </w:p>
        </w:tc>
        <w:tc>
          <w:tcPr>
            <w:tcW w:type="dxa" w:w="2880"/>
            <w:shd w:val="clear" w:color="auto" w:fill="FFFFFF"/>
            <w:vAlign w:val="center"/>
          </w:tcPr>
          <w:p>
            <w:r>
              <w:rPr>
                <w:b/>
                <w:i w:val="0"/>
                <w:color w:val="000000"/>
                <w:sz w:val="18"/>
              </w:rPr>
              <w:t>Barrier Addressed</w:t>
            </w:r>
          </w:p>
        </w:tc>
        <w:tc>
          <w:tcPr>
            <w:tcW w:type="dxa" w:w="1728"/>
            <w:shd w:val="clear" w:color="auto" w:fill="FFFFFF"/>
            <w:vAlign w:val="center"/>
          </w:tcPr>
          <w:p>
            <w:r>
              <w:rPr>
                <w:b/>
                <w:i w:val="0"/>
                <w:color w:val="000000"/>
                <w:sz w:val="18"/>
              </w:rPr>
              <w:t>Channel</w:t>
            </w:r>
          </w:p>
        </w:tc>
      </w:tr>
      <w:tr>
        <w:tc>
          <w:tcPr>
            <w:tcW w:type="dxa" w:w="2304"/>
            <w:shd w:val="clear" w:color="auto" w:fill="F4F6F8"/>
            <w:vAlign w:val="center"/>
          </w:tcPr>
          <w:p>
            <w:r>
              <w:rPr>
                <w:b w:val="0"/>
                <w:i w:val="0"/>
                <w:color w:val="000000"/>
                <w:sz w:val="18"/>
              </w:rPr>
              <w:t>Angle 1 — Efficiency &amp; Certainty</w:t>
            </w:r>
          </w:p>
        </w:tc>
        <w:tc>
          <w:tcPr>
            <w:tcW w:type="dxa" w:w="2160"/>
            <w:shd w:val="clear" w:color="auto" w:fill="F4F6F8"/>
            <w:vAlign w:val="center"/>
          </w:tcPr>
          <w:p>
            <w:r>
              <w:rPr>
                <w:b w:val="0"/>
                <w:i w:val="0"/>
                <w:color w:val="000000"/>
                <w:sz w:val="18"/>
              </w:rPr>
              <w:t>Business Travellers</w:t>
            </w:r>
          </w:p>
        </w:tc>
        <w:tc>
          <w:tcPr>
            <w:tcW w:type="dxa" w:w="2880"/>
            <w:shd w:val="clear" w:color="auto" w:fill="F4F6F8"/>
            <w:vAlign w:val="center"/>
          </w:tcPr>
          <w:p>
            <w:r>
              <w:rPr>
                <w:b w:val="0"/>
                <w:i w:val="0"/>
                <w:color w:val="000000"/>
                <w:sz w:val="18"/>
              </w:rPr>
              <w:t>Book in 60 seconds. Seat confirmed.</w:t>
            </w:r>
          </w:p>
        </w:tc>
        <w:tc>
          <w:tcPr>
            <w:tcW w:type="dxa" w:w="2880"/>
            <w:shd w:val="clear" w:color="auto" w:fill="F4F6F8"/>
            <w:vAlign w:val="center"/>
          </w:tcPr>
          <w:p>
            <w:r>
              <w:rPr>
                <w:b w:val="0"/>
                <w:i w:val="0"/>
                <w:color w:val="000000"/>
                <w:sz w:val="18"/>
              </w:rPr>
              <w:t>Time sensitivity — needs speed and reliability</w:t>
            </w:r>
          </w:p>
        </w:tc>
        <w:tc>
          <w:tcPr>
            <w:tcW w:type="dxa" w:w="1728"/>
            <w:shd w:val="clear" w:color="auto" w:fill="F4F6F8"/>
            <w:vAlign w:val="center"/>
          </w:tcPr>
          <w:p>
            <w:r>
              <w:rPr>
                <w:b w:val="0"/>
                <w:i w:val="0"/>
                <w:color w:val="000000"/>
                <w:sz w:val="18"/>
              </w:rPr>
              <w:t>Google Ads, X</w:t>
            </w:r>
          </w:p>
        </w:tc>
      </w:tr>
      <w:tr>
        <w:tc>
          <w:tcPr>
            <w:tcW w:type="dxa" w:w="2304"/>
            <w:shd w:val="clear" w:color="auto" w:fill="FFFFFF"/>
            <w:vAlign w:val="center"/>
          </w:tcPr>
          <w:p>
            <w:r>
              <w:rPr>
                <w:b w:val="0"/>
                <w:i w:val="0"/>
                <w:color w:val="000000"/>
                <w:sz w:val="18"/>
              </w:rPr>
              <w:t>Angle 2 — Safety &amp; Convenience</w:t>
            </w:r>
          </w:p>
        </w:tc>
        <w:tc>
          <w:tcPr>
            <w:tcW w:type="dxa" w:w="2160"/>
            <w:shd w:val="clear" w:color="auto" w:fill="FFFFFF"/>
            <w:vAlign w:val="center"/>
          </w:tcPr>
          <w:p>
            <w:r>
              <w:rPr>
                <w:b w:val="0"/>
                <w:i w:val="0"/>
                <w:color w:val="000000"/>
                <w:sz w:val="18"/>
              </w:rPr>
              <w:t>Families</w:t>
            </w:r>
          </w:p>
        </w:tc>
        <w:tc>
          <w:tcPr>
            <w:tcW w:type="dxa" w:w="2880"/>
            <w:shd w:val="clear" w:color="auto" w:fill="FFFFFF"/>
            <w:vAlign w:val="center"/>
          </w:tcPr>
          <w:p>
            <w:r>
              <w:rPr>
                <w:b w:val="0"/>
                <w:i w:val="0"/>
                <w:color w:val="000000"/>
                <w:sz w:val="18"/>
              </w:rPr>
              <w:t>Plan the whole trip. No queues, no stress.</w:t>
            </w:r>
          </w:p>
        </w:tc>
        <w:tc>
          <w:tcPr>
            <w:tcW w:type="dxa" w:w="2880"/>
            <w:shd w:val="clear" w:color="auto" w:fill="FFFFFF"/>
            <w:vAlign w:val="center"/>
          </w:tcPr>
          <w:p>
            <w:r>
              <w:rPr>
                <w:b w:val="0"/>
                <w:i w:val="0"/>
                <w:color w:val="000000"/>
                <w:sz w:val="18"/>
              </w:rPr>
              <w:t>Trust — needs safety signals before committing</w:t>
            </w:r>
          </w:p>
        </w:tc>
        <w:tc>
          <w:tcPr>
            <w:tcW w:type="dxa" w:w="1728"/>
            <w:shd w:val="clear" w:color="auto" w:fill="FFFFFF"/>
            <w:vAlign w:val="center"/>
          </w:tcPr>
          <w:p>
            <w:r>
              <w:rPr>
                <w:b w:val="0"/>
                <w:i w:val="0"/>
                <w:color w:val="000000"/>
                <w:sz w:val="18"/>
              </w:rPr>
              <w:t>Google Ads, Instagram</w:t>
            </w:r>
          </w:p>
        </w:tc>
      </w:tr>
      <w:tr>
        <w:tc>
          <w:tcPr>
            <w:tcW w:type="dxa" w:w="2304"/>
            <w:shd w:val="clear" w:color="auto" w:fill="F4F6F8"/>
            <w:vAlign w:val="center"/>
          </w:tcPr>
          <w:p>
            <w:r>
              <w:rPr>
                <w:b w:val="0"/>
                <w:i w:val="0"/>
                <w:color w:val="000000"/>
                <w:sz w:val="18"/>
              </w:rPr>
              <w:t>Angle 3 — Value &amp; Reassurance</w:t>
            </w:r>
          </w:p>
        </w:tc>
        <w:tc>
          <w:tcPr>
            <w:tcW w:type="dxa" w:w="2160"/>
            <w:shd w:val="clear" w:color="auto" w:fill="F4F6F8"/>
            <w:vAlign w:val="center"/>
          </w:tcPr>
          <w:p>
            <w:r>
              <w:rPr>
                <w:b w:val="0"/>
                <w:i w:val="0"/>
                <w:color w:val="000000"/>
                <w:sz w:val="18"/>
              </w:rPr>
              <w:t>Young Professionals</w:t>
            </w:r>
          </w:p>
        </w:tc>
        <w:tc>
          <w:tcPr>
            <w:tcW w:type="dxa" w:w="2880"/>
            <w:shd w:val="clear" w:color="auto" w:fill="F4F6F8"/>
            <w:vAlign w:val="center"/>
          </w:tcPr>
          <w:p>
            <w:r>
              <w:rPr>
                <w:b w:val="0"/>
                <w:i w:val="0"/>
                <w:color w:val="000000"/>
                <w:sz w:val="18"/>
              </w:rPr>
              <w:t>Best price or we match it.</w:t>
            </w:r>
          </w:p>
        </w:tc>
        <w:tc>
          <w:tcPr>
            <w:tcW w:type="dxa" w:w="2880"/>
            <w:shd w:val="clear" w:color="auto" w:fill="F4F6F8"/>
            <w:vAlign w:val="center"/>
          </w:tcPr>
          <w:p>
            <w:r>
              <w:rPr>
                <w:b w:val="0"/>
                <w:i w:val="0"/>
                <w:color w:val="000000"/>
                <w:sz w:val="18"/>
              </w:rPr>
              <w:t>Price perception — hesitates at checkout stage</w:t>
            </w:r>
          </w:p>
        </w:tc>
        <w:tc>
          <w:tcPr>
            <w:tcW w:type="dxa" w:w="1728"/>
            <w:shd w:val="clear" w:color="auto" w:fill="F4F6F8"/>
            <w:vAlign w:val="center"/>
          </w:tcPr>
          <w:p>
            <w:r>
              <w:rPr>
                <w:b w:val="0"/>
                <w:i w:val="0"/>
                <w:color w:val="000000"/>
                <w:sz w:val="18"/>
              </w:rPr>
              <w:t>Instagram retargeting</w:t>
            </w:r>
          </w:p>
        </w:tc>
      </w:tr>
    </w:tbl>
    <w:p/>
    <w:p>
      <w:pPr>
        <w:spacing w:before="160" w:after="80"/>
      </w:pPr>
      <w:r>
        <w:rPr>
          <w:b/>
          <w:i w:val="0"/>
          <w:color w:val="000000"/>
          <w:sz w:val="24"/>
        </w:rPr>
        <w:t>Angle 1 — Efficiency and Certainty  |  Business Travellers</w:t>
      </w:r>
    </w:p>
    <w:p>
      <w:pPr>
        <w:spacing w:after="120"/>
      </w:pPr>
      <w:r>
        <w:rPr>
          <w:b w:val="0"/>
          <w:i w:val="0"/>
          <w:color w:val="000000"/>
          <w:sz w:val="20"/>
        </w:rPr>
        <w:t>Business Travellers convert at 14% because they are in an active decision-making state when they encounter Travler ads. The messaging for this segment does not need to persuade — it needs to confirm. The core message is speed and reliability: 'Book in 60 seconds. Seat confirmed.' This directly addresses the segment's primary need, which is certainty. Business Travellers are time-sensitive and brand-agnostic — they will book the first reliable option that appears. Messaging should lead with the booking process being fast and the seat being guaranteed, not with price or destination inspiration. On Google Ads, this translates to ad copy that emphasises instant confirmation and route availability. On X, it supports the trust recovery narrative by demonstrating that the platform is reliable and responsive.</w:t>
      </w:r>
    </w:p>
    <w:p>
      <w:pPr>
        <w:spacing w:before="160" w:after="80"/>
      </w:pPr>
      <w:r>
        <w:rPr>
          <w:b/>
          <w:i w:val="0"/>
          <w:color w:val="000000"/>
          <w:sz w:val="24"/>
        </w:rPr>
        <w:t>Angle 2 — Safety and Convenience  |  Families</w:t>
      </w:r>
    </w:p>
    <w:p>
      <w:pPr>
        <w:spacing w:after="120"/>
      </w:pPr>
      <w:r>
        <w:rPr>
          <w:b w:val="0"/>
          <w:i w:val="0"/>
          <w:color w:val="000000"/>
          <w:sz w:val="20"/>
        </w:rPr>
        <w:t>Families convert at 10.5% but require trust signals before committing. The Week 1 Family Planner segment searched once and booked immediately — but only when the right conditions were present. The messaging for this segment must answer the unspoken question: 'Is this safe and easy for my family?' The core message is: 'Plan the whole trip in one place. No queues, no stress.' Supporting messages should include seat selection for groups, luggage allowance clarity, punctuality data, and customer testimonials from other families. On Google Ads, campaigns should target route-specific searches with family-oriented ad copy. On Instagram, carousel posts featuring real family testimonials and comfort reassurances convert this segment reliably, as demonstrated by the Week 2 content performance data.</w:t>
      </w:r>
    </w:p>
    <w:p>
      <w:pPr>
        <w:spacing w:before="160" w:after="80"/>
      </w:pPr>
      <w:r>
        <w:rPr>
          <w:b/>
          <w:i w:val="0"/>
          <w:color w:val="000000"/>
          <w:sz w:val="24"/>
        </w:rPr>
        <w:t>Angle 3 — Value and Reassurance  |  Young Professionals</w:t>
      </w:r>
    </w:p>
    <w:p>
      <w:pPr>
        <w:spacing w:after="120"/>
      </w:pPr>
      <w:r>
        <w:rPr>
          <w:b w:val="0"/>
          <w:i w:val="0"/>
          <w:color w:val="000000"/>
          <w:sz w:val="20"/>
        </w:rPr>
        <w:t>Young Professionals have a 7.5% CTR on Instagram but convert at only 6% — the gap between click and booking indicates a barrier at the decision stage, not at awareness. Week 3 sentiment data identified price perception as a key concern: users comparing Travler's prices to walk-up bus station rates without understanding the value difference. The core message is: 'Best price or we match it.' This directly addresses the price hesitation with a guarantee that removes the need to comparison-shop. Supporting messages should anchor the value proposition: convenience, seat guarantee, no queuing, and time saved. This angle is deployed primarily through Instagram retargeting — triggered within 2 hours of a click with no booking — and should be followed by a limited-time discount offer within 24 hours if the user still has not converted. The sequence directly mirrors the retargeting recommendation from Week 3.</w:t>
      </w:r>
    </w:p>
    <w:p>
      <w:pPr>
        <w:spacing w:before="280" w:after="80"/>
      </w:pPr>
      <w:r>
        <w:rPr>
          <w:b/>
          <w:i w:val="0"/>
          <w:color w:val="000000"/>
          <w:sz w:val="32"/>
        </w:rPr>
        <w:t>5. Task 4 — Budget Allocation Recommendation</w:t>
      </w:r>
    </w:p>
    <w:p>
      <w:pPr>
        <w:spacing w:after="120"/>
      </w:pPr>
      <w:r>
        <w:rPr>
          <w:b w:val="0"/>
          <w:i w:val="0"/>
          <w:color w:val="000000"/>
          <w:sz w:val="20"/>
        </w:rPr>
        <w:t>The following allocation is based on a constrained total budget of KES 80,000, consistent with the minimum-to-mid spend ranges in the Week 4 Budget Scenario data. The split prioritises channels by ROI score and risk level, with the largest share going to the channel with the most direct and measurable link to bookings.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84"/>
            <w:shd w:val="clear" w:color="auto" w:fill="FFFFFF"/>
            <w:vAlign w:val="center"/>
          </w:tcPr>
          <w:p>
            <w:r>
              <w:rPr>
                <w:b/>
                <w:i w:val="0"/>
                <w:color w:val="000000"/>
                <w:sz w:val="18"/>
              </w:rPr>
              <w:t>Channel</w:t>
            </w:r>
          </w:p>
        </w:tc>
        <w:tc>
          <w:tcPr>
            <w:tcW w:type="dxa" w:w="1296"/>
            <w:shd w:val="clear" w:color="auto" w:fill="FFFFFF"/>
            <w:vAlign w:val="center"/>
          </w:tcPr>
          <w:p>
            <w:r>
              <w:rPr>
                <w:b/>
                <w:i w:val="0"/>
                <w:color w:val="000000"/>
                <w:sz w:val="18"/>
              </w:rPr>
              <w:t>Allocation</w:t>
            </w:r>
          </w:p>
        </w:tc>
        <w:tc>
          <w:tcPr>
            <w:tcW w:type="dxa" w:w="1584"/>
            <w:shd w:val="clear" w:color="auto" w:fill="FFFFFF"/>
            <w:vAlign w:val="center"/>
          </w:tcPr>
          <w:p>
            <w:r>
              <w:rPr>
                <w:b/>
                <w:i w:val="0"/>
                <w:color w:val="000000"/>
                <w:sz w:val="18"/>
              </w:rPr>
              <w:t>KES Amount</w:t>
            </w:r>
          </w:p>
        </w:tc>
        <w:tc>
          <w:tcPr>
            <w:tcW w:type="dxa" w:w="1296"/>
            <w:shd w:val="clear" w:color="auto" w:fill="FFFFFF"/>
            <w:vAlign w:val="center"/>
          </w:tcPr>
          <w:p>
            <w:r>
              <w:rPr>
                <w:b/>
                <w:i w:val="0"/>
                <w:color w:val="000000"/>
                <w:sz w:val="18"/>
              </w:rPr>
              <w:t>ROI Score</w:t>
            </w:r>
          </w:p>
        </w:tc>
        <w:tc>
          <w:tcPr>
            <w:tcW w:type="dxa" w:w="1152"/>
            <w:shd w:val="clear" w:color="auto" w:fill="FFFFFF"/>
            <w:vAlign w:val="center"/>
          </w:tcPr>
          <w:p>
            <w:r>
              <w:rPr>
                <w:b/>
                <w:i w:val="0"/>
                <w:color w:val="000000"/>
                <w:sz w:val="18"/>
              </w:rPr>
              <w:t>Risk</w:t>
            </w:r>
          </w:p>
        </w:tc>
        <w:tc>
          <w:tcPr>
            <w:tcW w:type="dxa" w:w="3744"/>
            <w:shd w:val="clear" w:color="auto" w:fill="FFFFFF"/>
            <w:vAlign w:val="center"/>
          </w:tcPr>
          <w:p>
            <w:r>
              <w:rPr>
                <w:b/>
                <w:i w:val="0"/>
                <w:color w:val="000000"/>
                <w:sz w:val="18"/>
              </w:rPr>
              <w:t>Justification</w:t>
            </w:r>
          </w:p>
        </w:tc>
      </w:tr>
      <w:tr>
        <w:tc>
          <w:tcPr>
            <w:tcW w:type="dxa" w:w="1584"/>
            <w:shd w:val="clear" w:color="auto" w:fill="F4F6F8"/>
            <w:vAlign w:val="center"/>
          </w:tcPr>
          <w:p>
            <w:r>
              <w:rPr>
                <w:b w:val="0"/>
                <w:i w:val="0"/>
                <w:color w:val="000000"/>
                <w:sz w:val="18"/>
              </w:rPr>
              <w:t>Google Ads</w:t>
            </w:r>
          </w:p>
        </w:tc>
        <w:tc>
          <w:tcPr>
            <w:tcW w:type="dxa" w:w="1296"/>
            <w:shd w:val="clear" w:color="auto" w:fill="F4F6F8"/>
            <w:vAlign w:val="center"/>
          </w:tcPr>
          <w:p>
            <w:r>
              <w:rPr>
                <w:b w:val="0"/>
                <w:i w:val="0"/>
                <w:color w:val="000000"/>
                <w:sz w:val="18"/>
              </w:rPr>
              <w:t>55%</w:t>
            </w:r>
          </w:p>
        </w:tc>
        <w:tc>
          <w:tcPr>
            <w:tcW w:type="dxa" w:w="1584"/>
            <w:shd w:val="clear" w:color="auto" w:fill="F4F6F8"/>
            <w:vAlign w:val="center"/>
          </w:tcPr>
          <w:p>
            <w:r>
              <w:rPr>
                <w:b w:val="0"/>
                <w:i w:val="0"/>
                <w:color w:val="000000"/>
                <w:sz w:val="18"/>
              </w:rPr>
              <w:t>KES 44,000</w:t>
            </w:r>
          </w:p>
        </w:tc>
        <w:tc>
          <w:tcPr>
            <w:tcW w:type="dxa" w:w="1296"/>
            <w:shd w:val="clear" w:color="auto" w:fill="F4F6F8"/>
            <w:vAlign w:val="center"/>
          </w:tcPr>
          <w:p>
            <w:r>
              <w:rPr>
                <w:b w:val="0"/>
                <w:i w:val="0"/>
                <w:color w:val="000000"/>
                <w:sz w:val="18"/>
              </w:rPr>
              <w:t>5/5</w:t>
            </w:r>
          </w:p>
        </w:tc>
        <w:tc>
          <w:tcPr>
            <w:tcW w:type="dxa" w:w="1152"/>
            <w:shd w:val="clear" w:color="auto" w:fill="F4F6F8"/>
            <w:vAlign w:val="center"/>
          </w:tcPr>
          <w:p>
            <w:r>
              <w:rPr>
                <w:b w:val="0"/>
                <w:i w:val="0"/>
                <w:color w:val="000000"/>
                <w:sz w:val="18"/>
              </w:rPr>
              <w:t>Low</w:t>
            </w:r>
          </w:p>
        </w:tc>
        <w:tc>
          <w:tcPr>
            <w:tcW w:type="dxa" w:w="3744"/>
            <w:shd w:val="clear" w:color="auto" w:fill="F4F6F8"/>
            <w:vAlign w:val="center"/>
          </w:tcPr>
          <w:p>
            <w:r>
              <w:rPr>
                <w:b w:val="0"/>
                <w:i w:val="0"/>
                <w:color w:val="000000"/>
                <w:sz w:val="18"/>
              </w:rPr>
              <w:t>Highest conversion rates, lowest CPA, most defensible to Finance</w:t>
            </w:r>
          </w:p>
        </w:tc>
      </w:tr>
      <w:tr>
        <w:tc>
          <w:tcPr>
            <w:tcW w:type="dxa" w:w="1584"/>
            <w:shd w:val="clear" w:color="auto" w:fill="FFFFFF"/>
            <w:vAlign w:val="center"/>
          </w:tcPr>
          <w:p>
            <w:r>
              <w:rPr>
                <w:b w:val="0"/>
                <w:i w:val="0"/>
                <w:color w:val="000000"/>
                <w:sz w:val="18"/>
              </w:rPr>
              <w:t>Instagram</w:t>
            </w:r>
          </w:p>
        </w:tc>
        <w:tc>
          <w:tcPr>
            <w:tcW w:type="dxa" w:w="1296"/>
            <w:shd w:val="clear" w:color="auto" w:fill="FFFFFF"/>
            <w:vAlign w:val="center"/>
          </w:tcPr>
          <w:p>
            <w:r>
              <w:rPr>
                <w:b w:val="0"/>
                <w:i w:val="0"/>
                <w:color w:val="000000"/>
                <w:sz w:val="18"/>
              </w:rPr>
              <w:t>30%</w:t>
            </w:r>
          </w:p>
        </w:tc>
        <w:tc>
          <w:tcPr>
            <w:tcW w:type="dxa" w:w="1584"/>
            <w:shd w:val="clear" w:color="auto" w:fill="FFFFFF"/>
            <w:vAlign w:val="center"/>
          </w:tcPr>
          <w:p>
            <w:r>
              <w:rPr>
                <w:b w:val="0"/>
                <w:i w:val="0"/>
                <w:color w:val="000000"/>
                <w:sz w:val="18"/>
              </w:rPr>
              <w:t>KES 24,000</w:t>
            </w:r>
          </w:p>
        </w:tc>
        <w:tc>
          <w:tcPr>
            <w:tcW w:type="dxa" w:w="1296"/>
            <w:shd w:val="clear" w:color="auto" w:fill="FFFFFF"/>
            <w:vAlign w:val="center"/>
          </w:tcPr>
          <w:p>
            <w:r>
              <w:rPr>
                <w:b w:val="0"/>
                <w:i w:val="0"/>
                <w:color w:val="000000"/>
                <w:sz w:val="18"/>
              </w:rPr>
              <w:t>4/5</w:t>
            </w:r>
          </w:p>
        </w:tc>
        <w:tc>
          <w:tcPr>
            <w:tcW w:type="dxa" w:w="1152"/>
            <w:shd w:val="clear" w:color="auto" w:fill="FFFFFF"/>
            <w:vAlign w:val="center"/>
          </w:tcPr>
          <w:p>
            <w:r>
              <w:rPr>
                <w:b w:val="0"/>
                <w:i w:val="0"/>
                <w:color w:val="000000"/>
                <w:sz w:val="18"/>
              </w:rPr>
              <w:t>Medium</w:t>
            </w:r>
          </w:p>
        </w:tc>
        <w:tc>
          <w:tcPr>
            <w:tcW w:type="dxa" w:w="3744"/>
            <w:shd w:val="clear" w:color="auto" w:fill="FFFFFF"/>
            <w:vAlign w:val="center"/>
          </w:tcPr>
          <w:p>
            <w:r>
              <w:rPr>
                <w:b w:val="0"/>
                <w:i w:val="0"/>
                <w:color w:val="000000"/>
                <w:sz w:val="18"/>
              </w:rPr>
              <w:t>Retargeting high-CTR non-converters, trust rebuilding post Week 3</w:t>
            </w:r>
          </w:p>
        </w:tc>
      </w:tr>
      <w:tr>
        <w:tc>
          <w:tcPr>
            <w:tcW w:type="dxa" w:w="1584"/>
            <w:shd w:val="clear" w:color="auto" w:fill="F4F6F8"/>
            <w:vAlign w:val="center"/>
          </w:tcPr>
          <w:p>
            <w:r>
              <w:rPr>
                <w:b w:val="0"/>
                <w:i w:val="0"/>
                <w:color w:val="000000"/>
                <w:sz w:val="18"/>
              </w:rPr>
              <w:t>X</w:t>
            </w:r>
          </w:p>
        </w:tc>
        <w:tc>
          <w:tcPr>
            <w:tcW w:type="dxa" w:w="1296"/>
            <w:shd w:val="clear" w:color="auto" w:fill="F4F6F8"/>
            <w:vAlign w:val="center"/>
          </w:tcPr>
          <w:p>
            <w:r>
              <w:rPr>
                <w:b w:val="0"/>
                <w:i w:val="0"/>
                <w:color w:val="000000"/>
                <w:sz w:val="18"/>
              </w:rPr>
              <w:t>15%</w:t>
            </w:r>
          </w:p>
        </w:tc>
        <w:tc>
          <w:tcPr>
            <w:tcW w:type="dxa" w:w="1584"/>
            <w:shd w:val="clear" w:color="auto" w:fill="F4F6F8"/>
            <w:vAlign w:val="center"/>
          </w:tcPr>
          <w:p>
            <w:r>
              <w:rPr>
                <w:b w:val="0"/>
                <w:i w:val="0"/>
                <w:color w:val="000000"/>
                <w:sz w:val="18"/>
              </w:rPr>
              <w:t>KES 12,000</w:t>
            </w:r>
          </w:p>
        </w:tc>
        <w:tc>
          <w:tcPr>
            <w:tcW w:type="dxa" w:w="1296"/>
            <w:shd w:val="clear" w:color="auto" w:fill="F4F6F8"/>
            <w:vAlign w:val="center"/>
          </w:tcPr>
          <w:p>
            <w:r>
              <w:rPr>
                <w:b w:val="0"/>
                <w:i w:val="0"/>
                <w:color w:val="000000"/>
                <w:sz w:val="18"/>
              </w:rPr>
              <w:t>3/5</w:t>
            </w:r>
          </w:p>
        </w:tc>
        <w:tc>
          <w:tcPr>
            <w:tcW w:type="dxa" w:w="1152"/>
            <w:shd w:val="clear" w:color="auto" w:fill="F4F6F8"/>
            <w:vAlign w:val="center"/>
          </w:tcPr>
          <w:p>
            <w:r>
              <w:rPr>
                <w:b w:val="0"/>
                <w:i w:val="0"/>
                <w:color w:val="000000"/>
                <w:sz w:val="18"/>
              </w:rPr>
              <w:t>Medium</w:t>
            </w:r>
          </w:p>
        </w:tc>
        <w:tc>
          <w:tcPr>
            <w:tcW w:type="dxa" w:w="3744"/>
            <w:shd w:val="clear" w:color="auto" w:fill="F4F6F8"/>
            <w:vAlign w:val="center"/>
          </w:tcPr>
          <w:p>
            <w:r>
              <w:rPr>
                <w:b w:val="0"/>
                <w:i w:val="0"/>
                <w:color w:val="000000"/>
                <w:sz w:val="18"/>
              </w:rPr>
              <w:t>Minimum spend for reputation management — risk mitigation, not growth</w:t>
            </w:r>
          </w:p>
        </w:tc>
      </w:tr>
      <w:tr>
        <w:tc>
          <w:tcPr>
            <w:tcW w:type="dxa" w:w="1584"/>
            <w:shd w:val="clear" w:color="auto" w:fill="FFFFFF"/>
            <w:vAlign w:val="center"/>
          </w:tcPr>
          <w:p>
            <w:r>
              <w:rPr>
                <w:b w:val="0"/>
                <w:i w:val="0"/>
                <w:color w:val="000000"/>
                <w:sz w:val="18"/>
              </w:rPr>
              <w:t>TikTok</w:t>
            </w:r>
          </w:p>
        </w:tc>
        <w:tc>
          <w:tcPr>
            <w:tcW w:type="dxa" w:w="1296"/>
            <w:shd w:val="clear" w:color="auto" w:fill="FFFFFF"/>
            <w:vAlign w:val="center"/>
          </w:tcPr>
          <w:p>
            <w:r>
              <w:rPr>
                <w:b w:val="0"/>
                <w:i w:val="0"/>
                <w:color w:val="000000"/>
                <w:sz w:val="18"/>
              </w:rPr>
              <w:t>0%</w:t>
            </w:r>
          </w:p>
        </w:tc>
        <w:tc>
          <w:tcPr>
            <w:tcW w:type="dxa" w:w="1584"/>
            <w:shd w:val="clear" w:color="auto" w:fill="FFFFFF"/>
            <w:vAlign w:val="center"/>
          </w:tcPr>
          <w:p>
            <w:r>
              <w:rPr>
                <w:b w:val="0"/>
                <w:i w:val="0"/>
                <w:color w:val="000000"/>
                <w:sz w:val="18"/>
              </w:rPr>
              <w:t>KES 0</w:t>
            </w:r>
          </w:p>
        </w:tc>
        <w:tc>
          <w:tcPr>
            <w:tcW w:type="dxa" w:w="1296"/>
            <w:shd w:val="clear" w:color="auto" w:fill="FFFFFF"/>
            <w:vAlign w:val="center"/>
          </w:tcPr>
          <w:p>
            <w:r>
              <w:rPr>
                <w:b w:val="0"/>
                <w:i w:val="0"/>
                <w:color w:val="000000"/>
                <w:sz w:val="18"/>
              </w:rPr>
              <w:t>2/5</w:t>
            </w:r>
          </w:p>
        </w:tc>
        <w:tc>
          <w:tcPr>
            <w:tcW w:type="dxa" w:w="1152"/>
            <w:shd w:val="clear" w:color="auto" w:fill="FFFFFF"/>
            <w:vAlign w:val="center"/>
          </w:tcPr>
          <w:p>
            <w:r>
              <w:rPr>
                <w:b w:val="0"/>
                <w:i w:val="0"/>
                <w:color w:val="000000"/>
                <w:sz w:val="18"/>
              </w:rPr>
              <w:t>High</w:t>
            </w:r>
          </w:p>
        </w:tc>
        <w:tc>
          <w:tcPr>
            <w:tcW w:type="dxa" w:w="3744"/>
            <w:shd w:val="clear" w:color="auto" w:fill="FFFFFF"/>
            <w:vAlign w:val="center"/>
          </w:tcPr>
          <w:p>
            <w:r>
              <w:rPr>
                <w:b w:val="0"/>
                <w:i w:val="0"/>
                <w:color w:val="000000"/>
                <w:sz w:val="18"/>
              </w:rPr>
              <w:t>Paused — CPA KES 1,000–1,125 indefensible under current constraints</w:t>
            </w:r>
          </w:p>
        </w:tc>
      </w:tr>
    </w:tbl>
    <w:p/>
    <w:p>
      <w:pPr>
        <w:spacing w:after="120"/>
      </w:pPr>
      <w:r>
        <w:rPr>
          <w:b w:val="0"/>
          <w:i w:val="0"/>
          <w:color w:val="000000"/>
          <w:sz w:val="20"/>
        </w:rPr>
        <w:t>Justification for Kevin R. (Finance): 85% of the total budget is allocated to channels with ROI scores of 4–5/5 and low-to-medium risk. Google Ads alone accounts for 55% of spend and has a demonstrated cost per booking of KES 350–455 — meaning KES 44,000 is projected to generate approximately 97–126 bookings based on Week 3 performance data. Instagram's KES 24,000 targets users who have already clicked a Travler ad, meaning the cost of acquisition is lower than a cold audience campaign. The KES 12,000 on X is a reputation management cost: leaving negative sentiment unaddressed on the platform where it originated would suppress conversion rates on the other two channels by undermining trust at the point of decision.</w:t>
      </w:r>
    </w:p>
    <w:p>
      <w:pPr>
        <w:spacing w:after="120"/>
      </w:pPr>
      <w:r>
        <w:rPr>
          <w:b w:val="0"/>
          <w:i w:val="0"/>
          <w:color w:val="000000"/>
          <w:sz w:val="20"/>
        </w:rPr>
        <w:t>Justification for Amina K. (Marketing): Travler maintains paid visibility across three channels. Google Ads keeps the brand present at the moment of highest purchase intent for the top three segments. Instagram keeps Travler visible to the high-volume Young Professional segment during the consideration phase and retargets users who showed intent but did not convert. X keeps the brand's response visible to anyone who searches Travler following the Week 3 incident. TikTok is paused, not abandoned — it should be reintroduced once budget pressure eases, repositioned as an awareness channel with success measured by retargeting pool growth rather than direct bookings.</w:t>
      </w:r>
    </w:p>
    <w:p>
      <w:pPr>
        <w:spacing w:before="280" w:after="80"/>
      </w:pPr>
      <w:r>
        <w:rPr>
          <w:b/>
          <w:i w:val="0"/>
          <w:color w:val="000000"/>
          <w:sz w:val="32"/>
        </w:rPr>
        <w:t>6. Audience Performance Summary</w:t>
      </w:r>
    </w:p>
    <w:p>
      <w:pPr>
        <w:spacing w:after="120"/>
      </w:pPr>
      <w:r>
        <w:rPr>
          <w:b w:val="0"/>
          <w:i w:val="0"/>
          <w:color w:val="000000"/>
          <w:sz w:val="20"/>
        </w:rPr>
        <w:t>The table below summarises the full Week 4 audience dataset for reference, showing all five segments ranked by cost per booking.</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2304"/>
            <w:shd w:val="clear" w:color="auto" w:fill="FFFFFF"/>
            <w:vAlign w:val="center"/>
          </w:tcPr>
          <w:p>
            <w:r>
              <w:rPr>
                <w:b/>
                <w:i w:val="0"/>
                <w:color w:val="000000"/>
                <w:sz w:val="18"/>
              </w:rPr>
              <w:t>Segment</w:t>
            </w:r>
          </w:p>
        </w:tc>
        <w:tc>
          <w:tcPr>
            <w:tcW w:type="dxa" w:w="2016"/>
            <w:shd w:val="clear" w:color="auto" w:fill="FFFFFF"/>
            <w:vAlign w:val="center"/>
          </w:tcPr>
          <w:p>
            <w:r>
              <w:rPr>
                <w:b/>
                <w:i w:val="0"/>
                <w:color w:val="000000"/>
                <w:sz w:val="18"/>
              </w:rPr>
              <w:t>Platform Preference</w:t>
            </w:r>
          </w:p>
        </w:tc>
        <w:tc>
          <w:tcPr>
            <w:tcW w:type="dxa" w:w="1296"/>
            <w:shd w:val="clear" w:color="auto" w:fill="FFFFFF"/>
            <w:vAlign w:val="center"/>
          </w:tcPr>
          <w:p>
            <w:r>
              <w:rPr>
                <w:b/>
                <w:i w:val="0"/>
                <w:color w:val="000000"/>
                <w:sz w:val="18"/>
              </w:rPr>
              <w:t>Avg CTR (%)</w:t>
            </w:r>
          </w:p>
        </w:tc>
        <w:tc>
          <w:tcPr>
            <w:tcW w:type="dxa" w:w="1440"/>
            <w:shd w:val="clear" w:color="auto" w:fill="FFFFFF"/>
            <w:vAlign w:val="center"/>
          </w:tcPr>
          <w:p>
            <w:r>
              <w:rPr>
                <w:b/>
                <w:i w:val="0"/>
                <w:color w:val="000000"/>
                <w:sz w:val="18"/>
              </w:rPr>
              <w:t>Conv Rate (%)</w:t>
            </w:r>
          </w:p>
        </w:tc>
        <w:tc>
          <w:tcPr>
            <w:tcW w:type="dxa" w:w="2160"/>
            <w:shd w:val="clear" w:color="auto" w:fill="FFFFFF"/>
            <w:vAlign w:val="center"/>
          </w:tcPr>
          <w:p>
            <w:r>
              <w:rPr>
                <w:b/>
                <w:i w:val="0"/>
                <w:color w:val="000000"/>
                <w:sz w:val="18"/>
              </w:rPr>
              <w:t>Cost per Booking (KES)</w:t>
            </w:r>
          </w:p>
        </w:tc>
        <w:tc>
          <w:tcPr>
            <w:tcW w:type="dxa" w:w="1584"/>
            <w:shd w:val="clear" w:color="auto" w:fill="FFFFFF"/>
            <w:vAlign w:val="center"/>
          </w:tcPr>
          <w:p>
            <w:r>
              <w:rPr>
                <w:b/>
                <w:i w:val="0"/>
                <w:color w:val="000000"/>
                <w:sz w:val="18"/>
              </w:rPr>
              <w:t>Volume Potential</w:t>
            </w:r>
          </w:p>
        </w:tc>
        <w:tc>
          <w:tcPr>
            <w:tcW w:type="dxa" w:w="2736"/>
            <w:shd w:val="clear" w:color="auto" w:fill="FFFFFF"/>
            <w:vAlign w:val="center"/>
          </w:tcPr>
          <w:p>
            <w:r>
              <w:rPr>
                <w:b/>
                <w:i w:val="0"/>
                <w:color w:val="000000"/>
                <w:sz w:val="18"/>
              </w:rPr>
              <w:t>Strategy Decision</w:t>
            </w:r>
          </w:p>
        </w:tc>
      </w:tr>
      <w:tr>
        <w:tc>
          <w:tcPr>
            <w:tcW w:type="dxa" w:w="2304"/>
            <w:shd w:val="clear" w:color="auto" w:fill="F4F6F8"/>
            <w:vAlign w:val="center"/>
          </w:tcPr>
          <w:p>
            <w:r>
              <w:rPr>
                <w:b w:val="0"/>
                <w:i w:val="0"/>
                <w:color w:val="000000"/>
                <w:sz w:val="18"/>
              </w:rPr>
              <w:t>Business Travellers</w:t>
            </w:r>
          </w:p>
        </w:tc>
        <w:tc>
          <w:tcPr>
            <w:tcW w:type="dxa" w:w="2016"/>
            <w:shd w:val="clear" w:color="auto" w:fill="F4F6F8"/>
            <w:vAlign w:val="center"/>
          </w:tcPr>
          <w:p>
            <w:r>
              <w:rPr>
                <w:b w:val="0"/>
                <w:i w:val="0"/>
                <w:color w:val="000000"/>
                <w:sz w:val="18"/>
              </w:rPr>
              <w:t>Google Ads</w:t>
            </w:r>
          </w:p>
        </w:tc>
        <w:tc>
          <w:tcPr>
            <w:tcW w:type="dxa" w:w="1296"/>
            <w:shd w:val="clear" w:color="auto" w:fill="F4F6F8"/>
            <w:vAlign w:val="center"/>
          </w:tcPr>
          <w:p>
            <w:r>
              <w:rPr>
                <w:b w:val="0"/>
                <w:i w:val="0"/>
                <w:color w:val="000000"/>
                <w:sz w:val="18"/>
              </w:rPr>
              <w:t>6.8</w:t>
            </w:r>
          </w:p>
        </w:tc>
        <w:tc>
          <w:tcPr>
            <w:tcW w:type="dxa" w:w="1440"/>
            <w:shd w:val="clear" w:color="auto" w:fill="F4F6F8"/>
            <w:vAlign w:val="center"/>
          </w:tcPr>
          <w:p>
            <w:r>
              <w:rPr>
                <w:b w:val="0"/>
                <w:i w:val="0"/>
                <w:color w:val="000000"/>
                <w:sz w:val="18"/>
              </w:rPr>
              <w:t>14.0</w:t>
            </w:r>
          </w:p>
        </w:tc>
        <w:tc>
          <w:tcPr>
            <w:tcW w:type="dxa" w:w="2160"/>
            <w:shd w:val="clear" w:color="auto" w:fill="F4F6F8"/>
            <w:vAlign w:val="center"/>
          </w:tcPr>
          <w:p>
            <w:r>
              <w:rPr>
                <w:b w:val="0"/>
                <w:i w:val="0"/>
                <w:color w:val="000000"/>
                <w:sz w:val="18"/>
              </w:rPr>
              <w:t>350</w:t>
            </w:r>
          </w:p>
        </w:tc>
        <w:tc>
          <w:tcPr>
            <w:tcW w:type="dxa" w:w="1584"/>
            <w:shd w:val="clear" w:color="auto" w:fill="F4F6F8"/>
            <w:vAlign w:val="center"/>
          </w:tcPr>
          <w:p>
            <w:r>
              <w:rPr>
                <w:b w:val="0"/>
                <w:i w:val="0"/>
                <w:color w:val="000000"/>
                <w:sz w:val="18"/>
              </w:rPr>
              <w:t>Medium</w:t>
            </w:r>
          </w:p>
        </w:tc>
        <w:tc>
          <w:tcPr>
            <w:tcW w:type="dxa" w:w="2736"/>
            <w:shd w:val="clear" w:color="auto" w:fill="F4F6F8"/>
            <w:vAlign w:val="center"/>
          </w:tcPr>
          <w:p>
            <w:r>
              <w:rPr>
                <w:b w:val="0"/>
                <w:i w:val="0"/>
                <w:color w:val="000000"/>
                <w:sz w:val="18"/>
              </w:rPr>
              <w:t>Priority 1 — full budget allocation</w:t>
            </w:r>
          </w:p>
        </w:tc>
      </w:tr>
      <w:tr>
        <w:tc>
          <w:tcPr>
            <w:tcW w:type="dxa" w:w="2304"/>
            <w:shd w:val="clear" w:color="auto" w:fill="FFFFFF"/>
            <w:vAlign w:val="center"/>
          </w:tcPr>
          <w:p>
            <w:r>
              <w:rPr>
                <w:b w:val="0"/>
                <w:i w:val="0"/>
                <w:color w:val="000000"/>
                <w:sz w:val="18"/>
              </w:rPr>
              <w:t>Families</w:t>
            </w:r>
          </w:p>
        </w:tc>
        <w:tc>
          <w:tcPr>
            <w:tcW w:type="dxa" w:w="2016"/>
            <w:shd w:val="clear" w:color="auto" w:fill="FFFFFF"/>
            <w:vAlign w:val="center"/>
          </w:tcPr>
          <w:p>
            <w:r>
              <w:rPr>
                <w:b w:val="0"/>
                <w:i w:val="0"/>
                <w:color w:val="000000"/>
                <w:sz w:val="18"/>
              </w:rPr>
              <w:t>Google Ads</w:t>
            </w:r>
          </w:p>
        </w:tc>
        <w:tc>
          <w:tcPr>
            <w:tcW w:type="dxa" w:w="1296"/>
            <w:shd w:val="clear" w:color="auto" w:fill="FFFFFF"/>
            <w:vAlign w:val="center"/>
          </w:tcPr>
          <w:p>
            <w:r>
              <w:rPr>
                <w:b w:val="0"/>
                <w:i w:val="0"/>
                <w:color w:val="000000"/>
                <w:sz w:val="18"/>
              </w:rPr>
              <w:t>5.5</w:t>
            </w:r>
          </w:p>
        </w:tc>
        <w:tc>
          <w:tcPr>
            <w:tcW w:type="dxa" w:w="1440"/>
            <w:shd w:val="clear" w:color="auto" w:fill="FFFFFF"/>
            <w:vAlign w:val="center"/>
          </w:tcPr>
          <w:p>
            <w:r>
              <w:rPr>
                <w:b w:val="0"/>
                <w:i w:val="0"/>
                <w:color w:val="000000"/>
                <w:sz w:val="18"/>
              </w:rPr>
              <w:t>10.5</w:t>
            </w:r>
          </w:p>
        </w:tc>
        <w:tc>
          <w:tcPr>
            <w:tcW w:type="dxa" w:w="2160"/>
            <w:shd w:val="clear" w:color="auto" w:fill="FFFFFF"/>
            <w:vAlign w:val="center"/>
          </w:tcPr>
          <w:p>
            <w:r>
              <w:rPr>
                <w:b w:val="0"/>
                <w:i w:val="0"/>
                <w:color w:val="000000"/>
                <w:sz w:val="18"/>
              </w:rPr>
              <w:t>400</w:t>
            </w:r>
          </w:p>
        </w:tc>
        <w:tc>
          <w:tcPr>
            <w:tcW w:type="dxa" w:w="1584"/>
            <w:shd w:val="clear" w:color="auto" w:fill="FFFFFF"/>
            <w:vAlign w:val="center"/>
          </w:tcPr>
          <w:p>
            <w:r>
              <w:rPr>
                <w:b w:val="0"/>
                <w:i w:val="0"/>
                <w:color w:val="000000"/>
                <w:sz w:val="18"/>
              </w:rPr>
              <w:t>Low</w:t>
            </w:r>
          </w:p>
        </w:tc>
        <w:tc>
          <w:tcPr>
            <w:tcW w:type="dxa" w:w="2736"/>
            <w:shd w:val="clear" w:color="auto" w:fill="FFFFFF"/>
            <w:vAlign w:val="center"/>
          </w:tcPr>
          <w:p>
            <w:r>
              <w:rPr>
                <w:b w:val="0"/>
                <w:i w:val="0"/>
                <w:color w:val="000000"/>
                <w:sz w:val="18"/>
              </w:rPr>
              <w:t>Priority 2 — Google Ads + Instagram</w:t>
            </w:r>
          </w:p>
        </w:tc>
      </w:tr>
      <w:tr>
        <w:tc>
          <w:tcPr>
            <w:tcW w:type="dxa" w:w="2304"/>
            <w:shd w:val="clear" w:color="auto" w:fill="F4F6F8"/>
            <w:vAlign w:val="center"/>
          </w:tcPr>
          <w:p>
            <w:r>
              <w:rPr>
                <w:b w:val="0"/>
                <w:i w:val="0"/>
                <w:color w:val="000000"/>
                <w:sz w:val="18"/>
              </w:rPr>
              <w:t>Young Professionals</w:t>
            </w:r>
          </w:p>
        </w:tc>
        <w:tc>
          <w:tcPr>
            <w:tcW w:type="dxa" w:w="2016"/>
            <w:shd w:val="clear" w:color="auto" w:fill="F4F6F8"/>
            <w:vAlign w:val="center"/>
          </w:tcPr>
          <w:p>
            <w:r>
              <w:rPr>
                <w:b w:val="0"/>
                <w:i w:val="0"/>
                <w:color w:val="000000"/>
                <w:sz w:val="18"/>
              </w:rPr>
              <w:t>Instagram</w:t>
            </w:r>
          </w:p>
        </w:tc>
        <w:tc>
          <w:tcPr>
            <w:tcW w:type="dxa" w:w="1296"/>
            <w:shd w:val="clear" w:color="auto" w:fill="F4F6F8"/>
            <w:vAlign w:val="center"/>
          </w:tcPr>
          <w:p>
            <w:r>
              <w:rPr>
                <w:b w:val="0"/>
                <w:i w:val="0"/>
                <w:color w:val="000000"/>
                <w:sz w:val="18"/>
              </w:rPr>
              <w:t>7.5</w:t>
            </w:r>
          </w:p>
        </w:tc>
        <w:tc>
          <w:tcPr>
            <w:tcW w:type="dxa" w:w="1440"/>
            <w:shd w:val="clear" w:color="auto" w:fill="F4F6F8"/>
            <w:vAlign w:val="center"/>
          </w:tcPr>
          <w:p>
            <w:r>
              <w:rPr>
                <w:b w:val="0"/>
                <w:i w:val="0"/>
                <w:color w:val="000000"/>
                <w:sz w:val="18"/>
              </w:rPr>
              <w:t>6.0</w:t>
            </w:r>
          </w:p>
        </w:tc>
        <w:tc>
          <w:tcPr>
            <w:tcW w:type="dxa" w:w="2160"/>
            <w:shd w:val="clear" w:color="auto" w:fill="F4F6F8"/>
            <w:vAlign w:val="center"/>
          </w:tcPr>
          <w:p>
            <w:r>
              <w:rPr>
                <w:b w:val="0"/>
                <w:i w:val="0"/>
                <w:color w:val="000000"/>
                <w:sz w:val="18"/>
              </w:rPr>
              <w:t>500</w:t>
            </w:r>
          </w:p>
        </w:tc>
        <w:tc>
          <w:tcPr>
            <w:tcW w:type="dxa" w:w="1584"/>
            <w:shd w:val="clear" w:color="auto" w:fill="F4F6F8"/>
            <w:vAlign w:val="center"/>
          </w:tcPr>
          <w:p>
            <w:r>
              <w:rPr>
                <w:b w:val="0"/>
                <w:i w:val="0"/>
                <w:color w:val="000000"/>
                <w:sz w:val="18"/>
              </w:rPr>
              <w:t>High</w:t>
            </w:r>
          </w:p>
        </w:tc>
        <w:tc>
          <w:tcPr>
            <w:tcW w:type="dxa" w:w="2736"/>
            <w:shd w:val="clear" w:color="auto" w:fill="F4F6F8"/>
            <w:vAlign w:val="center"/>
          </w:tcPr>
          <w:p>
            <w:r>
              <w:rPr>
                <w:b w:val="0"/>
                <w:i w:val="0"/>
                <w:color w:val="000000"/>
                <w:sz w:val="18"/>
              </w:rPr>
              <w:t>Priority 3 — Google Ads + retargeting</w:t>
            </w:r>
          </w:p>
        </w:tc>
      </w:tr>
      <w:tr>
        <w:tc>
          <w:tcPr>
            <w:tcW w:type="dxa" w:w="2304"/>
            <w:shd w:val="clear" w:color="auto" w:fill="FFFFFF"/>
            <w:vAlign w:val="center"/>
          </w:tcPr>
          <w:p>
            <w:r>
              <w:rPr>
                <w:b w:val="0"/>
                <w:i w:val="0"/>
                <w:color w:val="000000"/>
                <w:sz w:val="18"/>
              </w:rPr>
              <w:t>Leisure Travellers</w:t>
            </w:r>
          </w:p>
        </w:tc>
        <w:tc>
          <w:tcPr>
            <w:tcW w:type="dxa" w:w="2016"/>
            <w:shd w:val="clear" w:color="auto" w:fill="FFFFFF"/>
            <w:vAlign w:val="center"/>
          </w:tcPr>
          <w:p>
            <w:r>
              <w:rPr>
                <w:b w:val="0"/>
                <w:i w:val="0"/>
                <w:color w:val="000000"/>
                <w:sz w:val="18"/>
              </w:rPr>
              <w:t>Instagram</w:t>
            </w:r>
          </w:p>
        </w:tc>
        <w:tc>
          <w:tcPr>
            <w:tcW w:type="dxa" w:w="1296"/>
            <w:shd w:val="clear" w:color="auto" w:fill="FFFFFF"/>
            <w:vAlign w:val="center"/>
          </w:tcPr>
          <w:p>
            <w:r>
              <w:rPr>
                <w:b w:val="0"/>
                <w:i w:val="0"/>
                <w:color w:val="000000"/>
                <w:sz w:val="18"/>
              </w:rPr>
              <w:t>7.0</w:t>
            </w:r>
          </w:p>
        </w:tc>
        <w:tc>
          <w:tcPr>
            <w:tcW w:type="dxa" w:w="1440"/>
            <w:shd w:val="clear" w:color="auto" w:fill="FFFFFF"/>
            <w:vAlign w:val="center"/>
          </w:tcPr>
          <w:p>
            <w:r>
              <w:rPr>
                <w:b w:val="0"/>
                <w:i w:val="0"/>
                <w:color w:val="000000"/>
                <w:sz w:val="18"/>
              </w:rPr>
              <w:t>4.5</w:t>
            </w:r>
          </w:p>
        </w:tc>
        <w:tc>
          <w:tcPr>
            <w:tcW w:type="dxa" w:w="2160"/>
            <w:shd w:val="clear" w:color="auto" w:fill="FFFFFF"/>
            <w:vAlign w:val="center"/>
          </w:tcPr>
          <w:p>
            <w:r>
              <w:rPr>
                <w:b w:val="0"/>
                <w:i w:val="0"/>
                <w:color w:val="000000"/>
                <w:sz w:val="18"/>
              </w:rPr>
              <w:t>600</w:t>
            </w:r>
          </w:p>
        </w:tc>
        <w:tc>
          <w:tcPr>
            <w:tcW w:type="dxa" w:w="1584"/>
            <w:shd w:val="clear" w:color="auto" w:fill="FFFFFF"/>
            <w:vAlign w:val="center"/>
          </w:tcPr>
          <w:p>
            <w:r>
              <w:rPr>
                <w:b w:val="0"/>
                <w:i w:val="0"/>
                <w:color w:val="000000"/>
                <w:sz w:val="18"/>
              </w:rPr>
              <w:t>Medium</w:t>
            </w:r>
          </w:p>
        </w:tc>
        <w:tc>
          <w:tcPr>
            <w:tcW w:type="dxa" w:w="2736"/>
            <w:shd w:val="clear" w:color="auto" w:fill="FFFFFF"/>
            <w:vAlign w:val="center"/>
          </w:tcPr>
          <w:p>
            <w:r>
              <w:rPr>
                <w:b w:val="0"/>
                <w:i w:val="0"/>
                <w:color w:val="000000"/>
                <w:sz w:val="18"/>
              </w:rPr>
              <w:t>Secondary — Instagram only, low spend</w:t>
            </w:r>
          </w:p>
        </w:tc>
      </w:tr>
      <w:tr>
        <w:tc>
          <w:tcPr>
            <w:tcW w:type="dxa" w:w="2304"/>
            <w:shd w:val="clear" w:color="auto" w:fill="F4F6F8"/>
            <w:vAlign w:val="center"/>
          </w:tcPr>
          <w:p>
            <w:r>
              <w:rPr>
                <w:b w:val="0"/>
                <w:i w:val="0"/>
                <w:color w:val="000000"/>
                <w:sz w:val="18"/>
              </w:rPr>
              <w:t>Students</w:t>
            </w:r>
          </w:p>
        </w:tc>
        <w:tc>
          <w:tcPr>
            <w:tcW w:type="dxa" w:w="2016"/>
            <w:shd w:val="clear" w:color="auto" w:fill="F4F6F8"/>
            <w:vAlign w:val="center"/>
          </w:tcPr>
          <w:p>
            <w:r>
              <w:rPr>
                <w:b w:val="0"/>
                <w:i w:val="0"/>
                <w:color w:val="000000"/>
                <w:sz w:val="18"/>
              </w:rPr>
              <w:t>TikTok</w:t>
            </w:r>
          </w:p>
        </w:tc>
        <w:tc>
          <w:tcPr>
            <w:tcW w:type="dxa" w:w="1296"/>
            <w:shd w:val="clear" w:color="auto" w:fill="F4F6F8"/>
            <w:vAlign w:val="center"/>
          </w:tcPr>
          <w:p>
            <w:r>
              <w:rPr>
                <w:b w:val="0"/>
                <w:i w:val="0"/>
                <w:color w:val="000000"/>
                <w:sz w:val="18"/>
              </w:rPr>
              <w:t>8.2</w:t>
            </w:r>
          </w:p>
        </w:tc>
        <w:tc>
          <w:tcPr>
            <w:tcW w:type="dxa" w:w="1440"/>
            <w:shd w:val="clear" w:color="auto" w:fill="F4F6F8"/>
            <w:vAlign w:val="center"/>
          </w:tcPr>
          <w:p>
            <w:r>
              <w:rPr>
                <w:b w:val="0"/>
                <w:i w:val="0"/>
                <w:color w:val="000000"/>
                <w:sz w:val="18"/>
              </w:rPr>
              <w:t>1.5</w:t>
            </w:r>
          </w:p>
        </w:tc>
        <w:tc>
          <w:tcPr>
            <w:tcW w:type="dxa" w:w="2160"/>
            <w:shd w:val="clear" w:color="auto" w:fill="F4F6F8"/>
            <w:vAlign w:val="center"/>
          </w:tcPr>
          <w:p>
            <w:r>
              <w:rPr>
                <w:b w:val="0"/>
                <w:i w:val="0"/>
                <w:color w:val="000000"/>
                <w:sz w:val="18"/>
              </w:rPr>
              <w:t>900</w:t>
            </w:r>
          </w:p>
        </w:tc>
        <w:tc>
          <w:tcPr>
            <w:tcW w:type="dxa" w:w="1584"/>
            <w:shd w:val="clear" w:color="auto" w:fill="F4F6F8"/>
            <w:vAlign w:val="center"/>
          </w:tcPr>
          <w:p>
            <w:r>
              <w:rPr>
                <w:b w:val="0"/>
                <w:i w:val="0"/>
                <w:color w:val="000000"/>
                <w:sz w:val="18"/>
              </w:rPr>
              <w:t>High</w:t>
            </w:r>
          </w:p>
        </w:tc>
        <w:tc>
          <w:tcPr>
            <w:tcW w:type="dxa" w:w="2736"/>
            <w:shd w:val="clear" w:color="auto" w:fill="F4F6F8"/>
            <w:vAlign w:val="center"/>
          </w:tcPr>
          <w:p>
            <w:r>
              <w:rPr>
                <w:b w:val="0"/>
                <w:i w:val="0"/>
                <w:color w:val="000000"/>
                <w:sz w:val="18"/>
              </w:rPr>
              <w:t>Excluded — reintroduce when budget allows</w:t>
            </w:r>
          </w:p>
        </w:tc>
      </w:tr>
    </w:tbl>
    <w:p/>
    <w:p>
      <w:pPr>
        <w:spacing w:before="280" w:after="80"/>
      </w:pPr>
      <w:r>
        <w:rPr>
          <w:b/>
          <w:i w:val="0"/>
          <w:color w:val="000000"/>
          <w:sz w:val="32"/>
        </w:rPr>
        <w:t>7. Conclusion</w:t>
      </w:r>
    </w:p>
    <w:p>
      <w:pPr>
        <w:spacing w:after="120"/>
      </w:pPr>
      <w:r>
        <w:rPr>
          <w:b w:val="0"/>
          <w:i w:val="0"/>
          <w:color w:val="000000"/>
          <w:sz w:val="20"/>
        </w:rPr>
        <w:t>The core tension in Week 4 — between Finance's demand for efficiency and Marketing's need for visibility — is resolved by the data, not by compromise. The data shows that 85% of Travler's marketing budget can be concentrated on two channels (Google Ads and Instagram) that together cover the full customer journey from search intent to retargeted conversion, while the remaining 15% on X addresses the reputational risk that would otherwise suppress the return on the primary spend. This is not a reduced strategy — it is a more focused one. By removing TikTok from the active spend and redirecting that budget to Google Ads, the strategy increases projected bookings while reducing total spend. By maintaining Instagram as a retargeting channel rather than a cold-audience channel, it lowers the effective cost per acquisition for Young Professionals. And by keeping X at minimum spend for reputation management, it protects the trust signals that Business Travellers and Families need before they will commit to a booking. The three priority segments — Business Travellers, Families, and Young Professionals — account for the majority of Travler's conversion value in the dataset. Concentrating spend on them, through the right channels and with the right messages, gives Travler the clearest path from the current position of budget pressure and reputational recovery to a position of measurable, defensible growth.</w:t>
      </w:r>
    </w:p>
    <w:p/>
    <w:p>
      <w:r>
        <w:rPr>
          <w:b w:val="0"/>
          <w:i/>
          <w:color w:val="000000"/>
          <w:sz w:val="16"/>
        </w:rPr>
        <w:t>Travler  |  Week 4 Paid Advertising Strategy  |  Dataset: 5 audience segments, 4 channel scenarios  |  Analysis: audience prioritisation, channel strategy, messaging &amp; budget allocation</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