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media/image1.png" ContentType="image/png"/>
  <Override PartName="/word/media/image3.png" ContentType="image/png"/>
  <Override PartName="/word/media/image4.png" ContentType="image/png"/>
  <Override PartName="/word/media/image6.png" ContentType="image/png"/>
  <Override PartName="/word/media/image2.png" ContentType="image/png"/>
  <Override PartName="/word/media/image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Analisi</w:t>
      </w:r>
      <w:r>
        <w:t xml:space="preserve"> </w:t>
      </w:r>
      <w:r>
        <w:t xml:space="preserve">procedure</w:t>
      </w:r>
      <w:r>
        <w:t xml:space="preserve"> </w:t>
      </w:r>
      <w:r>
        <w:t xml:space="preserve">invasive</w:t>
      </w:r>
    </w:p>
    <w:p>
      <w:pPr>
        <w:pStyle w:val="Date"/>
      </w:pPr>
      <w:r>
        <w:t xml:space="preserve">2023-07-05</w:t>
      </w:r>
    </w:p>
    <w:bookmarkStart w:id="20" w:name="X31a244c56f73eaf406a6620487c5b92d809d8ff"/>
    <w:p>
      <w:pPr>
        <w:pStyle w:val="Heading1"/>
      </w:pPr>
      <w:r>
        <w:t xml:space="preserve">Definizione dei pazienti che hanno subito procedure invasive</w:t>
      </w:r>
    </w:p>
    <w:p>
      <w:pPr>
        <w:pStyle w:val="FirstParagraph"/>
      </w:pPr>
      <w:r>
        <w:t xml:space="preserve">Abbiamo identificato i pazienti con una procedura invasiva se hanno tra i codici delle procedure uno di questi codici: 311, 3129, 3891, 3893, 3894, 3895, 598, 5794, 8607, 8622, 8628, 8962, 8964, 9604, 9605, 9670, 9671, 9672.</w:t>
      </w:r>
    </w:p>
    <w:p>
      <w:pPr>
        <w:pStyle w:val="BodyText"/>
      </w:pPr>
      <w:r>
        <w:t xml:space="preserve">Poi però abbiamo creato un’altra variabile in cui la procedura invasiva non veniva considerata se era stata eseguita dopo la data del test - due giorni, perchè evidentemente non poteva essere correlata con l’infezione.</w:t>
      </w:r>
    </w:p>
    <w:p>
      <w:pPr>
        <w:pStyle w:val="BodyText"/>
      </w:pPr>
      <w:r>
        <w:t xml:space="preserve">Ne sono risutlati solo 766 pazienti con una procedura invasiva potenzialmente correlata con una ICA (invece degli 824 precedenti) che abbiamo definito: Procedure invasive</w:t>
      </w:r>
      <w:r>
        <w:t xml:space="preserve"> </w:t>
      </w:r>
      <w:r>
        <w:t xml:space="preserve">“</w:t>
      </w:r>
      <w:r>
        <w:t xml:space="preserve">reali</w:t>
      </w:r>
      <w:r>
        <w:t xml:space="preserve">”</w:t>
      </w:r>
      <w:r>
        <w:t xml:space="preserve">.</w:t>
      </w:r>
    </w:p>
    <w:bookmarkEnd w:id="20"/>
    <w:bookmarkStart w:id="21" w:name="Xf484df62a4abbe1069791dcfced94299648455e"/>
    <w:p>
      <w:pPr>
        <w:pStyle w:val="Heading1"/>
      </w:pPr>
      <w:r>
        <w:t xml:space="preserve">Cross-table procedure invasive e infezione ospedaliera</w:t>
      </w:r>
    </w:p>
    <w:p>
      <w:pPr>
        <w:pStyle w:val="FirstParagraph"/>
      </w:pPr>
      <w:r>
        <w:t xml:space="preserve">La tabella di seguito è una tavola di contingenza degli infetti rispetto all’aver subito una procedura invasiva senza tener conto delle date di tampone e della procedura. Si evince che nel gruppo di quelli che hanno subito procedure invasive ci sono molti più infetti rispetto a quelli che non le hanno subite.</w:t>
      </w:r>
    </w:p>
    <w:p>
      <w:pPr>
        <w:pStyle w:val="TableCaption"/>
      </w:pPr>
      <w:r>
        <w:rPr>
          <w:rFonts/>
          <w:b w:val="true"/>
        </w:rPr>
        <w:t xml:space="preserve">Table </w:t>
      </w:r>
      <w:bookmarkStart w:id="b5900849-9690-4823-bfd5-d6c5f6d9e5c1" w:name="cross_inv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>
          <w:rFonts/>
          <w:b w:val="true"/>
        </w:rPr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>
          <w:rFonts/>
          <w:b w:val="true"/>
        </w:rPr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>
          <w:rFonts/>
          <w:b w:val="true"/>
        </w:rPr>
        <w:fldChar w:fldCharType="end" w:dirty="true"/>
      </w:r>
      <w:bookmarkEnd w:id="b5900849-9690-4823-bfd5-d6c5f6d9e5c1"/>
      <w:r>
        <w:t xml:space="preserve">: </w:t>
      </w:r>
      <w:r>
        <w:t xml:space="preserve">Tavola di contingenza procedure invasive e infezioni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Look w:firstRow="1" w:lastRow="0" w:firstColumn="0" w:lastColumn="0" w:noHBand="0" w:noVBand="1"/>
      </w:tblPr>
      <w:tr>
        <w:trPr>
          <w:cantSplit/>
          <w:trHeight w:val="438" w:hRule="auto"/>
          <w:tblHeader/>
        </w:trPr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Procedura invasiva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Non infetto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Infetto</w:t>
            </w:r>
          </w:p>
        </w:tc>
      </w:tr>
      <w:tr>
        <w:trPr>
          <w:cantSplit/>
          <w:trHeight w:val="47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91.1% (10376)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8.9% (1013)</w:t>
            </w:r>
          </w:p>
        </w:tc>
      </w:tr>
      <w:tr>
        <w:trPr>
          <w:cantSplit/>
          <w:trHeight w:val="47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58.9%   (485)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41.1%  (339)</w:t>
            </w:r>
          </w:p>
        </w:tc>
      </w:tr>
      <w:tr>
        <w:trPr>
          <w:cantSplit/>
          <w:trHeight w:val="472" w:hRule="auto"/>
        </w:trPr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Total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88.9% (10861)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11.1% (1352)</w:t>
            </w:r>
          </w:p>
        </w:tc>
      </w:tr>
    </w:tbl>
    <w:p>
      <w:pPr>
        <w:pStyle w:val="BodyText"/>
      </w:pPr>
      <w:r>
        <w:t xml:space="preserve">In questa tabella invece consideriamo che un paziente ha subito una procedura invasiva</w:t>
      </w:r>
      <w:r>
        <w:t xml:space="preserve"> </w:t>
      </w:r>
      <w:r>
        <w:t xml:space="preserve">“</w:t>
      </w:r>
      <w:r>
        <w:t xml:space="preserve">Reale</w:t>
      </w:r>
      <w:r>
        <w:t xml:space="preserve">”</w:t>
      </w:r>
      <w:r>
        <w:t xml:space="preserve">. Come si può vedere il divario è meno evidente ma è comunque importante.</w:t>
      </w:r>
    </w:p>
    <w:p>
      <w:pPr>
        <w:pStyle w:val="TableCaption"/>
      </w:pPr>
      <w:r>
        <w:rPr>
          <w:rFonts/>
          <w:b w:val="true"/>
        </w:rPr>
        <w:t xml:space="preserve">Table </w:t>
      </w:r>
      <w:bookmarkStart w:id="d3bf0ca2-7cc9-4270-a37f-b11a1c6681bd" w:name="cross_inv_real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>
          <w:rFonts/>
          <w:b w:val="true"/>
        </w:rPr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>
          <w:rFonts/>
          <w:b w:val="true"/>
        </w:rPr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>
          <w:rFonts/>
          <w:b w:val="true"/>
        </w:rPr>
        <w:fldChar w:fldCharType="end" w:dirty="true"/>
      </w:r>
      <w:bookmarkEnd w:id="d3bf0ca2-7cc9-4270-a37f-b11a1c6681bd"/>
      <w:r>
        <w:t xml:space="preserve">: </w:t>
      </w:r>
      <w:r>
        <w:t xml:space="preserve">Tavola di contingenza procedure invasive (calcolate con la data) e infezioni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Look w:firstRow="1" w:lastRow="0" w:firstColumn="0" w:lastColumn="0" w:noHBand="0" w:noVBand="1"/>
      </w:tblPr>
      <w:tr>
        <w:trPr>
          <w:cantSplit/>
          <w:trHeight w:val="471" w:hRule="auto"/>
          <w:tblHeader/>
        </w:trPr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proc_inv_real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Non infetto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Infetto</w:t>
            </w:r>
          </w:p>
        </w:tc>
      </w:tr>
      <w:tr>
        <w:trPr>
          <w:cantSplit/>
          <w:trHeight w:val="47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90.6% (10376)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9.4% (1071)</w:t>
            </w:r>
          </w:p>
        </w:tc>
      </w:tr>
      <w:tr>
        <w:trPr>
          <w:cantSplit/>
          <w:trHeight w:val="47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63.3%   (485)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36.7%  (281)</w:t>
            </w:r>
          </w:p>
        </w:tc>
      </w:tr>
      <w:tr>
        <w:trPr>
          <w:cantSplit/>
          <w:trHeight w:val="472" w:hRule="auto"/>
        </w:trPr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Total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88.9% (10861)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2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11.1% (1352)</w:t>
            </w:r>
          </w:p>
        </w:tc>
      </w:tr>
    </w:tbl>
    <w:bookmarkEnd w:id="21"/>
    <w:bookmarkStart w:id="22" w:name="X2d2d6cbc66799ff903c73858a2024423cee61c6"/>
    <w:p>
      <w:pPr>
        <w:pStyle w:val="Heading1"/>
      </w:pPr>
      <w:r>
        <w:t xml:space="preserve">Analisi univariata dell’odds ratio di infezione rispetto alle variabili che potrebbero essere correlate da un punto di vista clinico</w:t>
      </w:r>
    </w:p>
    <w:p>
      <w:pPr>
        <w:pStyle w:val="TableCaption"/>
      </w:pPr>
      <w:r>
        <w:rPr>
          <w:rFonts/>
          <w:b w:val="true"/>
        </w:rPr>
        <w:t xml:space="preserve">Table </w:t>
      </w:r>
      <w:bookmarkStart w:id="5f74929c-15d5-46dd-ab20-3eccd61dc0e7" w:name="analisi_univariata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>
          <w:rFonts/>
          <w:b w:val="true"/>
        </w:rPr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>
          <w:rFonts/>
          <w:b w:val="true"/>
        </w:rPr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>
          <w:rFonts/>
          <w:b w:val="true"/>
        </w:rPr>
        <w:fldChar w:fldCharType="end" w:dirty="true"/>
      </w:r>
      <w:bookmarkEnd w:id="5f74929c-15d5-46dd-ab20-3eccd61dc0e7"/>
      <w:r>
        <w:t xml:space="preserve">: </w:t>
      </w:r>
      <w:r>
        <w:t xml:space="preserve">Analisi univariata dell’odds ratio di infezione con tutte le variabili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Look w:firstRow="1" w:lastRow="0" w:firstColumn="0" w:lastColumn="0" w:noHBand="0" w:noVBand="1"/>
      </w:tblPr>
      <w:tr>
        <w:trPr>
          <w:cantSplit/>
          <w:trHeight w:val="454" w:hRule="auto"/>
          <w:tblHeader/>
        </w:trPr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Characteristic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N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OR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vertAlign w:val="superscript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95% 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vertAlign w:val="superscript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p-value</w:t>
            </w:r>
          </w:p>
        </w:tc>
      </w:tr>
      <w:tr>
        <w:trPr>
          <w:cantSplit/>
          <w:trHeight w:val="47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Invasive procedure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12,213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</w:tr>
      <w:tr>
        <w:trPr>
          <w:cantSplit/>
          <w:trHeight w:val="44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—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—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</w:tr>
      <w:tr>
        <w:trPr>
          <w:cantSplit/>
          <w:trHeight w:val="45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7.16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6.14, 8.34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&lt;0.001</w:t>
            </w:r>
          </w:p>
        </w:tc>
      </w:tr>
      <w:tr>
        <w:trPr>
          <w:cantSplit/>
          <w:trHeight w:val="47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Invesive procedure before sample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12,213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</w:tr>
      <w:tr>
        <w:trPr>
          <w:cantSplit/>
          <w:trHeight w:val="44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—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—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</w:tr>
      <w:tr>
        <w:trPr>
          <w:cantSplit/>
          <w:trHeight w:val="45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5.61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4.78, 6.58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&lt;0.001</w:t>
            </w:r>
          </w:p>
        </w:tc>
      </w:tr>
      <w:tr>
        <w:trPr>
          <w:cantSplit/>
          <w:trHeight w:val="45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Sex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12,213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</w:tr>
      <w:tr>
        <w:trPr>
          <w:cantSplit/>
          <w:trHeight w:val="43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F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—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—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</w:tr>
      <w:tr>
        <w:trPr>
          <w:cantSplit/>
          <w:trHeight w:val="45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0.98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0.87, 1.10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0.7</w:t>
            </w:r>
          </w:p>
        </w:tc>
      </w:tr>
      <w:tr>
        <w:trPr>
          <w:cantSplit/>
          <w:trHeight w:val="47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Age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12,213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1.02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1.02, 1.02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&lt;0.001</w:t>
            </w:r>
          </w:p>
        </w:tc>
      </w:tr>
      <w:tr>
        <w:trPr>
          <w:cantSplit/>
          <w:trHeight w:val="45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National-Non-national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12,213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</w:tr>
      <w:tr>
        <w:trPr>
          <w:cantSplit/>
          <w:trHeight w:val="43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Italian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—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—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</w:tr>
      <w:tr>
        <w:trPr>
          <w:cantSplit/>
          <w:trHeight w:val="45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Non-national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0.67, 1.03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0.11</w:t>
            </w:r>
          </w:p>
        </w:tc>
      </w:tr>
      <w:tr>
        <w:trPr>
          <w:cantSplit/>
          <w:trHeight w:val="47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Living alone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12,213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</w:tr>
      <w:tr>
        <w:trPr>
          <w:cantSplit/>
          <w:trHeight w:val="47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Living alone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—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—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</w:tr>
      <w:tr>
        <w:trPr>
          <w:cantSplit/>
          <w:trHeight w:val="47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Living with others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1.36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1.19, 1.57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&lt;0.001</w:t>
            </w:r>
          </w:p>
        </w:tc>
      </w:tr>
      <w:tr>
        <w:trPr>
          <w:cantSplit/>
          <w:trHeight w:val="45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education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12,213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</w:tr>
      <w:tr>
        <w:trPr>
          <w:cantSplit/>
          <w:trHeight w:val="47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Primary school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—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—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</w:tr>
      <w:tr>
        <w:trPr>
          <w:cantSplit/>
          <w:trHeight w:val="47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Primary school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—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—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</w:tr>
      <w:tr>
        <w:trPr>
          <w:cantSplit/>
          <w:trHeight w:val="47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Diploma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1.06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0.90, 1.26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0.5</w:t>
            </w:r>
          </w:p>
        </w:tc>
      </w:tr>
      <w:tr>
        <w:trPr>
          <w:cantSplit/>
          <w:trHeight w:val="47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University degree or higher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0.57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0.46, 0.70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&lt;0.001</w:t>
            </w:r>
          </w:p>
        </w:tc>
      </w:tr>
      <w:tr>
        <w:trPr>
          <w:cantSplit/>
          <w:trHeight w:val="47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Employed-Unemployed-Retired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12,213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</w:tr>
      <w:tr>
        <w:trPr>
          <w:cantSplit/>
          <w:trHeight w:val="475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Employed/Student/Housewife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—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—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</w:tr>
      <w:tr>
        <w:trPr>
          <w:cantSplit/>
          <w:trHeight w:val="45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Retired/Disable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1.71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1.51, 1.93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&lt;0.001</w:t>
            </w:r>
          </w:p>
        </w:tc>
      </w:tr>
      <w:tr>
        <w:trPr>
          <w:cantSplit/>
          <w:trHeight w:val="47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Unemployed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1.40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1.03, 1.86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0.025</w:t>
            </w:r>
          </w:p>
        </w:tc>
      </w:tr>
      <w:tr>
        <w:trPr>
          <w:cantSplit/>
          <w:trHeight w:val="47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Admission modality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12,213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</w:tr>
      <w:tr>
        <w:trPr>
          <w:cantSplit/>
          <w:trHeight w:val="44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Scheduled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—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—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</w:tr>
      <w:tr>
        <w:trPr>
          <w:cantSplit/>
          <w:trHeight w:val="47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Scheduled with preospedalization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0.03, 0.12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&lt;0.001</w:t>
            </w:r>
          </w:p>
        </w:tc>
      </w:tr>
      <w:tr>
        <w:trPr>
          <w:cantSplit/>
          <w:trHeight w:val="47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Urgent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2.33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1.98, 2.76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&lt;0.001</w:t>
            </w:r>
          </w:p>
        </w:tc>
      </w:tr>
      <w:tr>
        <w:trPr>
          <w:cantSplit/>
          <w:trHeight w:val="47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Days of stay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12,213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1.15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1.14, 1.15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&lt;0.001</w:t>
            </w:r>
          </w:p>
        </w:tc>
      </w:tr>
      <w:tr>
        <w:trPr>
          <w:cantSplit/>
          <w:trHeight w:val="47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Medical-Surgical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12,213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</w:tr>
      <w:tr>
        <w:trPr>
          <w:cantSplit/>
          <w:trHeight w:val="43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Medical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—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—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</w:tr>
      <w:tr>
        <w:trPr>
          <w:cantSplit/>
          <w:trHeight w:val="47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Surgical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0.56, 0.70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&lt;0.001</w:t>
            </w:r>
          </w:p>
        </w:tc>
      </w:tr>
      <w:tr>
        <w:trPr>
          <w:cantSplit/>
          <w:trHeight w:val="45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Died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12,213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</w:tr>
      <w:tr>
        <w:trPr>
          <w:cantSplit/>
          <w:trHeight w:val="44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—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—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</w:tr>
      <w:tr>
        <w:trPr>
          <w:cantSplit/>
          <w:trHeight w:val="45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7.71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6.50, 9.12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&lt;0.001</w:t>
            </w:r>
          </w:p>
        </w:tc>
      </w:tr>
      <w:tr>
        <w:trPr>
          <w:cantSplit/>
          <w:trHeight w:val="47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Department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12,213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</w:tr>
      <w:tr>
        <w:trPr>
          <w:cantSplit/>
          <w:trHeight w:val="47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UOC Cardiochirurgia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—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—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</w:tr>
      <w:tr>
        <w:trPr>
          <w:cantSplit/>
          <w:trHeight w:val="47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UOC Cardiologia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0.03, 0.09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&lt;0.001</w:t>
            </w:r>
          </w:p>
        </w:tc>
      </w:tr>
      <w:tr>
        <w:trPr>
          <w:cantSplit/>
          <w:trHeight w:val="47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UOC Chirurgia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0.37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0.27, 0.51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&lt;0.001</w:t>
            </w:r>
          </w:p>
        </w:tc>
      </w:tr>
      <w:tr>
        <w:trPr>
          <w:cantSplit/>
          <w:trHeight w:val="47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UOC Chirurgia Toracica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0.08, 0.32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&lt;0.001</w:t>
            </w:r>
          </w:p>
        </w:tc>
      </w:tr>
      <w:tr>
        <w:trPr>
          <w:cantSplit/>
          <w:trHeight w:val="47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UOC Chirurgia Vascolare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0.09, 0.33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&lt;0.001</w:t>
            </w:r>
          </w:p>
        </w:tc>
      </w:tr>
      <w:tr>
        <w:trPr>
          <w:cantSplit/>
          <w:trHeight w:val="47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UOC Endocrinologia e Diabetologia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3.12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2.13, 4.58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&lt;0.001</w:t>
            </w:r>
          </w:p>
        </w:tc>
      </w:tr>
      <w:tr>
        <w:trPr>
          <w:cantSplit/>
          <w:trHeight w:val="47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UOC Gastroenterologia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0.43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0.30, 0.61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&lt;0.001</w:t>
            </w:r>
          </w:p>
        </w:tc>
      </w:tr>
      <w:tr>
        <w:trPr>
          <w:cantSplit/>
          <w:trHeight w:val="47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UOC Ginecologia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0.02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0.00, 0.07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&lt;0.001</w:t>
            </w:r>
          </w:p>
        </w:tc>
      </w:tr>
      <w:tr>
        <w:trPr>
          <w:cantSplit/>
          <w:trHeight w:val="47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UOC Malattie apparato respiratorio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1.19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0.82, 1.72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0.4</w:t>
            </w:r>
          </w:p>
        </w:tc>
      </w:tr>
      <w:tr>
        <w:trPr>
          <w:cantSplit/>
          <w:trHeight w:val="45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UOC Malattie Infettive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1.64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1.10, 2.44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0.015</w:t>
            </w:r>
          </w:p>
        </w:tc>
      </w:tr>
      <w:tr>
        <w:trPr>
          <w:cantSplit/>
          <w:trHeight w:val="45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UOC Medicina interna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1.31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0.97, 1.78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0.081</w:t>
            </w:r>
          </w:p>
        </w:tc>
      </w:tr>
      <w:tr>
        <w:trPr>
          <w:cantSplit/>
          <w:trHeight w:val="47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UOC Neurochirugia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0.29, 0.66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&lt;0.001</w:t>
            </w:r>
          </w:p>
        </w:tc>
      </w:tr>
      <w:tr>
        <w:trPr>
          <w:cantSplit/>
          <w:trHeight w:val="47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UOC Neurologia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0.32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0.23, 0.45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&lt;0.001</w:t>
            </w:r>
          </w:p>
        </w:tc>
      </w:tr>
      <w:tr>
        <w:trPr>
          <w:cantSplit/>
          <w:trHeight w:val="47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UOC Ortopedia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0.09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0.06, 0.14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&lt;0.001</w:t>
            </w:r>
          </w:p>
        </w:tc>
      </w:tr>
      <w:tr>
        <w:trPr>
          <w:cantSplit/>
          <w:trHeight w:val="47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UOC Psichiatria e Psicologia Clinica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0.12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0.05, 0.24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&lt;0.001</w:t>
            </w:r>
          </w:p>
        </w:tc>
      </w:tr>
      <w:tr>
        <w:trPr>
          <w:cantSplit/>
          <w:trHeight w:val="47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UOC Reumatologia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0.38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0.11, 0.98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0.075</w:t>
            </w:r>
          </w:p>
        </w:tc>
      </w:tr>
      <w:tr>
        <w:trPr>
          <w:cantSplit/>
          <w:trHeight w:val="47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UOC Urologia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0.19, 0.49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&lt;0.001</w:t>
            </w:r>
          </w:p>
        </w:tc>
      </w:tr>
      <w:tr>
        <w:trPr>
          <w:cantSplit/>
          <w:trHeight w:val="45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UOS UTIC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0.12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0.07, 0.20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&lt;0.001</w:t>
            </w:r>
          </w:p>
        </w:tc>
      </w:tr>
      <w:tr>
        <w:trPr>
          <w:cantSplit/>
          <w:trHeight w:val="47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UOSD Chirurgia Maxillo facciale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0.02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0.00, 0.09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&lt;0.001</w:t>
            </w:r>
          </w:p>
        </w:tc>
      </w:tr>
      <w:tr>
        <w:trPr>
          <w:cantSplit/>
          <w:trHeight w:val="47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UOSD OBI e Medicina d'urgenza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2.11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1.55, 2.91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&lt;0.001</w:t>
            </w:r>
          </w:p>
        </w:tc>
      </w:tr>
      <w:tr>
        <w:trPr>
          <w:cantSplit/>
          <w:trHeight w:val="45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UOSD Oculistica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0.00, 0.00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&gt;0.9</w:t>
            </w:r>
          </w:p>
        </w:tc>
      </w:tr>
      <w:tr>
        <w:trPr>
          <w:cantSplit/>
          <w:trHeight w:val="47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UOSD Oncologia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0.28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0.13, 0.56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&lt;0.001</w:t>
            </w:r>
          </w:p>
        </w:tc>
      </w:tr>
      <w:tr>
        <w:trPr>
          <w:cantSplit/>
          <w:trHeight w:val="47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UOSD Otorinolaringoiatria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0.01, 0.11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&lt;0.001</w:t>
            </w:r>
          </w:p>
        </w:tc>
      </w:tr>
      <w:tr>
        <w:trPr>
          <w:cantSplit/>
          <w:trHeight w:val="47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UOSD Patologie linfoproliferative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4.35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3.02, 6.31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&lt;0.001</w:t>
            </w:r>
          </w:p>
        </w:tc>
      </w:tr>
      <w:tr>
        <w:trPr>
          <w:cantSplit/>
          <w:trHeight w:val="47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UOSD Terapia Intensiva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3.95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2.56, 6.13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&lt;0.001</w:t>
            </w:r>
          </w:p>
        </w:tc>
      </w:tr>
      <w:tr>
        <w:trPr>
          <w:cantSplit/>
          <w:trHeight w:val="47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Primary diagnosis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12,213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</w:tr>
      <w:tr>
        <w:trPr>
          <w:cantSplit/>
          <w:trHeight w:val="47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Congenital anomalies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—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—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</w:tr>
      <w:tr>
        <w:trPr>
          <w:cantSplit/>
          <w:trHeight w:val="45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Diseases of the blood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5.58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1.63, 25.7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0.011</w:t>
            </w:r>
          </w:p>
        </w:tc>
      </w:tr>
      <w:tr>
        <w:trPr>
          <w:cantSplit/>
          <w:trHeight w:val="47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Diseases of the circulatory system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2.96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1.10, 12.1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0.065</w:t>
            </w:r>
          </w:p>
        </w:tc>
      </w:tr>
      <w:tr>
        <w:trPr>
          <w:cantSplit/>
          <w:trHeight w:val="475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Diseases of the digestive system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2.96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1.09, 12.2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0.068</w:t>
            </w:r>
          </w:p>
        </w:tc>
      </w:tr>
      <w:tr>
        <w:trPr>
          <w:cantSplit/>
          <w:trHeight w:val="475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Diseases of the genitourinary system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3.78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1.36, 15.7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0.027</w:t>
            </w:r>
          </w:p>
        </w:tc>
      </w:tr>
      <w:tr>
        <w:trPr>
          <w:cantSplit/>
          <w:trHeight w:val="47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Diseases of the musculoskeletal system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1.26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0.42, 5.43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0.7</w:t>
            </w:r>
          </w:p>
        </w:tc>
      </w:tr>
      <w:tr>
        <w:trPr>
          <w:cantSplit/>
          <w:trHeight w:val="47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Diseases of the nervous system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1.91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0.67, 8.02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0.3</w:t>
            </w:r>
          </w:p>
        </w:tc>
      </w:tr>
      <w:tr>
        <w:trPr>
          <w:cantSplit/>
          <w:trHeight w:val="47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Diseases of the respiratory system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8.67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3.22, 35.5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&lt;0.001</w:t>
            </w:r>
          </w:p>
        </w:tc>
      </w:tr>
      <w:tr>
        <w:trPr>
          <w:cantSplit/>
          <w:trHeight w:val="45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Diseases of the skin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19.6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6.33, 86.2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&lt;0.001</w:t>
            </w:r>
          </w:p>
        </w:tc>
      </w:tr>
      <w:tr>
        <w:trPr>
          <w:cantSplit/>
          <w:trHeight w:val="47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Endocrine, nutritional and metabolic diseases, and immunity disorders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7.50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2.72, 31.1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&lt;0.001</w:t>
            </w:r>
          </w:p>
        </w:tc>
      </w:tr>
      <w:tr>
        <w:trPr>
          <w:cantSplit/>
          <w:trHeight w:val="47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Infectious and parasitic diseases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20.0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7.17, 83.4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&lt;0.001</w:t>
            </w:r>
          </w:p>
        </w:tc>
      </w:tr>
      <w:tr>
        <w:trPr>
          <w:cantSplit/>
          <w:trHeight w:val="47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Injury and poisoning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3.50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1.29, 14.4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0.035</w:t>
            </w:r>
          </w:p>
        </w:tc>
      </w:tr>
      <w:tr>
        <w:trPr>
          <w:cantSplit/>
          <w:trHeight w:val="45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Mental disorders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1.43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0.46, 6.23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0.6</w:t>
            </w:r>
          </w:p>
        </w:tc>
      </w:tr>
      <w:tr>
        <w:trPr>
          <w:cantSplit/>
          <w:trHeight w:val="47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Neoplasms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4.72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1.75, 19.3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0.009</w:t>
            </w:r>
          </w:p>
        </w:tc>
      </w:tr>
      <w:tr>
        <w:trPr>
          <w:cantSplit/>
          <w:trHeight w:val="47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Supplemental classification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1.09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0.34, 4.82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0.9</w:t>
            </w:r>
          </w:p>
        </w:tc>
      </w:tr>
      <w:tr>
        <w:trPr>
          <w:cantSplit/>
          <w:trHeight w:val="476" w:hRule="auto"/>
        </w:trPr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Symptoms, signs, and ill-defined conditions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3.41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1.20, 14.3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0.044</w:t>
            </w:r>
          </w:p>
        </w:tc>
      </w:tr>
      <w:tr>
        <w:trPr>
          <w:cantSplit/>
          <w:trHeight w:val="360" w:hRule="auto"/>
        </w:trPr>
        <w:tc>
          <w:tcPr>
            <w:gridSpan w:val="5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vertAlign w:val="superscript"/>
                <w:sz w:val="18"/>
                <w:szCs w:val="18"/>
                <w:color w:val="000000"/>
              </w:rPr>
              <w:t xml:space="preserve">1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OR = Odds Ratio, CI = Confidence Interval</w:t>
            </w:r>
          </w:p>
        </w:tc>
      </w:tr>
    </w:tbl>
    <w:p>
      <w:pPr>
        <w:pStyle w:val="BodyText"/>
      </w:pPr>
      <w:r>
        <w:t xml:space="preserve">Emerge che sono correlate con un maggior rischio di infezione</w:t>
      </w:r>
    </w:p>
    <w:p>
      <w:pPr>
        <w:numPr>
          <w:ilvl w:val="0"/>
          <w:numId w:val="1001"/>
        </w:numPr>
        <w:pStyle w:val="Compact"/>
      </w:pPr>
      <w:r>
        <w:t xml:space="preserve">Le procedure invasive</w:t>
      </w:r>
    </w:p>
    <w:p>
      <w:pPr>
        <w:numPr>
          <w:ilvl w:val="0"/>
          <w:numId w:val="1001"/>
        </w:numPr>
        <w:pStyle w:val="Compact"/>
      </w:pPr>
      <w:r>
        <w:t xml:space="preserve">Le procedure invasive reali</w:t>
      </w:r>
    </w:p>
    <w:p>
      <w:pPr>
        <w:numPr>
          <w:ilvl w:val="0"/>
          <w:numId w:val="1001"/>
        </w:numPr>
        <w:pStyle w:val="Compact"/>
      </w:pPr>
      <w:r>
        <w:t xml:space="preserve">L’età</w:t>
      </w:r>
    </w:p>
    <w:p>
      <w:pPr>
        <w:numPr>
          <w:ilvl w:val="0"/>
          <w:numId w:val="1001"/>
        </w:numPr>
        <w:pStyle w:val="Compact"/>
      </w:pPr>
      <w:r>
        <w:t xml:space="preserve">Il non vivere da soli (strano)</w:t>
      </w:r>
    </w:p>
    <w:p>
      <w:pPr>
        <w:numPr>
          <w:ilvl w:val="0"/>
          <w:numId w:val="1001"/>
        </w:numPr>
        <w:pStyle w:val="Compact"/>
      </w:pPr>
      <w:r>
        <w:t xml:space="preserve">L’avere un titolo di studio universitario</w:t>
      </w:r>
    </w:p>
    <w:p>
      <w:pPr>
        <w:numPr>
          <w:ilvl w:val="0"/>
          <w:numId w:val="1001"/>
        </w:numPr>
        <w:pStyle w:val="Compact"/>
      </w:pPr>
      <w:r>
        <w:t xml:space="preserve">L’essere pensionato o disabile</w:t>
      </w:r>
    </w:p>
    <w:p>
      <w:pPr>
        <w:numPr>
          <w:ilvl w:val="0"/>
          <w:numId w:val="1001"/>
        </w:numPr>
        <w:pStyle w:val="Compact"/>
      </w:pPr>
      <w:r>
        <w:t xml:space="preserve">La modalità di ammissione</w:t>
      </w:r>
    </w:p>
    <w:p>
      <w:pPr>
        <w:numPr>
          <w:ilvl w:val="0"/>
          <w:numId w:val="1001"/>
        </w:numPr>
        <w:pStyle w:val="Compact"/>
      </w:pPr>
      <w:r>
        <w:t xml:space="preserve">La durata del ricovero</w:t>
      </w:r>
    </w:p>
    <w:p>
      <w:pPr>
        <w:numPr>
          <w:ilvl w:val="0"/>
          <w:numId w:val="1001"/>
        </w:numPr>
        <w:pStyle w:val="Compact"/>
      </w:pPr>
      <w:r>
        <w:t xml:space="preserve">L’esito di morte</w:t>
      </w:r>
    </w:p>
    <w:p>
      <w:pPr>
        <w:numPr>
          <w:ilvl w:val="0"/>
          <w:numId w:val="1001"/>
        </w:numPr>
        <w:pStyle w:val="Compact"/>
      </w:pPr>
      <w:r>
        <w:t xml:space="preserve">L’aver subito interventi chirurgici, ma è protettivo! come mai? Forse perchè chi va in sala operatoria subisce cure antibioticìhe maggiori? Oppure i medici stanno più attenti? Oppure abbiamo sbagliato qualcosa nella codifica?</w:t>
      </w:r>
    </w:p>
    <w:p>
      <w:pPr>
        <w:numPr>
          <w:ilvl w:val="0"/>
          <w:numId w:val="1001"/>
        </w:numPr>
        <w:pStyle w:val="Compact"/>
      </w:pPr>
      <w:r>
        <w:t xml:space="preserve">Alcuni reparti. Solo che qui tutto è confrontato con la cardiochirurgia per un motivo casuale. Non so quale reparto dovremmo prendere come reparto base. Forse quello che secondo la letteratura ha il rischio maggiore o minore? O quello con più ricoveri?</w:t>
      </w:r>
    </w:p>
    <w:p>
      <w:pPr>
        <w:numPr>
          <w:ilvl w:val="0"/>
          <w:numId w:val="1001"/>
        </w:numPr>
        <w:pStyle w:val="Compact"/>
      </w:pPr>
      <w:r>
        <w:t xml:space="preserve">Alcune diagnosi primarie</w:t>
      </w:r>
    </w:p>
    <w:p>
      <w:pPr>
        <w:pStyle w:val="FirstParagraph"/>
      </w:pPr>
      <w:r>
        <w:t xml:space="preserve">Quindi eseguo una analisi multivariabile inserendo queste variabili nel modello usando le procedure invasive</w:t>
      </w:r>
      <w:r>
        <w:t xml:space="preserve"> </w:t>
      </w:r>
      <w:r>
        <w:t xml:space="preserve">“</w:t>
      </w:r>
      <w:r>
        <w:t xml:space="preserve">reali</w:t>
      </w:r>
      <w:r>
        <w:t xml:space="preserve">”</w:t>
      </w:r>
      <w:r>
        <w:t xml:space="preserve">. Ho tolto l’oculistica perchè aveva zero casi e rendeva la tabella illeggibile.</w:t>
      </w:r>
    </w:p>
    <w:p>
      <w:pPr>
        <w:pStyle w:val="BodyText"/>
      </w:pPr>
      <w:r>
        <w:t xml:space="preserve">La cosa interessante è che le procedure invasive restano significative, con un odds ratio piuttosto alto (1.62).</w:t>
      </w:r>
    </w:p>
    <w:p>
      <w:pPr>
        <w:pStyle w:val="BodyText"/>
      </w:pPr>
      <w:r>
        <w:rPr>
          <w:iCs/>
          <w:i/>
        </w:rPr>
        <w:t xml:space="preserve">Le cose seguenti sono sopratutto per Mariagrazia</w:t>
      </w:r>
    </w:p>
    <w:p>
      <w:pPr>
        <w:pStyle w:val="BodyText"/>
      </w:pPr>
      <w:r>
        <w:t xml:space="preserve">Mi chiedo se non abbia senso creare due nuove variabili che sono</w:t>
      </w:r>
      <w:r>
        <w:t xml:space="preserve"> </w:t>
      </w:r>
      <w:r>
        <w:t xml:space="preserve">“</w:t>
      </w:r>
      <w:r>
        <w:t xml:space="preserve">Reparto a rischio</w:t>
      </w:r>
      <w:r>
        <w:t xml:space="preserve">”</w:t>
      </w:r>
      <w:r>
        <w:t xml:space="preserve"> </w:t>
      </w:r>
      <w:r>
        <w:t xml:space="preserve">in cui mettiamo TRUE se il paziente è stato ricoverato in uno di quei reparti con ODDS ratio maggiore di 1 e p &lt;0.05 e</w:t>
      </w:r>
      <w:r>
        <w:t xml:space="preserve"> </w:t>
      </w:r>
      <w:r>
        <w:t xml:space="preserve">“</w:t>
      </w:r>
      <w:r>
        <w:t xml:space="preserve">Diagnosi a rischio</w:t>
      </w:r>
      <w:r>
        <w:t xml:space="preserve">”</w:t>
      </w:r>
      <w:r>
        <w:t xml:space="preserve"> </w:t>
      </w:r>
      <w:r>
        <w:t xml:space="preserve">per quelle diagnosi che aumentano la probabilità di infezione.</w:t>
      </w:r>
    </w:p>
    <w:p>
      <w:pPr>
        <w:pStyle w:val="BodyText"/>
      </w:pPr>
      <w:r>
        <w:t xml:space="preserve">Poi rieseguire la multivariabile in cui vediamo il peso delle procedure invasive a parità di</w:t>
      </w:r>
      <w:r>
        <w:t xml:space="preserve"> </w:t>
      </w:r>
      <w:r>
        <w:t xml:space="preserve">“</w:t>
      </w:r>
      <w:r>
        <w:t xml:space="preserve">Reparto a rischio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Diagnosi a rischio</w:t>
      </w:r>
      <w:r>
        <w:t xml:space="preserve">”</w:t>
      </w:r>
      <w:r>
        <w:t xml:space="preserve"> </w:t>
      </w:r>
      <w:r>
        <w:t xml:space="preserve">e le altre variabili significative.</w:t>
      </w:r>
    </w:p>
    <w:p>
      <w:pPr>
        <w:pStyle w:val="BodyText"/>
      </w:pPr>
      <w:r>
        <w:t xml:space="preserve">MG Ci vuoi provare?</w:t>
      </w:r>
    </w:p>
    <w:p>
      <w:pPr>
        <w:pStyle w:val="BodyText"/>
      </w:pPr>
      <w:r>
        <w:t xml:space="preserve">Forse si può anche effettuare qualche test che di solito si fa tipo quello di collinearità tra variabili. Per vedere se non sia il caso di toglierne qualcuna dal modello.</w:t>
      </w:r>
    </w:p>
    <w:p>
      <w:pPr>
        <w:pStyle w:val="TableCaption"/>
      </w:pPr>
      <w:r>
        <w:rPr>
          <w:rFonts/>
          <w:b w:val="true"/>
        </w:rPr>
        <w:t xml:space="preserve">Table </w:t>
      </w:r>
      <w:bookmarkStart w:id="5a405f1a-4693-402d-8ef9-93b4325007a8" w:name="tab_multi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>
          <w:rFonts/>
          <w:b w:val="true"/>
        </w:rPr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>
          <w:rFonts/>
          <w:b w:val="true"/>
        </w:rPr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>
          <w:rFonts/>
          <w:b w:val="true"/>
        </w:rPr>
        <w:fldChar w:fldCharType="end" w:dirty="true"/>
      </w:r>
      <w:bookmarkEnd w:id="5a405f1a-4693-402d-8ef9-93b4325007a8"/>
      <w:r>
        <w:t xml:space="preserve">: </w:t>
      </w:r>
      <w:r>
        <w:t xml:space="preserve">Analisi multivariabile dell’odds ratio di infezione (con le variabili significative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Look w:firstRow="1" w:lastRow="0" w:firstColumn="0" w:lastColumn="0" w:noHBand="0" w:noVBand="1"/>
      </w:tblPr>
      <w:tr>
        <w:trPr>
          <w:cantSplit/>
          <w:trHeight w:val="454" w:hRule="auto"/>
          <w:tblHeader/>
        </w:trPr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Characteristic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OR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vertAlign w:val="superscript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95% CI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vertAlign w:val="superscript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p-value</w:t>
            </w:r>
          </w:p>
        </w:tc>
      </w:tr>
      <w:tr>
        <w:trPr>
          <w:cantSplit/>
          <w:trHeight w:val="47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Invesive procedure before sample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</w:tr>
      <w:tr>
        <w:trPr>
          <w:cantSplit/>
          <w:trHeight w:val="44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—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—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</w:tr>
      <w:tr>
        <w:trPr>
          <w:cantSplit/>
          <w:trHeight w:val="45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1.62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1.25, 2.09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&lt;0.001</w:t>
            </w:r>
          </w:p>
        </w:tc>
      </w:tr>
      <w:tr>
        <w:trPr>
          <w:cantSplit/>
          <w:trHeight w:val="47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Age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1.02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1.01, 1.02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&lt;0.001</w:t>
            </w:r>
          </w:p>
        </w:tc>
      </w:tr>
      <w:tr>
        <w:trPr>
          <w:cantSplit/>
          <w:trHeight w:val="47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Living alone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</w:tr>
      <w:tr>
        <w:trPr>
          <w:cantSplit/>
          <w:trHeight w:val="47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Living alone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—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—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</w:tr>
      <w:tr>
        <w:trPr>
          <w:cantSplit/>
          <w:trHeight w:val="47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Living with others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0.82, 1.22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&gt;0.9</w:t>
            </w:r>
          </w:p>
        </w:tc>
      </w:tr>
      <w:tr>
        <w:trPr>
          <w:cantSplit/>
          <w:trHeight w:val="43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education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</w:tr>
      <w:tr>
        <w:trPr>
          <w:cantSplit/>
          <w:trHeight w:val="47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Primary school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—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—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</w:tr>
      <w:tr>
        <w:trPr>
          <w:cantSplit/>
          <w:trHeight w:val="47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Primary school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—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—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</w:tr>
      <w:tr>
        <w:trPr>
          <w:cantSplit/>
          <w:trHeight w:val="47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Diploma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1.09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0.86, 1.38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0.5</w:t>
            </w:r>
          </w:p>
        </w:tc>
      </w:tr>
      <w:tr>
        <w:trPr>
          <w:cantSplit/>
          <w:trHeight w:val="47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University degree or higher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0.72, 1.38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&gt;0.9</w:t>
            </w:r>
          </w:p>
        </w:tc>
      </w:tr>
      <w:tr>
        <w:trPr>
          <w:cantSplit/>
          <w:trHeight w:val="47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Employed-Unemployed-Retired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</w:tr>
      <w:tr>
        <w:trPr>
          <w:cantSplit/>
          <w:trHeight w:val="475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Employed/Student/Housewife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—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—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</w:tr>
      <w:tr>
        <w:trPr>
          <w:cantSplit/>
          <w:trHeight w:val="45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Retired/Disable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0.99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0.80, 1.22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&gt;0.9</w:t>
            </w:r>
          </w:p>
        </w:tc>
      </w:tr>
      <w:tr>
        <w:trPr>
          <w:cantSplit/>
          <w:trHeight w:val="47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Unemployed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1.79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1.16, 2.76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0.008</w:t>
            </w:r>
          </w:p>
        </w:tc>
      </w:tr>
      <w:tr>
        <w:trPr>
          <w:cantSplit/>
          <w:trHeight w:val="47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Admission modality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</w:tr>
      <w:tr>
        <w:trPr>
          <w:cantSplit/>
          <w:trHeight w:val="44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Scheduled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—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—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</w:tr>
      <w:tr>
        <w:trPr>
          <w:cantSplit/>
          <w:trHeight w:val="47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Scheduled with preospedalization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0.07, 0.43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&lt;0.001</w:t>
            </w:r>
          </w:p>
        </w:tc>
      </w:tr>
      <w:tr>
        <w:trPr>
          <w:cantSplit/>
          <w:trHeight w:val="47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Urgent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1.05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0.81, 1.35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0.7</w:t>
            </w:r>
          </w:p>
        </w:tc>
      </w:tr>
      <w:tr>
        <w:trPr>
          <w:cantSplit/>
          <w:trHeight w:val="47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Days of stay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1.13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1.12, 1.13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&lt;0.001</w:t>
            </w:r>
          </w:p>
        </w:tc>
      </w:tr>
      <w:tr>
        <w:trPr>
          <w:cantSplit/>
          <w:trHeight w:val="47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Medical-Surgical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</w:tr>
      <w:tr>
        <w:trPr>
          <w:cantSplit/>
          <w:trHeight w:val="43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Medical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—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—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</w:tr>
      <w:tr>
        <w:trPr>
          <w:cantSplit/>
          <w:trHeight w:val="47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Surgical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0.67, 1.04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0.11</w:t>
            </w:r>
          </w:p>
        </w:tc>
      </w:tr>
      <w:tr>
        <w:trPr>
          <w:cantSplit/>
          <w:trHeight w:val="43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Died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</w:tr>
      <w:tr>
        <w:trPr>
          <w:cantSplit/>
          <w:trHeight w:val="44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FALSE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—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—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</w:tr>
      <w:tr>
        <w:trPr>
          <w:cantSplit/>
          <w:trHeight w:val="45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TRUE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2.90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2.25, 3.72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&lt;0.001</w:t>
            </w:r>
          </w:p>
        </w:tc>
      </w:tr>
      <w:tr>
        <w:trPr>
          <w:cantSplit/>
          <w:trHeight w:val="47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Department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</w:tr>
      <w:tr>
        <w:trPr>
          <w:cantSplit/>
          <w:trHeight w:val="47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UOC Cardiochirurgia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—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—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</w:tr>
      <w:tr>
        <w:trPr>
          <w:cantSplit/>
          <w:trHeight w:val="47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UOC Cardiologia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0.38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0.20, 0.72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0.003</w:t>
            </w:r>
          </w:p>
        </w:tc>
      </w:tr>
      <w:tr>
        <w:trPr>
          <w:cantSplit/>
          <w:trHeight w:val="47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UOC Chirurgia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2.32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1.40, 3.86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0.001</w:t>
            </w:r>
          </w:p>
        </w:tc>
      </w:tr>
      <w:tr>
        <w:trPr>
          <w:cantSplit/>
          <w:trHeight w:val="47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UOC Chirurgia Toracica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0.79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0.34, 1.82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0.6</w:t>
            </w:r>
          </w:p>
        </w:tc>
      </w:tr>
      <w:tr>
        <w:trPr>
          <w:cantSplit/>
          <w:trHeight w:val="47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UOC Chirurgia Vascolare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0.58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0.25, 1.30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0.2</w:t>
            </w:r>
          </w:p>
        </w:tc>
      </w:tr>
      <w:tr>
        <w:trPr>
          <w:cantSplit/>
          <w:trHeight w:val="47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UOC Endocrinologia e Diabetologia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3.58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1.91, 6.73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&lt;0.001</w:t>
            </w:r>
          </w:p>
        </w:tc>
      </w:tr>
      <w:tr>
        <w:trPr>
          <w:cantSplit/>
          <w:trHeight w:val="47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UOC Gastroenterologia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1.74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0.98, 3.10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0.058</w:t>
            </w:r>
          </w:p>
        </w:tc>
      </w:tr>
      <w:tr>
        <w:trPr>
          <w:cantSplit/>
          <w:trHeight w:val="47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UOC Ginecologia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0.10, 6.81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0.9</w:t>
            </w:r>
          </w:p>
        </w:tc>
      </w:tr>
      <w:tr>
        <w:trPr>
          <w:cantSplit/>
          <w:trHeight w:val="47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UOC Malattie apparato respiratorio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2.81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1.62, 4.87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&lt;0.001</w:t>
            </w:r>
          </w:p>
        </w:tc>
      </w:tr>
      <w:tr>
        <w:trPr>
          <w:cantSplit/>
          <w:trHeight w:val="45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UOC Malattie Infettive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1.98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1.05, 3.71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0.034</w:t>
            </w:r>
          </w:p>
        </w:tc>
      </w:tr>
      <w:tr>
        <w:trPr>
          <w:cantSplit/>
          <w:trHeight w:val="45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UOC Medicina interna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1.41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0.86, 2.30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0.2</w:t>
            </w:r>
          </w:p>
        </w:tc>
      </w:tr>
      <w:tr>
        <w:trPr>
          <w:cantSplit/>
          <w:trHeight w:val="47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UOC Neurochirugia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0.43, 1.47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0.5</w:t>
            </w:r>
          </w:p>
        </w:tc>
      </w:tr>
      <w:tr>
        <w:trPr>
          <w:cantSplit/>
          <w:trHeight w:val="47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UOC Neurologia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1.11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0.70, 1.77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0.7</w:t>
            </w:r>
          </w:p>
        </w:tc>
      </w:tr>
      <w:tr>
        <w:trPr>
          <w:cantSplit/>
          <w:trHeight w:val="47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UOC Ortopedia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0.22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0.11, 0.44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&lt;0.001</w:t>
            </w:r>
          </w:p>
        </w:tc>
      </w:tr>
      <w:tr>
        <w:trPr>
          <w:cantSplit/>
          <w:trHeight w:val="47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UOC Psichiatria e Psicologia Clinica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0.25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0.06, 1.00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0.050</w:t>
            </w:r>
          </w:p>
        </w:tc>
      </w:tr>
      <w:tr>
        <w:trPr>
          <w:cantSplit/>
          <w:trHeight w:val="47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UOC Reumatologia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0.20, 2.59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0.6</w:t>
            </w:r>
          </w:p>
        </w:tc>
      </w:tr>
      <w:tr>
        <w:trPr>
          <w:cantSplit/>
          <w:trHeight w:val="47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UOC Urologia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1.33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0.66, 2.67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0.4</w:t>
            </w:r>
          </w:p>
        </w:tc>
      </w:tr>
      <w:tr>
        <w:trPr>
          <w:cantSplit/>
          <w:trHeight w:val="45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UOS UTIC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0.23, 0.84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0.013</w:t>
            </w:r>
          </w:p>
        </w:tc>
      </w:tr>
      <w:tr>
        <w:trPr>
          <w:cantSplit/>
          <w:trHeight w:val="47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UOSD Chirurgia Maxillo facciale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0.04, 2.45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0.3</w:t>
            </w:r>
          </w:p>
        </w:tc>
      </w:tr>
      <w:tr>
        <w:trPr>
          <w:cantSplit/>
          <w:trHeight w:val="47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UOSD OBI e Medicina d'urgenza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1.42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0.86, 2.35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0.2</w:t>
            </w:r>
          </w:p>
        </w:tc>
      </w:tr>
      <w:tr>
        <w:trPr>
          <w:cantSplit/>
          <w:trHeight w:val="47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UOSD Oncologia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1.58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0.65, 3.83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0.3</w:t>
            </w:r>
          </w:p>
        </w:tc>
      </w:tr>
      <w:tr>
        <w:trPr>
          <w:cantSplit/>
          <w:trHeight w:val="47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UOSD Otorinolaringoiatria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0.03, 2.88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0.3</w:t>
            </w:r>
          </w:p>
        </w:tc>
      </w:tr>
      <w:tr>
        <w:trPr>
          <w:cantSplit/>
          <w:trHeight w:val="47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UOSD Patologie linfoproliferative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5.64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3.12, 10.2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&lt;0.001</w:t>
            </w:r>
          </w:p>
        </w:tc>
      </w:tr>
      <w:tr>
        <w:trPr>
          <w:cantSplit/>
          <w:trHeight w:val="47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UOSD Terapia Intensiva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3.40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1.82, 6.35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&lt;0.001</w:t>
            </w:r>
          </w:p>
        </w:tc>
      </w:tr>
      <w:tr>
        <w:trPr>
          <w:cantSplit/>
          <w:trHeight w:val="47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Primary diagnosis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</w:tr>
      <w:tr>
        <w:trPr>
          <w:cantSplit/>
          <w:trHeight w:val="476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Congenital anomalies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—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—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/>
            </w:r>
          </w:p>
        </w:tc>
      </w:tr>
      <w:tr>
        <w:trPr>
          <w:cantSplit/>
          <w:trHeight w:val="45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Diseases of the blood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1.82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0.41, 8.12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0.4</w:t>
            </w:r>
          </w:p>
        </w:tc>
      </w:tr>
      <w:tr>
        <w:trPr>
          <w:cantSplit/>
          <w:trHeight w:val="47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Diseases of the circulatory system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1.38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0.37, 5.07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0.6</w:t>
            </w:r>
          </w:p>
        </w:tc>
      </w:tr>
      <w:tr>
        <w:trPr>
          <w:cantSplit/>
          <w:trHeight w:val="475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Diseases of the digestive system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1.17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0.31, 4.38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0.8</w:t>
            </w:r>
          </w:p>
        </w:tc>
      </w:tr>
      <w:tr>
        <w:trPr>
          <w:cantSplit/>
          <w:trHeight w:val="475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Diseases of the genitourinary system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2.27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0.59, 8.63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0.2</w:t>
            </w:r>
          </w:p>
        </w:tc>
      </w:tr>
      <w:tr>
        <w:trPr>
          <w:cantSplit/>
          <w:trHeight w:val="47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Diseases of the musculoskeletal system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1.41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0.34, 5.82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0.6</w:t>
            </w:r>
          </w:p>
        </w:tc>
      </w:tr>
      <w:tr>
        <w:trPr>
          <w:cantSplit/>
          <w:trHeight w:val="47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Diseases of the nervous system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1.09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0.28, 4.27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&gt;0.9</w:t>
            </w:r>
          </w:p>
        </w:tc>
      </w:tr>
      <w:tr>
        <w:trPr>
          <w:cantSplit/>
          <w:trHeight w:val="47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Diseases of the respiratory system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1.47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0.40, 5.47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0.6</w:t>
            </w:r>
          </w:p>
        </w:tc>
      </w:tr>
      <w:tr>
        <w:trPr>
          <w:cantSplit/>
          <w:trHeight w:val="45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Diseases of the skin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4.36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1.02, 18.7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0.047</w:t>
            </w:r>
          </w:p>
        </w:tc>
      </w:tr>
      <w:tr>
        <w:trPr>
          <w:cantSplit/>
          <w:trHeight w:val="47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Endocrine, nutritional and metabolic diseases, and immunity disorders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1.74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0.44, 6.82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0.4</w:t>
            </w:r>
          </w:p>
        </w:tc>
      </w:tr>
      <w:tr>
        <w:trPr>
          <w:cantSplit/>
          <w:trHeight w:val="472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Infectious and parasitic diseases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3.05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0.79, 11.8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0.11</w:t>
            </w:r>
          </w:p>
        </w:tc>
      </w:tr>
      <w:tr>
        <w:trPr>
          <w:cantSplit/>
          <w:trHeight w:val="47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Injury and poisoning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2.87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0.77, 10.7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0.12</w:t>
            </w:r>
          </w:p>
        </w:tc>
      </w:tr>
      <w:tr>
        <w:trPr>
          <w:cantSplit/>
          <w:trHeight w:val="457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Mental disorders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0.98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0.19, 5.01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&gt;0.9</w:t>
            </w:r>
          </w:p>
        </w:tc>
      </w:tr>
      <w:tr>
        <w:trPr>
          <w:cantSplit/>
          <w:trHeight w:val="47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Neoplasms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0.95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0.26, 3.51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&gt;0.9</w:t>
            </w:r>
          </w:p>
        </w:tc>
      </w:tr>
      <w:tr>
        <w:trPr>
          <w:cantSplit/>
          <w:trHeight w:val="474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Supplemental classification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0.71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0.17, 3.04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0.6</w:t>
            </w:r>
          </w:p>
        </w:tc>
      </w:tr>
      <w:tr>
        <w:trPr>
          <w:cantSplit/>
          <w:trHeight w:val="476" w:hRule="auto"/>
        </w:trPr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3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Symptoms, signs, and ill-defined conditions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1.32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0.34, 5.19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top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0.7</w:t>
            </w:r>
          </w:p>
        </w:tc>
      </w:tr>
      <w:tr>
        <w:trPr>
          <w:cantSplit/>
          <w:trHeight w:val="360" w:hRule="auto"/>
        </w:trPr>
        <w:tc>
          <w:tcPr>
            <w:gridSpan w:val="4"/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keepNext/>
              <w:jc w:val="left"/>
              <w:spacing w:after="10" w:before="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vertAlign w:val="superscript"/>
                <w:sz w:val="18"/>
                <w:szCs w:val="18"/>
                <w:color w:val="000000"/>
              </w:rPr>
              <w:t xml:space="preserve">1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18"/>
                <w:szCs w:val="18"/>
                <w:color w:val="000000"/>
              </w:rPr>
              <w:t xml:space="preserve">OR = Odds Ratio, CI = Confidence Interval</w:t>
            </w:r>
          </w:p>
        </w:tc>
      </w:tr>
    </w:tbl>
    <w:bookmarkEnd w:id="22"/>
    <w:bookmarkStart w:id="23" w:name="section"/>
    <w:p>
      <w:pPr>
        <w:pStyle w:val="Heading1"/>
      </w:pPr>
    </w:p>
    <w:bookmarkEnd w:id="23"/>
    <w:sectPr w:rsidR="00831756">
      <w:footerReference r:id="rId9" w:type="even"/>
      <w:footerReference r:id="rId10" w:type="default"/>
      <w:pgSz w:h="15840" w:w="12240"/>
      <w:pgMar w:bottom="1440" w:footer="720" w:gutter="0" w:header="720" w:left="1440" w:right="1440" w:top="144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856103327"/>
      <w:docPartObj>
        <w:docPartGallery w:val="Page Numbers (Bottom of Page)"/>
        <w:docPartUnique/>
      </w:docPartObj>
    </w:sdtPr>
    <w:sdtContent>
      <w:p w14:paraId="5E6C8114" w14:textId="77777777" w:rsidR="00847094" w:rsidRDefault="00000000" w:rsidP="0005154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235F47">
          <w:rPr>
            <w:rStyle w:val="PageNumber"/>
            <w:noProof/>
          </w:rPr>
          <w:t>6</w:t>
        </w:r>
        <w:r>
          <w:rPr>
            <w:rStyle w:val="PageNumber"/>
          </w:rPr>
          <w:fldChar w:fldCharType="end"/>
        </w:r>
      </w:p>
    </w:sdtContent>
  </w:sdt>
  <w:p w14:paraId="03A0B6EF" w14:textId="77777777" w:rsidR="00847094" w:rsidRDefault="00000000" w:rsidP="00847094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686744414"/>
      <w:docPartObj>
        <w:docPartGallery w:val="Page Numbers (Bottom of Page)"/>
        <w:docPartUnique/>
      </w:docPartObj>
    </w:sdtPr>
    <w:sdtContent>
      <w:p w14:paraId="77A103DE" w14:textId="77777777" w:rsidR="00847094" w:rsidRDefault="00000000" w:rsidP="0005154C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771E545B" w14:textId="77777777" w:rsidR="00847094" w:rsidRDefault="00000000" w:rsidP="00847094">
    <w:pPr>
      <w:pStyle w:val="Footer"/>
      <w:ind w:right="360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0000A990"/>
    <w:multiLevelType w:val="multilevel"/>
    <w:tmpl w:val="E8E2BA6C"/>
    <w:lvl w:ilvl="0">
      <w:numFmt w:val="bullet"/>
      <w:lvlText w:val=" "/>
      <w:lvlJc w:val="left"/>
      <w:pPr>
        <w:ind w:hanging="480" w:left="720"/>
      </w:pPr>
    </w:lvl>
    <w:lvl w:ilvl="1">
      <w:numFmt w:val="bullet"/>
      <w:lvlText w:val=" "/>
      <w:lvlJc w:val="left"/>
      <w:pPr>
        <w:ind w:hanging="480" w:left="1440"/>
      </w:pPr>
    </w:lvl>
    <w:lvl w:ilvl="2">
      <w:numFmt w:val="bullet"/>
      <w:lvlText w:val=" "/>
      <w:lvlJc w:val="left"/>
      <w:pPr>
        <w:ind w:hanging="480" w:left="2160"/>
      </w:pPr>
    </w:lvl>
    <w:lvl w:ilvl="3">
      <w:numFmt w:val="bullet"/>
      <w:lvlText w:val=" "/>
      <w:lvlJc w:val="left"/>
      <w:pPr>
        <w:ind w:hanging="480" w:left="2880"/>
      </w:pPr>
    </w:lvl>
    <w:lvl w:ilvl="4">
      <w:numFmt w:val="bullet"/>
      <w:lvlText w:val=" "/>
      <w:lvlJc w:val="left"/>
      <w:pPr>
        <w:ind w:hanging="480" w:left="3600"/>
      </w:pPr>
    </w:lvl>
    <w:lvl w:ilvl="5">
      <w:numFmt w:val="bullet"/>
      <w:lvlText w:val=" "/>
      <w:lvlJc w:val="left"/>
      <w:pPr>
        <w:ind w:hanging="480" w:left="4320"/>
      </w:pPr>
    </w:lvl>
    <w:lvl w:ilvl="6">
      <w:numFmt w:val="bullet"/>
      <w:lvlText w:val=" "/>
      <w:lvlJc w:val="left"/>
      <w:pPr>
        <w:ind w:hanging="480" w:left="5040"/>
      </w:pPr>
    </w:lvl>
    <w:lvl w:ilvl="7">
      <w:numFmt w:val="bullet"/>
      <w:lvlText w:val=" "/>
      <w:lvlJc w:val="left"/>
      <w:pPr>
        <w:ind w:hanging="480" w:left="5760"/>
      </w:pPr>
    </w:lvl>
    <w:lvl w:ilvl="8">
      <w:numFmt w:val="bullet"/>
      <w:lvlText w:val=" "/>
      <w:lvlJc w:val="left"/>
      <w:pPr>
        <w:ind w:hanging="480" w:left="6480"/>
      </w:pPr>
    </w:lvl>
  </w:abstractNum>
  <w:abstractNum w15:restartNumberingAfterBreak="0" w:abstractNumId="1">
    <w:nsid w:val="0000A991"/>
    <w:multiLevelType w:val="multilevel"/>
    <w:tmpl w:val="73DAEAAA"/>
    <w:lvl w:ilvl="0">
      <w:numFmt w:val="bullet"/>
      <w:lvlText w:val="•"/>
      <w:lvlJc w:val="left"/>
      <w:pPr>
        <w:ind w:hanging="480" w:left="720"/>
      </w:pPr>
    </w:lvl>
    <w:lvl w:ilvl="1">
      <w:numFmt w:val="bullet"/>
      <w:lvlText w:val="–"/>
      <w:lvlJc w:val="left"/>
      <w:pPr>
        <w:ind w:hanging="480" w:left="1440"/>
      </w:pPr>
    </w:lvl>
    <w:lvl w:ilvl="2">
      <w:numFmt w:val="bullet"/>
      <w:lvlText w:val="•"/>
      <w:lvlJc w:val="left"/>
      <w:pPr>
        <w:ind w:hanging="480" w:left="2160"/>
      </w:pPr>
    </w:lvl>
    <w:lvl w:ilvl="3">
      <w:numFmt w:val="bullet"/>
      <w:lvlText w:val="–"/>
      <w:lvlJc w:val="left"/>
      <w:pPr>
        <w:ind w:hanging="480" w:left="2880"/>
      </w:pPr>
    </w:lvl>
    <w:lvl w:ilvl="4">
      <w:numFmt w:val="bullet"/>
      <w:lvlText w:val="•"/>
      <w:lvlJc w:val="left"/>
      <w:pPr>
        <w:ind w:hanging="480" w:left="3600"/>
      </w:pPr>
    </w:lvl>
    <w:lvl w:ilvl="5">
      <w:numFmt w:val="bullet"/>
      <w:lvlText w:val="–"/>
      <w:lvlJc w:val="left"/>
      <w:pPr>
        <w:ind w:hanging="480" w:left="4320"/>
      </w:pPr>
    </w:lvl>
    <w:lvl w:ilvl="6">
      <w:numFmt w:val="bullet"/>
      <w:lvlText w:val="•"/>
      <w:lvlJc w:val="left"/>
      <w:pPr>
        <w:ind w:hanging="480" w:left="5040"/>
      </w:pPr>
    </w:lvl>
    <w:lvl w:ilvl="7">
      <w:numFmt w:val="bullet"/>
      <w:lvlText w:val="–"/>
      <w:lvlJc w:val="left"/>
      <w:pPr>
        <w:ind w:hanging="480" w:left="5760"/>
      </w:pPr>
    </w:lvl>
    <w:lvl w:ilvl="8">
      <w:numFmt w:val="bullet"/>
      <w:lvlText w:val="•"/>
      <w:lvlJc w:val="left"/>
      <w:pPr>
        <w:ind w:hanging="480" w:left="6480"/>
      </w:pPr>
    </w:lvl>
  </w:abstractNum>
  <w:abstractNum w15:restartNumberingAfterBreak="0" w:abstractNumId="2">
    <w:nsid w:val="296A0ECB"/>
    <w:multiLevelType w:val="hybridMultilevel"/>
    <w:tmpl w:val="85BE67FC"/>
    <w:lvl w:ilvl="0" w:tplc="08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8090003">
      <w:start w:val="1"/>
      <w:numFmt w:val="bullet"/>
      <w:lvlText w:val="o"/>
      <w:lvlJc w:val="left"/>
      <w:pPr>
        <w:ind w:hanging="360" w:left="1440"/>
      </w:pPr>
      <w:rPr>
        <w:rFonts w:ascii="Courier New" w:hAnsi="Courier New" w:hint="default"/>
      </w:rPr>
    </w:lvl>
    <w:lvl w:ilvl="2" w:tentative="1" w:tplc="08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8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8090003">
      <w:start w:val="1"/>
      <w:numFmt w:val="bullet"/>
      <w:lvlText w:val="o"/>
      <w:lvlJc w:val="left"/>
      <w:pPr>
        <w:ind w:hanging="360" w:left="3600"/>
      </w:pPr>
      <w:rPr>
        <w:rFonts w:ascii="Courier New" w:hAnsi="Courier New" w:hint="default"/>
      </w:rPr>
    </w:lvl>
    <w:lvl w:ilvl="5" w:tentative="1" w:tplc="08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8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8090003">
      <w:start w:val="1"/>
      <w:numFmt w:val="bullet"/>
      <w:lvlText w:val="o"/>
      <w:lvlJc w:val="left"/>
      <w:pPr>
        <w:ind w:hanging="360" w:left="5760"/>
      </w:pPr>
      <w:rPr>
        <w:rFonts w:ascii="Courier New" w:hAnsi="Courier New" w:hint="default"/>
      </w:rPr>
    </w:lvl>
    <w:lvl w:ilvl="8" w:tentative="1" w:tplc="08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16cid:durableId="664936298" w:numId="1">
    <w:abstractNumId w:val="0"/>
  </w:num>
  <w:num w16cid:durableId="220605033" w:numId="2">
    <w:abstractNumId w:val="1"/>
  </w:num>
  <w:num w16cid:durableId="1750274234" w:numId="3">
    <w:abstractNumId w:val="1"/>
  </w:num>
  <w:num w16cid:durableId="2050572785" w:numId="4">
    <w:abstractNumId w:val="1"/>
  </w:num>
  <w:num w16cid:durableId="174611325" w:numId="5">
    <w:abstractNumId w:val="1"/>
  </w:num>
  <w:num w16cid:durableId="1203637198" w:numId="6">
    <w:abstractNumId w:val="1"/>
  </w:num>
  <w:num w16cid:durableId="1044791031" w:numId="7">
    <w:abstractNumId w:val="1"/>
  </w:num>
  <w:num w16cid:durableId="1242761205" w:numId="8">
    <w:abstractNumId w:val="1"/>
  </w:num>
  <w:num w16cid:durableId="624314288" w:numId="9">
    <w:abstractNumId w:val="1"/>
  </w:num>
  <w:num w16cid:durableId="1392727739" w:numId="10">
    <w:abstractNumId w:val="1"/>
  </w:num>
  <w:num w16cid:durableId="1238326312" w:numId="11">
    <w:abstractNumId w:val="1"/>
  </w:num>
  <w:num w16cid:durableId="2014330354" w:numId="12">
    <w:abstractNumId w:val="0"/>
  </w:num>
  <w:num w16cid:durableId="1539008193" w:numId="13">
    <w:abstractNumId w:val="1"/>
  </w:num>
  <w:num w16cid:durableId="1014116084" w:numId="14">
    <w:abstractNumId w:val="2"/>
  </w: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proofState w:grammar="clean" w:spelling="clean"/>
  <w:stylePaneFormatFilter w:val="0004"/>
  <w:footnotePr>
    <w:footnote w:id="-1"/>
    <w:footnote w:id="0"/>
  </w:footnotePr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55"/>
  <w:embedSystemFonts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 w:uiPriority="34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EF17EA"/>
    <w:rPr>
      <w:rFonts w:ascii="Arial" w:hAnsi="Arial"/>
      <w:sz w:val="20"/>
    </w:rPr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qFormat/>
    <w:rsid w:val="005900E1"/>
    <w:pPr>
      <w:spacing w:after="180" w:before="180"/>
      <w:jc w:val="both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spacing w:before="240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Cs w:val="20"/>
    </w:rPr>
  </w:style>
  <w:style w:styleId="Bibliography" w:type="paragraph">
    <w:name w:val="Bibliography"/>
    <w:basedOn w:val="Normal"/>
    <w:qFormat/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  <w:qFormat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link w:val="SourceCode"/>
    <w:rPr>
      <w:rFonts w:ascii="Consolas" w:hAnsi="Consolas"/>
      <w:sz w:val="22"/>
    </w:rPr>
  </w:style>
  <w:style w:customStyle="1" w:styleId="SectionNumber" w:type="character">
    <w:name w:val="Section Number"/>
    <w:basedOn w:val="CaptionChar"/>
  </w:style>
  <w:style w:styleId="FootnoteReference" w:type="character">
    <w:name w:val="footnote reference"/>
    <w:basedOn w:val="CaptionChar"/>
    <w:rPr>
      <w:vertAlign w:val="superscript"/>
    </w:rPr>
  </w:style>
  <w:style w:styleId="Hyperlink" w:type="character">
    <w:name w:val="Hyperlink"/>
    <w:basedOn w:val="Caption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themeColor="accent1" w:themeShade="BF" w:val="365F91"/>
    </w:rPr>
  </w:style>
  <w:style w:customStyle="1" w:styleId="TableCaption0" w:type="paragraph">
    <w:name w:val="TableCaption"/>
    <w:basedOn w:val="BodyText"/>
    <w:qFormat/>
  </w:style>
  <w:style w:customStyle="1" w:styleId="SourceCode" w:type="paragraph">
    <w:name w:val="Source Code"/>
    <w:basedOn w:val="Normal"/>
    <w:link w:val="VerbatimChar"/>
    <w:pPr>
      <w:shd w:color="auto" w:fill="F8F8F8" w:val="clear"/>
      <w:wordWrap w:val="0"/>
    </w:pPr>
  </w:style>
  <w:style w:customStyle="1" w:styleId="KeywordTok" w:type="character">
    <w:name w:val="Keyword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DataTypeTok" w:type="character">
    <w:name w:val="DataTypeTok"/>
    <w:basedOn w:val="VerbatimChar"/>
    <w:rPr>
      <w:rFonts w:ascii="Consolas" w:hAnsi="Consolas"/>
      <w:color w:val="204A87"/>
      <w:sz w:val="22"/>
      <w:shd w:color="auto" w:fill="F8F8F8" w:val="clear"/>
    </w:rPr>
  </w:style>
  <w:style w:customStyle="1" w:styleId="DecValTok" w:type="character">
    <w:name w:val="DecVal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BaseNTok" w:type="character">
    <w:name w:val="BaseN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FloatTok" w:type="character">
    <w:name w:val="Float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ConstantTok" w:type="character">
    <w:name w:val="Constant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harTok" w:type="character">
    <w:name w:val="Char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CharTok" w:type="character">
    <w:name w:val="SpecialChar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StringTok" w:type="character">
    <w:name w:val="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VerbatimStringTok" w:type="character">
    <w:name w:val="Verbatim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StringTok" w:type="character">
    <w:name w:val="Special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ImportTok" w:type="character">
    <w:name w:val="ImportTok"/>
    <w:basedOn w:val="VerbatimChar"/>
    <w:rPr>
      <w:rFonts w:ascii="Consolas" w:hAnsi="Consolas"/>
      <w:sz w:val="22"/>
      <w:shd w:color="auto" w:fill="F8F8F8" w:val="clear"/>
    </w:rPr>
  </w:style>
  <w:style w:customStyle="1" w:styleId="CommentTok" w:type="character">
    <w:name w:val="Comment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DocumentationTok" w:type="character">
    <w:name w:val="Documen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nnotationTok" w:type="character">
    <w:name w:val="Anno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CommentVarTok" w:type="character">
    <w:name w:val="CommentVar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OtherTok" w:type="character">
    <w:name w:val="OtherTok"/>
    <w:basedOn w:val="VerbatimChar"/>
    <w:rPr>
      <w:rFonts w:ascii="Consolas" w:hAnsi="Consolas"/>
      <w:color w:val="8F5902"/>
      <w:sz w:val="22"/>
      <w:shd w:color="auto" w:fill="F8F8F8" w:val="clear"/>
    </w:rPr>
  </w:style>
  <w:style w:customStyle="1" w:styleId="FunctionTok" w:type="character">
    <w:name w:val="Function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VariableTok" w:type="character">
    <w:name w:val="Variable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ontrolFlowTok" w:type="character">
    <w:name w:val="ControlFlow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OperatorTok" w:type="character">
    <w:name w:val="OperatorTok"/>
    <w:basedOn w:val="VerbatimChar"/>
    <w:rPr>
      <w:rFonts w:ascii="Consolas" w:hAnsi="Consolas"/>
      <w:b/>
      <w:color w:val="CE5C00"/>
      <w:sz w:val="22"/>
      <w:shd w:color="auto" w:fill="F8F8F8" w:val="clear"/>
    </w:rPr>
  </w:style>
  <w:style w:customStyle="1" w:styleId="BuiltInTok" w:type="character">
    <w:name w:val="BuiltInTok"/>
    <w:basedOn w:val="VerbatimChar"/>
    <w:rPr>
      <w:rFonts w:ascii="Consolas" w:hAnsi="Consolas"/>
      <w:sz w:val="22"/>
      <w:shd w:color="auto" w:fill="F8F8F8" w:val="clear"/>
    </w:rPr>
  </w:style>
  <w:style w:customStyle="1" w:styleId="ExtensionTok" w:type="character">
    <w:name w:val="ExtensionTok"/>
    <w:basedOn w:val="VerbatimChar"/>
    <w:rPr>
      <w:rFonts w:ascii="Consolas" w:hAnsi="Consolas"/>
      <w:sz w:val="22"/>
      <w:shd w:color="auto" w:fill="F8F8F8" w:val="clear"/>
    </w:rPr>
  </w:style>
  <w:style w:customStyle="1" w:styleId="PreprocessorTok" w:type="character">
    <w:name w:val="Preprocessor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AttributeTok" w:type="character">
    <w:name w:val="AttributeTok"/>
    <w:basedOn w:val="VerbatimChar"/>
    <w:rPr>
      <w:rFonts w:ascii="Consolas" w:hAnsi="Consolas"/>
      <w:color w:val="C4A000"/>
      <w:sz w:val="22"/>
      <w:shd w:color="auto" w:fill="F8F8F8" w:val="clear"/>
    </w:rPr>
  </w:style>
  <w:style w:customStyle="1" w:styleId="RegionMarkerTok" w:type="character">
    <w:name w:val="RegionMarkerTok"/>
    <w:basedOn w:val="VerbatimChar"/>
    <w:rPr>
      <w:rFonts w:ascii="Consolas" w:hAnsi="Consolas"/>
      <w:sz w:val="22"/>
      <w:shd w:color="auto" w:fill="F8F8F8" w:val="clear"/>
    </w:rPr>
  </w:style>
  <w:style w:customStyle="1" w:styleId="InformationTok" w:type="character">
    <w:name w:val="Inform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WarningTok" w:type="character">
    <w:name w:val="Warning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lertTok" w:type="character">
    <w:name w:val="AlertTok"/>
    <w:basedOn w:val="VerbatimChar"/>
    <w:rPr>
      <w:rFonts w:ascii="Consolas" w:hAnsi="Consolas"/>
      <w:color w:val="EF2929"/>
      <w:sz w:val="22"/>
      <w:shd w:color="auto" w:fill="F8F8F8" w:val="clear"/>
    </w:rPr>
  </w:style>
  <w:style w:customStyle="1" w:styleId="ErrorTok" w:type="character">
    <w:name w:val="ErrorTok"/>
    <w:basedOn w:val="VerbatimChar"/>
    <w:rPr>
      <w:rFonts w:ascii="Consolas" w:hAnsi="Consolas"/>
      <w:b/>
      <w:color w:val="A40000"/>
      <w:sz w:val="22"/>
      <w:shd w:color="auto" w:fill="F8F8F8" w:val="clear"/>
    </w:rPr>
  </w:style>
  <w:style w:customStyle="1" w:styleId="NormalTok" w:type="character">
    <w:name w:val="NormalTok"/>
    <w:basedOn w:val="VerbatimChar"/>
    <w:rPr>
      <w:rFonts w:ascii="Consolas" w:hAnsi="Consolas"/>
      <w:sz w:val="22"/>
      <w:shd w:color="auto" w:fill="F8F8F8" w:val="clear"/>
    </w:rPr>
  </w:style>
  <w:style w:styleId="Footer" w:type="paragraph">
    <w:name w:val="footer"/>
    <w:basedOn w:val="Normal"/>
    <w:link w:val="FooterChar"/>
    <w:unhideWhenUsed/>
    <w:rsid w:val="00847094"/>
    <w:pPr>
      <w:tabs>
        <w:tab w:pos="4513" w:val="center"/>
        <w:tab w:pos="9026" w:val="right"/>
      </w:tabs>
      <w:spacing w:after="0"/>
    </w:pPr>
  </w:style>
  <w:style w:customStyle="1" w:styleId="FooterChar" w:type="character">
    <w:name w:val="Footer Char"/>
    <w:basedOn w:val="DefaultParagraphFont"/>
    <w:link w:val="Footer"/>
    <w:rsid w:val="00847094"/>
  </w:style>
  <w:style w:styleId="PageNumber" w:type="character">
    <w:name w:val="page number"/>
    <w:basedOn w:val="DefaultParagraphFont"/>
    <w:semiHidden/>
    <w:unhideWhenUsed/>
    <w:rsid w:val="00847094"/>
  </w:style>
  <w:style w:styleId="ListParagraph" w:type="paragraph">
    <w:name w:val="List Paragraph"/>
    <w:basedOn w:val="Normal"/>
    <w:uiPriority w:val="34"/>
    <w:qFormat/>
    <w:rsid w:val="00DC7F9B"/>
    <w:pPr>
      <w:spacing w:after="0"/>
      <w:ind w:left="720"/>
      <w:contextualSpacing/>
    </w:pPr>
    <w:rPr>
      <w:lang w:val="en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footer1.xml" Type="http://schemas.openxmlformats.org/officeDocument/2006/relationships/footer" /><Relationship Id="rId10" Target="footer2.xml" Type="http://schemas.openxmlformats.org/officeDocument/2006/relationships/footer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18</Pages>
  <Words>4679</Words>
  <Characters>26675</Characters>
  <Application>Microsoft Office Word</Application>
  <DocSecurity>0</DocSecurity>
  <Lines>222</Lines>
  <Paragraphs>62</Paragraphs>
  <ScaleCrop>false</ScaleCrop>
  <Company/>
  <LinksUpToDate>false</LinksUpToDate>
  <CharactersWithSpaces>31292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Analisi procedure invasive</dc:title>
  <dc:creator/>
  <cp:keywords/>
  <dcterms:created xsi:type="dcterms:W3CDTF">2023-07-05T13:00:34Z</dcterms:created>
  <dcterms:modified xsi:type="dcterms:W3CDTF">2023-07-05T13:00:34Z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2023-07-05</vt:lpwstr>
  </property>
  <property fmtid="{D5CDD505-2E9C-101B-9397-08002B2CF9AE}" pid="3" name="output">
    <vt:lpwstr/>
  </property>
</Properties>
</file>