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center"/>
      </w:pPr>
      <w:r>
        <w:rPr>
          <w:rFonts w:ascii="Times New Roman" w:hAnsi="Times New Roman" w:eastAsia="Times New Roman"/>
          <w:b/>
          <w:sz w:val="32"/>
        </w:rPr>
        <w:t>Literature Review Draft</w:t>
      </w:r>
    </w:p>
    <w:p>
      <w:pPr>
        <w:pStyle w:val="Heading1"/>
        <w:ind w:firstLine="0"/>
      </w:pPr>
      <w:r>
        <w:t>2.2.2 Formation mechanisms across preparation, fermentation, and cooking</w:t>
      </w:r>
    </w:p>
    <w:p>
      <w:pPr>
        <w:widowControl/>
      </w:pPr>
      <w:r>
        <w:t>Taste-active compounds and overall flavor develop across preparation, brining or salting, fermentation, storage, and cooking through the combined effects of tissue disruption, plant enzymes, microbial metabolism, thermal reactions, and mass transfer between vegetables, brine, cooking liquid, and oil. Dry salting and brining create osmotic gradients that draw water and soluble substrates out of plant cells while salt diffuses inward. Cutting, wilting, and pressing disrupt cell walls and increase contact among enzymes, substrates, microorganisms, and brine. Salt concentration, temperature, oxygen exposure, and time shape microbial succession and enzyme activity, so the metabolite profile of a fermented ingredient need not match that of the raw vegetable or the served dish [Xiao et al., 2020] [Zhang et al., 2023].</w:t>
      </w:r>
    </w:p>
    <w:p>
      <w:pPr>
        <w:widowControl/>
      </w:pPr>
      <w:r>
        <w:t>During fermentation, carbohydrate metabolism is a principal route to organic-acid formation. Homofermentative lactic acid bacteria convert hexoses mainly to lactic acid via the Embden–Meyerhof–Parnas pathway; heterofermentative bacteria use the phosphoketolase pathway and yield lactic acid with carbon dioxide, ethanol, and/or acetate. Some heterofermentative strains can reduce fructose to mannitol, affecting residual sweetness and cofactor balance. Malolactic conversion can transform malic acid into lactic acid and carbon dioxide, changing the acid profile, while citrate metabolism may yield acetate, diacetyl, and acetoin, linking acid turnover to taste and aroma. Endogenous plant and microbial proteases release peptides and free amino acids from plant proteins. Microbial uptake, transamination, deamination, and decarboxylation then reshape the amino-acid pool and can shift umami, sweet, or bitter taste contributions. Decarboxylation can also generate biogenic amines, including histamine and putrescine; where relevant, these should be monitored as safety indicators [Zhang et al., 2026] [Ref].</w:t>
      </w:r>
    </w:p>
    <w:p>
      <w:pPr>
        <w:widowControl/>
      </w:pPr>
      <w:r>
        <w:t>Cooking is a further transformation stage rather than a neutral endpoint. Boiling can transfer soluble taste compounds and volatile compounds into the cooking water, while steaming, microwaving, and stir-frying can change their release, evaporation, degradation, and reaction pathways. High-temperature stir-frying can consume reducing sugars and amino acids and promote Maillard and Strecker reactions that form new aroma-active products; oil and water phases also affect compound retention and headspace release. In pickled and dried mustard, boiling and microwaving reduced measured volatile concentrations, while steaming methods produced different trends. Cooking studies of fermented Chinese spicy cabbage likewise reported method-dependent changes in sugars and volatiles [Shen et al., 2019] [Li et al., 2023]. These findings support measuring both the fermented ingredient and the cooked dish rather than assuming the fermented profile represents the served flavor [++Ref++].</w:t>
      </w:r>
    </w:p>
    <w:p>
      <w:pPr>
        <w:pStyle w:val="Heading1"/>
        <w:ind w:firstLine="0"/>
      </w:pPr>
      <w:r>
        <w:t>2.3.2 Formation mechanisms across processing stages</w:t>
      </w:r>
    </w:p>
    <w:p>
      <w:pPr>
        <w:widowControl/>
      </w:pPr>
      <w:r>
        <w:t>Aroma compounds in fermented vegetables originate from two primary sources: natural plant pathways activated during tissue preparation, and chemical and microbial transformations occurring during salting, fermentation, storage, and cooking. In cruciferous vegetables, chopping ruptures cells and allows the enzyme myrosinase to hydrolyze glucosinolates into pungent isothiocyanates and nitriles. In garlic and allium seasonings, cellular damage activates alliinase, initiating the rapid synthesis of reactive sulfur intermediates. These initial enzymatic cascades can be modified or arrested by salting, sun wilting, blanching, and subsequent brine acidification [Xiao et al., 2010] [Zhang et al., 2026] [++Ref++].</w:t>
      </w:r>
    </w:p>
    <w:p>
      <w:pPr>
        <w:widowControl/>
      </w:pPr>
      <w:r>
        <w:t>Microbial carbohydrate metabolism supplies alcohols, short-chain acids, and aroma precursors. Homofermentative lactic acid bacteria produce mainly non-volatile lactate, while heterofermentative bacteria and fermentative yeasts generate ethanol, higher alcohols, acetate, and carbon dioxide. Excess pyruvate can be channeled into diacetyl and acetoin synthesis, contributing buttery undertones. Microbial community succession drives dynamic changes in these volatiles; early salt-tolerant species are gradually replaced by acid-tolerant lactic acid bacteria, causing fruity and fresh aromas to transition into mature, acidic, and fermented notes [Xiao et al., 2020] [Zhao et al., 2021] [Jiang et al., 2026].</w:t>
      </w:r>
    </w:p>
    <w:p>
      <w:pPr>
        <w:widowControl/>
      </w:pPr>
      <w:r>
        <w:t>Amino acid catabolism provides an important secondary pathway for volatile production. Through the microbial Ehrlich pathway, amino acids undergo transamination into alpha-keto acids, followed by decarboxylation into aldehydes and subsequent reduction into higher alcohols or oxidation into volatile acids. In this manner, phenylalanine is transformed into floral phenylacetaldehyde and 2-phenylethanol, branched-chain amino acids form branched alcohols and esters, and methionine catabolism releases potent sulfur volatiles. Concurrently, plant lipases release free fatty acids that undergo enzymatic or chemical oxidation to yield aldehydes, alcohols, and ketones. Microbial esterases then synthesize fruity ethyl esters from available alcohols and organic acids [Sun et al., 2023] [Chen et al., 2026] [Zhang et al., 2026].</w:t>
      </w:r>
    </w:p>
    <w:p>
      <w:pPr>
        <w:widowControl/>
      </w:pPr>
      <w:r>
        <w:t>Cooking introduces a final, decisive stage of aroma transformation. Thermal processing volatilizes light sulfur compounds, degrades delicate fermentation products, and releases cell-bound volatiles. High-temperature stir-frying promotes Maillard and Strecker reactions between reducing sugars and amino acids, generating savory pyrazines, furans, and roasted aldehydes. Furthermore, adding cooking oil creates a lipid phase that traps hydrophobic aroma compounds and alters their release during chewing. Because of these intense heat-induced reactions, the volatile profile of the uncooked fermented vegetable cannot be assumed to predict the aroma of the final cooked dish [Shen et al., 2019] [Li et al., 2023].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firstLine="0"/>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ind w:firstLine="432"/>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Sections 2.2.2 and 2.3.2</dc:title>
  <dc:subject>Formation mechanisms across processing stages</dc:subject>
  <dc:creator>Thesis Literature Review</dc:creator>
  <cp:keywords>fermentation, cooking, taste, aroma, vegetables</cp:keywords>
  <dc:description>generated by python-docx</dc:description>
  <cp:lastModifiedBy/>
  <cp:revision>1</cp:revision>
  <dcterms:created xsi:type="dcterms:W3CDTF">2013-12-23T23:15:00Z</dcterms:created>
  <dcterms:modified xsi:type="dcterms:W3CDTF">2013-12-23T23:15:00Z</dcterms:modified>
  <cp:category/>
</cp:coreProperties>
</file>