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Research Status and Development Trends</w:t>
      </w:r>
    </w:p>
    <w:p>
      <w:pPr>
        <w:widowControl/>
      </w:pPr>
      <w:r>
        <w:t>Research on fermented vegetables has progressed from proximate composition and descriptive inventories of fermentation products toward time-resolved studies that combine microbial community profiling, targeted and untargeted metabolomics, aroma activity assessment, and sensory analysis. The field now recognizes that product identity, cultivar, salt regimen, fermentation temperature, oxygen exposure, and processing history jointly shape the final flavor. Results therefore require interpretation within the process and ingredient context of each product rather than direct transfer across all pickles [Xiao et al., 2020] [Zhang et al., 2023] [Wang et al., 2025]. This distinction is especially important for Waipo Cai (外婆菜), a name associated with a prepared vegetable dish whose recipes and processing history may vary. The food should be distinguished from a single standardized brine fermentation and from related preserved-mustard products such as pickled and dried mustard, even where ingredients or culinary uses overlap [Shen et al., 2019] [Ref].</w:t>
      </w:r>
    </w:p>
    <w:p>
      <w:pPr>
        <w:pStyle w:val="Heading1"/>
      </w:pPr>
      <w:r>
        <w:t>2.1 Research on Waipo Cai and Traditional Pickled Vegetables</w:t>
      </w:r>
    </w:p>
    <w:p>
      <w:pPr>
        <w:pStyle w:val="Heading2"/>
      </w:pPr>
      <w:r>
        <w:t>2.1.1 Studies on traditional pickled vegetables</w:t>
      </w:r>
    </w:p>
    <w:p>
      <w:pPr>
        <w:widowControl/>
      </w:pPr>
      <w:r>
        <w:t>Traditional pickled vegetables comprise a diverse group of foods produced by brine fermentation, dry salting, pressing, sun wilting, or combinations of these operations. Cabbage, mustard, radish, pepper, cowpea, bamboo shoot, ginger, and other vegetables provide different carbohydrate, protein, lipid, phenolic, and sulfur-containing precursor pools. Salt level, vegetable-to-brine ratio, fermentation temperature, oxygen transfer, vessel geometry, household practice, and duration affect the rate of acidification and the succession of indigenous microorganisms. These variables also distinguish products that may share a broad category name while differing substantially in taste, aroma, and texture [Xiao et al., 2020] [Zhang et al., 2023] [Wang et al., 2025].</w:t>
      </w:r>
    </w:p>
    <w:p>
      <w:pPr>
        <w:widowControl/>
      </w:pPr>
      <w:r>
        <w:t>A major research direction has been comparative characterization of regional products. Xiao et al. compared Jiangxi yancai, Sichuan paocai, and Dongbei suancai using bacterial sequencing and chemical profiling. The study detected eight organic acids, seventeen amino acids, and ninety-seven volatile flavor compounds. Lactic acid bacteria were prominent across the products, while selected taxa differed by product type. The authors associated these differences with product-specific flavor profiles and with microbial metabolism of carbohydrates, amino acids, and nucleotides [Xiao et al., 2020]. The work illustrates the value of comparing multiple traditional products under a common analytical framework, while also showing that geographic and process differences can complicate generalization from one pickle to another.</w:t>
      </w:r>
    </w:p>
    <w:p>
      <w:pPr>
        <w:widowControl/>
      </w:pPr>
      <w:r>
        <w:t>Studies of individual products have increasingly separated total volatile abundance from sensory relevance. In industrial Sichuan paocai, HS-SPME-GC-MS combined with GC-O identified a broad volatile profile and a smaller set of odor-active compounds. Quantification, odor activity values, and aroma recombination highlighted compounds that contributed more directly to perceived aroma than chromatographic abundance alone would predict. Shared odorants included phenylethyl alcohol, acetic acid, butanoic acid, ethyl hexanoate, 4-ethylphenol, and 4-ethylguaiacol, although product variety also influenced the odor profile [Zhao et al., 2021]. In other fermented vegetables, researchers have integrated organic-acid and amino-acid measurements with volatile profiles and amplicon sequencing to associate microbial succession with changing flavor chemistry [Tang et al., 2024] [Zhang et al., 2026].</w:t>
      </w:r>
    </w:p>
    <w:p>
      <w:pPr>
        <w:widowControl/>
      </w:pPr>
      <w:r>
        <w:t>Fermentation research has also moved from endpoint measurements toward process trajectories. Time-course designs follow changes in pH, titratable acidity, residual sugars, free amino acids, organic acids, volatile compounds, and microbial populations across fermentation stages. For example, studies of mustard and Jianshui pickles report coordinated acidification, shifts in amino-acid composition, and succession from early colonizing taxa toward acid-tolerant lactic acid bacteria [Jiang et al., 2026] [Zhang et al., 2026]. Salt concentration has been treated as a process variable because it affects water activity, microbial selection, metabolite accumulation, and nitrite trajectories. A study of pickled Brassica napus detected twenty-three free amino acids and fifty-one volatile compounds, and used relative odor activity values to compare flavor contributions under different salt treatments [Zhang et al., 2023]. These designs improve process understanding, although studies still differ in sampling frequency, analytical thresholds, volatile extraction, and the use of biological replicates.</w:t>
      </w:r>
    </w:p>
    <w:p>
      <w:pPr>
        <w:widowControl/>
      </w:pPr>
      <w:r>
        <w:t>The literature on Waipo Cai must be interpreted within this broader product landscape. The papers reviewed for this draft cover paocai, suancai, yancai, pickled and dried mustard, peppers, cowpea, bamboo shoots, and other preserved vegetables. They provide strong methods and mechanistic analogues, yet the available collection contains no primary study explicitly identified as Waipo Cai or 外婆菜. A wider search of Chinese-language bibliographic databases and product-specific synonyms is required before this observation is treated as a field-wide evidence gap [Ref]. Waipo Cai should not be used as a synonym for Meigan cai or for any one mustard pickle without a documented culinary and process definition. The analytical unit may be a cooked composite dish assembled from preserved ingredients, rather than the fermentation substrate alone. That difference affects both the appropriate sampling plan and the interpretation of chemical and microbial measurements.</w:t>
      </w:r>
    </w:p>
    <w:p>
      <w:pPr>
        <w:pStyle w:val="Heading2"/>
      </w:pPr>
      <w:r>
        <w:t>2.1.2 Studies on ready-to-eat vegetables</w:t>
      </w:r>
    </w:p>
    <w:p>
      <w:pPr>
        <w:widowControl/>
      </w:pPr>
      <w:r>
        <w:t>Research on ready-to-eat fermented vegetables addresses a later stage of the production chain than studies of fermentation alone. Products may be consumed directly after fermentation, packaged for chilled or ambient storage, or heated before consumption. Storage and cooking can change microbial activity, acidity, volatile partitioning, texture, and the amounts of flavor compounds retained in the edible portion. The term ready-to-eat therefore covers more than one processing state, and studies need to identify whether measurements refer to raw fermented material, packaged product, or the dish after consumer preparation [Sun et al., 2023] [Li et al., 2023].</w:t>
      </w:r>
    </w:p>
    <w:p>
      <w:pPr>
        <w:widowControl/>
      </w:pPr>
      <w:r>
        <w:t>Storage studies show that flavor can continue to evolve after fermentation has reached its nominal endpoint. Sun et al. followed three commercial pickles during one week of chilled storage using HS-GC-IMS and high-throughput sequencing. Their dataset contained fifty volatile organic compounds. Concentrations of many alcohols, aldehydes, ketones, and esters decreased during storage, while acids increased, alongside changes in bacterial diversity and community structure [Sun et al., 2023]. Such findings are relevant to quality control of packaged pickles, but a short storage period and a limited set of products do not fully describe longer shelf-life behavior, packaging effects, oxygen exposure, or temperature abuse. Sensory acceptance and chemical changes also need to be measured together to determine whether an instrumental difference is perceptible or desirable.</w:t>
      </w:r>
    </w:p>
    <w:p>
      <w:pPr>
        <w:widowControl/>
      </w:pPr>
      <w:r>
        <w:t>Thermal processing has received attention because a fermented vegetable may be boiled, steamed, microwaved, or stir-fried before eating. In pickled and dried mustard, steaming and high-pressure steaming affected volatile concentrations differently from boiling and microwaving. The authors reported increased measured volatile concentrations under selected steaming conditions and reductions after boiling or microwaving, with leaching proposed as one explanation for losses during water-based treatment [Shen et al., 2019]. In fermented Chinese spicy cabbage, boiling and stir-frying produced distinct volatile profiles and sensory properties. Sulfur compounds decreased after heating, while particular aldehydes, alcohols, and ketones became prominent under specific cooking conditions. The study also linked reduced sugar content during stir-frying with reactions involving reducing sugars and amino groups at elevated temperature [Li et al., 2023]. These findings show that cooking can create, release, transform, or remove aroma compounds. The direction and magnitude of change depend on the heating method, time, temperature, food matrix, and extraction protocol.</w:t>
      </w:r>
    </w:p>
    <w:p>
      <w:pPr>
        <w:widowControl/>
      </w:pPr>
      <w:r>
        <w:t>Studies comparing commercial and inoculated pickles further show how production history carries through to the ready-to-eat product. Yun et al. combined GC-MS metabolomics with electronic-tongue measurements and consumer preference assessment. Commercial and starter-culture products differed in nonvolatile metabolites and volatile profiles, while sweetness, umami, and astringency-related sensor responses were associated with preference in that sample set [Yun et al., 2021]. This type of comparison connects process choice with quality outcomes, although consumer preference is product- and population-dependent. Across these studies, the main development trend is toward evaluating finished products under realistic storage and cooking conditions. A persistent limitation is that most studies examine one vegetable or one finished pickle at a time, while composite dishes such as Waipo Cai may include several preserved and fresh ingredients, seasonings, and added cooking media [Ref].</w:t>
      </w:r>
    </w:p>
    <w:p>
      <w:pPr>
        <w:pStyle w:val="Heading1"/>
      </w:pPr>
      <w:r>
        <w:t>2.2 Taste Compounds of Pickled/Fermented Vegetables and Their Formation</w:t>
      </w:r>
    </w:p>
    <w:p>
      <w:pPr>
        <w:pStyle w:val="Heading2"/>
      </w:pPr>
      <w:r>
        <w:t>2.2.1 Types of taste compounds</w:t>
      </w:r>
    </w:p>
    <w:p>
      <w:pPr>
        <w:widowControl/>
      </w:pPr>
      <w:r>
        <w:t>Taste compounds are principally nonvolatile solutes that interact with gustatory receptors during oral processing. They should be distinguished from volatile odorants sensed through orthonasal or retronasal olfaction, although both channels contribute to flavor. Some molecules participate in more than one channel. Acetic acid, for example, can contribute sourness in the aqueous phase and a vinegar-like odor in the headspace. Overall flavor also includes trigeminal chemesthesis, such as the pungency of capsaicinoids or isothiocyanates, and somatosensory properties such as crispness, firmness, and oiliness [Ref].</w:t>
      </w:r>
    </w:p>
    <w:p>
      <w:pPr>
        <w:widowControl/>
      </w:pPr>
      <w:r>
        <w:t>Organic acids are central taste-active constituents of fermented vegetables. Lactic, acetic, malic, citric, succinic, and oxalic acids occur in different proportions according to raw material and fermentation conditions. Their concentrations, dissociation state, buffering environment, and interactions with salts influence sourness and its persistence. pH and titratable acidity describe related but distinct properties. pH measures hydrogen-ion activity, whereas titratable acidity reflects the quantity of base required to reach a defined endpoint and therefore captures acid content together with buffering capacity. Reporting both measures is important when comparing sourness across vegetable matrices [Tang et al., 2024] [Zhang et al., 2026].</w:t>
      </w:r>
    </w:p>
    <w:p>
      <w:pPr>
        <w:widowControl/>
      </w:pPr>
      <w:r>
        <w:t>Salts contribute directly to saltiness and influence the perception of sourness, bitterness, and umami. Sodium chloride concentration also affects water activity and microbial ecology, so its sensory role cannot be separated from its process role. Free amino acids contribute taste in compound-specific ways. Glutamate and aspartate are associated with umami, alanine, glycine, and some other amino acids can contribute sweetness, and leucine, isoleucine, valine, phenylalanine, arginine, and related compounds can contribute bitterness at sufficient concentrations. Small peptides may contribute savory, bitter, or kokumi-like sensations depending on sequence and concentration. Nucleotides such as 5'-inosinate and 5'-guanylate can enhance glutamate-associated umami through mixture interactions, although their concentrations and importance in individual vegetable products require direct measurement [Xiao et al., 2020] [Ref].</w:t>
      </w:r>
    </w:p>
    <w:p>
      <w:pPr>
        <w:widowControl/>
      </w:pPr>
      <w:r>
        <w:t>Residual sugars and sugar alcohols shape sweetness and mouthfeel while also serving as fermentation substrates. Glucose, fructose, sucrose, and mannitol are among the compounds measured in pickles. Their sensory influence depends on concentration and on the simultaneous presence of acids and salts. Phenolic compounds, glucosinolate-derived compounds, and bitter amino acids can contribute bitterness. Astringency is more accurately treated as a tactile oral sensation, often associated with interactions between polyphenols and salivary proteins, rather than as a primary taste modality. Capsaicinoids in pepper and pungent isothiocyanates derived from Brassicaceae are chemesthetic stimuli. Their intensity can alter perceived acidity, saltiness, and overall balance, but they should not be classified as gustatory taste compounds [Yun et al., 2021] [Zhang et al., 2023] [Ref].</w:t>
      </w:r>
    </w:p>
    <w:p>
      <w:pPr>
        <w:pStyle w:val="Heading2"/>
      </w:pPr>
      <w:r>
        <w:t>2.2.2 Formation mechanisms across preparation, fermentation, and cooking</w:t>
      </w:r>
    </w:p>
    <w:p>
      <w:pPr>
        <w:widowControl/>
      </w:pPr>
      <w:r>
        <w:t>Taste-active compounds and overall flavor develop across preparation, brining or salting, fermentation, storage, and cooking through the combined effects of tissue disruption, plant enzymes, microbial metabolism, thermal reactions, and mass transfer between vegetables, brine, cooking liquid, and oil. Dry salting and brining create osmotic gradients that draw water and soluble substrates out of plant cells while salt diffuses inward. Cutting, wilting, and pressing disrupt cell walls and increase contact among enzymes, substrates, microorganisms, and brine. Salt concentration, temperature, oxygen exposure, and time shape microbial succession and enzyme activity, so the metabolite profile of a fermented ingredient need not match that of the raw vegetable or the served dish [Xiao et al., 2020] [Zhang et al., 2023].</w:t>
      </w:r>
    </w:p>
    <w:p>
      <w:pPr>
        <w:widowControl/>
      </w:pPr>
      <w:r>
        <w:t>During fermentation, carbohydrate metabolism is a principal route to organic-acid formation. Homofermentative lactic acid bacteria convert hexoses mainly to lactic acid via the Embden–Meyerhof–Parnas pathway; heterofermentative bacteria use the phosphoketolase pathway and yield lactic acid with carbon dioxide, ethanol, and/or acetate. Some heterofermentative strains can reduce fructose to mannitol, affecting residual sweetness and cofactor balance. Malolactic conversion can transform malic acid into lactic acid and carbon dioxide, changing the acid profile, while citrate metabolism may yield acetate, diacetyl, and acetoin, linking acid turnover to taste and aroma. Endogenous plant and microbial proteases release peptides and free amino acids from plant proteins. Microbial uptake, transamination, deamination, and decarboxylation then reshape the amino-acid pool and can shift umami, sweet, or bitter taste contributions. Decarboxylation can also generate biogenic amines, including histamine and putrescine; where relevant, these should be monitored as safety indicators [Zhang et al., 2026] [Ref].</w:t>
      </w:r>
    </w:p>
    <w:p>
      <w:pPr>
        <w:widowControl/>
      </w:pPr>
      <w:r>
        <w:t>Cooking is a further transformation stage rather than a neutral endpoint. Boiling can transfer soluble taste compounds and volatile compounds into the cooking water, while steaming, microwaving, and stir-frying can change their release, evaporation, degradation, and reaction pathways. High-temperature stir-frying can consume reducing sugars and amino acids and promote Maillard and Strecker reactions that form new aroma-active products; oil and water phases also affect compound retention and headspace release. In pickled and dried mustard, boiling and microwaving reduced measured volatile concentrations, while steaming methods produced different trends. Cooking studies of fermented Chinese spicy cabbage likewise reported method-dependent changes in sugars and volatiles [Shen et al., 2019] [Li et al., 2023]. These findings support measuring both the fermented ingredient and the cooked dish rather than assuming the fermented profile represents the served flavor [Ref].</w:t>
      </w:r>
    </w:p>
    <w:p>
      <w:pPr>
        <w:pStyle w:val="Heading2"/>
      </w:pPr>
      <w:r>
        <w:t>2.2.3 Analytical methods for taste compound identification</w:t>
      </w:r>
    </w:p>
    <w:p>
      <w:pPr>
        <w:widowControl/>
      </w:pPr>
      <w:r>
        <w:t>The analysis of taste compounds requires methods that distinguish total acidity from individual organic acids, total amino nitrogen from individual free amino acids, and bulk soluble solids from specific sugars or polyols. Organic acids are commonly quantified by HPLC with ultraviolet detection, ion-exclusion chromatography, ion chromatography, or liquid chromatography-mass spectrometry. Free amino acids can be measured using an amino acid analyzer or HPLC after pre-column derivatization, including orthophthalaldehyde and fluorenylmethyloxycarbonyl chloride approaches. Sugars and sugar alcohols can be determined by HPLC with refractive-index or evaporative light-scattering detection, ion chromatography with pulsed amperometric detection, or validated LC-MS methods. Targeted LC-MS/MS is useful for low-abundance nucleotides, peptides, biogenic amines, and other metabolites that are poorly resolved by routine colorimetric assays [Xiao et al., 2020] [Zhang et al., 2023] [Zhang et al., 2026].</w:t>
      </w:r>
    </w:p>
    <w:p>
      <w:pPr>
        <w:widowControl/>
      </w:pPr>
      <w:r>
        <w:t>Reliable comparison depends on sample preparation and quantification. Homogenization, extraction solvent, dilution, deproteinization, and filtration should be standardized, and tissue and brine should be recorded or analyzed separately. Calibration with authentic standards, internal standards where suitable, recovery checks, and matrix-matched validation support quantitative interpretation. pH, titratable acidity, salinity, soluble solids, and texture remain useful companion measurements, though they cannot substitute for compound-specific analysis. Untargeted metabolomics can reveal discriminating features, but structural identification should be confirmed with standards or orthogonal evidence before a metabolite is assigned a sensory role [Ref].</w:t>
      </w:r>
    </w:p>
    <w:p>
      <w:pPr>
        <w:widowControl/>
      </w:pPr>
      <w:r>
        <w:t>Taste activity values are often calculated as the measured concentration divided by a compound's taste threshold. A value at or above one indicates potential taste relevance under the conditions represented by that threshold. It does not establish sensory causality. Thresholds depend on solvent, pH, ionic strength, temperature, and mixture context. Sourness, saltiness, sweetness, bitterness, and umami can suppress or enhance one another, while macromolecules and oil can change oral release. Threshold-based screening should therefore be paired with sensory tests, concentration-response evaluation, or model-mixture experiments [Tang et al., 2024] [Ref].</w:t>
      </w:r>
    </w:p>
    <w:p>
      <w:pPr>
        <w:widowControl/>
      </w:pPr>
      <w:r>
        <w:t>Electronic tongues use arrays of potentiometric, voltammetric, or other chemical sensors to generate multivariate response patterns associated with taste dimensions. They can compare batches and screen for broad sour, salty, sweet, bitter, or umami-like signatures. An electronic tongue does not identify individual taste molecules, and its sensor responses can be affected by pH, ionic strength, viscosity, and sample preparation. Calibration against reference solutions and confirmation with chemical analysis are required before its output is interpreted as a specific taste concentration [Yun et al., 2021] [Yang et al., 2026].</w:t>
      </w:r>
    </w:p>
    <w:p>
      <w:pPr>
        <w:pStyle w:val="Heading1"/>
      </w:pPr>
      <w:r>
        <w:t>2.3 Aroma Compounds of Pickled/Fermented Vegetables and Their Formation</w:t>
      </w:r>
    </w:p>
    <w:p>
      <w:pPr>
        <w:pStyle w:val="Heading2"/>
      </w:pPr>
      <w:r>
        <w:t>2.3.1 Types of aroma compounds</w:t>
      </w:r>
    </w:p>
    <w:p>
      <w:pPr>
        <w:widowControl/>
      </w:pPr>
      <w:r>
        <w:t>Aroma compounds are volatile or semivolatile molecules that reach olfactory receptors through the headspace or retronasal pathway. Fermented vegetables contain diverse volatile acids, alcohols, aldehydes, ketones, esters, sulfur compounds, terpenes, phenols, and nitrogen- or sulfur-containing compounds derived from plant substrates and microbial metabolism. Their presence and abundance vary with vegetable species, cultivar, seasoning, fermentation environment, storage, and cooking [Xiao et al., 2020] [Zhao et al., 2021] [Jiang et al., 2026].</w:t>
      </w:r>
    </w:p>
    <w:p>
      <w:pPr>
        <w:widowControl/>
      </w:pPr>
      <w:r>
        <w:t>Volatile acids such as acetic, butanoic, and 2-methylbutanoic acids can contribute sharp, sour, cheesy, or pungent notes. Alcohols include ethanol, higher alcohols, 1-octen-3-ol, and phenylethyl alcohol, with descriptors that range from alcoholic and green to floral or mushroom-like. Aldehydes such as hexanal, nonanal, decanal, and phenylacetaldehyde may provide green, fatty, citrus-like, or floral notes. Esters including ethyl acetate, ethyl lactate, ethyl butyrate, and ethyl hexanoate can provide fruity or sweet notes and often have low odor thresholds. Ketones such as diacetyl, acetoin, and 1-octen-3-one contribute buttery, creamy, or mushroom-like attributes. These descriptors depend on concentration and matrix and should be treated as sensory references rather than universal assignments [Zhao et al., 2021] [Chen et al., 2026].</w:t>
      </w:r>
    </w:p>
    <w:p>
      <w:pPr>
        <w:widowControl/>
      </w:pPr>
      <w:r>
        <w:t>Sulfur-containing volatiles are particularly important in products containing cabbage, mustard, garlic, onion, or other sulfur-rich ingredients. Dimethyl disulfide, dimethyl trisulfide, allyl sulfides, and isothiocyanates can contribute cabbage-like, onion-like, garlic-like, pungent, or cooked notes. Terpenes such as linalool, limonene, beta-pinene, and related compounds may derive from peppers, herbs, spices, and plant tissue. Phenols such as 4-ethylphenol, 4-ethylguaiacol, and p-cresol can be associated with fermented, smoky, medicinal, or animal-like notes, with their acceptability depending strongly on concentration and product style. Nitriles and other glucosinolate degradation products can also contribute to the characteristic aroma of Brassicaceae vegetables [Xiao et al., 2010] [Zhao et al., 2021] [Tang et al., 2024].</w:t>
      </w:r>
    </w:p>
    <w:p>
      <w:pPr>
        <w:widowControl/>
      </w:pPr>
      <w:r>
        <w:t>Total volatile concentration is a limited proxy for aroma intensity. A high-abundance compound may have a high odor threshold and contribute little to perceived aroma, while a trace compound with a low threshold may be aroma-active. Odor activity value is commonly calculated as compound concentration divided by its odor threshold. GC-O methods add a human detection component and can identify potent odorants that are difficult to prioritize from mass-spectral peak area alone. Sensory impact can also depend on mixture suppression, synergy, and the sequence of release during eating [Xiao et al., 2010] [Zhao et al., 2021].</w:t>
      </w:r>
    </w:p>
    <w:p>
      <w:pPr>
        <w:pStyle w:val="Heading2"/>
      </w:pPr>
      <w:r>
        <w:t>2.3.2 Formation mechanisms during fermentation</w:t>
      </w:r>
    </w:p>
    <w:p>
      <w:pPr>
        <w:widowControl/>
      </w:pPr>
      <w:r>
        <w:t>The aroma of fermented vegetables has at least two broad sources. Some compounds are present in raw vegetables, spices, and seasonings or are released from their precursors by plant enzymes. Others form through microbial or chemical transformation during salting, fermentation, storage, and cooking. In cruciferous vegetables, myrosinase-mediated hydrolysis of glucosinolates can generate isothiocyanates, nitriles, and related products. Their formation depends on substrate composition, enzyme activity, pH, tissue disruption, and the subsequent chemical and microbial environment. Garlic and onion contribute a separate sulfur chemistry in which tissue disruption activates alliinase and produces reactive sulfur intermediates. These plant-derived pathways can be altered by blanching, salting, drying, or heating before or after fermentation [Xiao et al., 2010] [Zhang et al., 2026] [Ref].</w:t>
      </w:r>
    </w:p>
    <w:p>
      <w:pPr>
        <w:widowControl/>
      </w:pPr>
      <w:r>
        <w:t>Microbial carbohydrate metabolism supplies alcohols, acids, carbon dioxide, and aroma precursors. Homofermentative lactic acid bacteria primarily produce lactate from hexoses. Heterofermentative bacteria can generate lactate with acetate or ethanol, while yeast metabolism can contribute ethanol, higher alcohols, and esters. Pyruvate metabolism may form acetoin and diacetyl. The balance between these products reflects substrate availability, oxygen, pH, temperature, and interactions among bacteria and yeasts. During fermentation of pickled and dried mustard, microbial succession was associated with dynamic changes in organic acids, free amino acids, and volatile compounds. Studies of paocai and other pickles similarly link community composition with product-specific volatile profiles [Xiao et al., 2020] [Zhao et al., 2021] [Jiang et al., 2026].</w:t>
      </w:r>
    </w:p>
    <w:p>
      <w:pPr>
        <w:widowControl/>
      </w:pPr>
      <w:r>
        <w:t>Amino-acid catabolism is an important route to aldehydes, alcohols, acids, and sulfur volatiles. In the Ehrlich pathway, an amino acid is transaminated to an alpha-keto acid, decarboxylated to an aldehyde, and then reduced to a higher alcohol or oxidized to a carboxylic acid. Branched-chain amino acids can yield branched aldehydes and alcohols, while phenylalanine can yield phenylacetaldehyde and 2-phenylethanol. Methionine and cysteine metabolism can contribute sulfur-containing aroma compounds. Protein hydrolysis therefore changes gustatory amino-acid composition while also supplying precursors for aroma formation [Sun et al., 2023] [Zhang et al., 2026] [Ref].</w:t>
      </w:r>
    </w:p>
    <w:p>
      <w:pPr>
        <w:widowControl/>
      </w:pPr>
      <w:r>
        <w:t>Lipid hydrolysis and oxidation generate additional volatile families. Plant lipases release free fatty acids, and oxidation of unsaturated fatty acids through lipoxygenase-dependent or nonenzymatic routes produces hydroperoxides. Their cleavage can yield aldehydes, alcohols, ketones, and hydrocarbons, including green and fatty odorants. Microbial reduction or oxidation can further convert aldehydes into alcohols or acids. Ester formation then occurs through microbial esterases or related acyl-transfer reactions involving alcohols and acyl donors. The presence of ethyl lactate and other ethyl esters in fermented vegetables illustrates how acid and alcohol metabolism can converge on fruity, sweet, or solvent-like aroma notes [Sun et al., 2023] [Chen et al., 2026] [Ref].</w:t>
      </w:r>
    </w:p>
    <w:p>
      <w:pPr>
        <w:widowControl/>
      </w:pPr>
      <w:r>
        <w:t>Community succession helps explain why aroma profiles vary over time. Early populations may include plant-associated and salt-tolerant organisms, followed by lactic acid bacteria that thrive as acidification proceeds. Yeasts and other bacteria may persist or become important depending on oxygen exposure, salt, and fermentation conditions. Correlation networks can identify candidate taxa associated with specific metabolites, and culture-based isolation can test metabolic capacity. Such associations alone do not establish that a taxon produced a volatile in situ. Stronger mechanistic evidence comes from controlled inoculation, defined consortia, isotope tracing, transcript or enzyme measurements, and metabolite verification in a suitable food matrix [Xiao et al., 2020] [Tang et al., 2024] [Zhang et al., 2026].</w:t>
      </w:r>
    </w:p>
    <w:p>
      <w:pPr>
        <w:widowControl/>
      </w:pPr>
      <w:r>
        <w:t>Cooking creates a second set of aroma transformations that can dominate the served dish. Heat can volatilize or degrade fermentation-derived compounds, disrupt cells and release bound compounds, promote oxidation, and shift the partition of odorants between water, oil, and headspace. Stir-frying at high temperature can support Maillard and Strecker chemistry, producing pyrazines, furans, and aldehydes, while boiling can leach water-soluble constituents and volatile compounds into the cooking liquid. Lipid-rich cooking media can retain hydrophobic odorants and alter their release during consumption. Consequently, the aroma of the uncooked fermented ingredient cannot be assumed to predict the aroma of a cooked composite vegetable dish [Shen et al., 2019] [Li et al., 2023] [Ref].</w:t>
      </w:r>
    </w:p>
    <w:p>
      <w:pPr>
        <w:pStyle w:val="Heading2"/>
      </w:pPr>
      <w:r>
        <w:t>2.3.3 Analytical methods for aroma compound identification</w:t>
      </w:r>
    </w:p>
    <w:p>
      <w:pPr>
        <w:widowControl/>
      </w:pPr>
      <w:r>
        <w:t>HS-SPME-GC-MS is widely used to extract and identify volatile compounds in fermented vegetables. A coated fiber adsorbs or absorbs headspace analytes, followed by thermal desorption into the gas chromatograph and mass spectrometric detection. Fiber chemistry, equilibration temperature, extraction time, sample mass, vial volume, agitation, salt addition, and matrix composition affect recovery. Method optimization and consistent sample preparation are therefore essential when comparing treatments. Compound assignments should ideally combine mass-spectral library matching, retention-index agreement, and confirmation with authentic standards. Library matching alone supports a tentative identification rather than definitive structural confirmation [Zhang et al., 2023] [Zhao et al., 2021] [Jiang et al., 2026].</w:t>
      </w:r>
    </w:p>
    <w:p>
      <w:pPr>
        <w:widowControl/>
      </w:pPr>
      <w:r>
        <w:t>GC-IMS provides rapid headspace fingerprinting with high sensitivity for many small volatile compounds and can be useful for screening fermentation stages, brands, or storage conditions. It can reveal pattern differences and support multivariate classification, although individual compound assignment may be limited by co-migration, clustering of monomer and dimer signals, and the availability of reference data. GC×GC-TOF-MS increases peak capacity for complex mixtures, while high-resolution GC-MS can improve mass accuracy and compound discrimination. These platforms are complementary. A rapid fingerprinting technique is most informative when paired with a method that supports confirmatory identification and quantification [Sun et al., 2023] [Yang et al., 2026].</w:t>
      </w:r>
    </w:p>
    <w:p>
      <w:pPr>
        <w:widowControl/>
      </w:pPr>
      <w:r>
        <w:t>GC-O couples chromatographic separation with human odor detection. Trained assessors report odor quality and intensity at the sniffing port. Methods include odor-specific magnitude estimation, detection frequency, aroma extract dilution analysis, and related dilution or intensity procedures. GC-O narrows a complex volatile profile to odor-active regions, while GC-MS provides chemical information. Quantitative OAV analysis can then prioritize compounds, but threshold values should be selected with attention to the relevant matrix and sensory conditions. Aroma recombination and omission experiments provide stronger evidence that a set of compounds or an individual odorant contributes to the characteristic aroma [Zhao et al., 2021] [Xiao et al., 2010].</w:t>
      </w:r>
    </w:p>
    <w:p>
      <w:pPr>
        <w:widowControl/>
      </w:pPr>
      <w:r>
        <w:t>E-nose sensor arrays provide rapid pattern-based aroma classification and can support process monitoring. They do not identify individual molecules, and sensor responses may be affected by humidity, sample temperature, headspace equilibration, instrument drift, and cross-sensitivity. HS-SPME-GC-MS and GC-IMS also depend on headspace conditions and may not reproduce volatile release during oral processing. For composite foods, oil, water, salt, acid, and solids alter partition coefficients and extraction efficiency. Quantitative claims should therefore rely on validated calibration, appropriate internal standards, recovery assessment, and matrix-specific sampling. Chiral odorants may require chiral separation when enantiomeric composition is relevant to odor quality [Yang et al., 2026] [Ref].</w:t>
      </w:r>
    </w:p>
    <w:p>
      <w:pPr>
        <w:pStyle w:val="Heading1"/>
      </w:pPr>
      <w:r>
        <w:t>2.4 Sensory Evaluation and Flavor-Quality Modelling</w:t>
      </w:r>
    </w:p>
    <w:p>
      <w:pPr>
        <w:pStyle w:val="Heading2"/>
      </w:pPr>
      <w:r>
        <w:t>2.4.1 Sensory evaluation methods for pickled vegetables</w:t>
      </w:r>
    </w:p>
    <w:p>
      <w:pPr>
        <w:widowControl/>
      </w:pPr>
      <w:r>
        <w:t>Sensory evaluation provides the perceptual reference needed to interpret chemical measurements. Trained descriptive panels can develop a product-specific vocabulary, agree on reference standards, and quantify the intensity of attributes such as sour, salty, sweet, umami, bitter, fermented, sulfurous, green, fruity, floral, pungent, roasted, and rancid notes. For composite dishes, texture and oral sensations should be recorded separately from taste and aroma, with descriptors such as crispness, softness, fibrousness, oiliness, juiciness, and lingering pungency. Quantitative descriptive analysis and related intensity-rating procedures are suitable for characterizing attribute profiles. Time-intensity analysis and temporal dominance of sensations can capture changes during chewing and after swallowing, which is relevant when acidity, pungency, or retronasal aroma develops over time [Ref].</w:t>
      </w:r>
    </w:p>
    <w:p>
      <w:pPr>
        <w:widowControl/>
      </w:pPr>
      <w:r>
        <w:t>Consumer tests address liking and acceptability rather than analytical description. A nine-point hedonic scale can measure overall liking or liking of specific attributes. Check-all-that-apply methods can capture consumer language, while just-about-right scales can indicate whether saltiness, sourness, pungency, or texture is too weak or too intense. Consumer preference should be measured with a target population and a clear serving context. Trained descriptive scores and consumer liking scores answer different questions and should not be treated as interchangeable [Yun et al., 2021] [Chen et al., 2026].</w:t>
      </w:r>
    </w:p>
    <w:p>
      <w:pPr>
        <w:widowControl/>
      </w:pPr>
      <w:r>
        <w:t>Robust sensory protocols require random three-digit sample codes, blinded presentation, randomized or balanced serving order, controlled portion size and serving temperature, palate cleansers, replicate assessments, and a quiet testing environment. Panel training should include attribute definitions and reference materials, especially for descriptors that can be ambiguous across regional food traditions. Product safety, allergen management, and ethical approval or informed consent should be addressed when human participants are involved. In studies of Waipo Cai, formulation, oil content, cooking temperature, and time should be standardized or recorded because they can alter both sensory perception and volatile release. Separate assessments of the preserved ingredients and the finished dish would help locate the stages at which characteristic sensory attributes emerge [Wang et al., 2025] [Ref].</w:t>
      </w:r>
    </w:p>
    <w:p>
      <w:pPr>
        <w:pStyle w:val="Heading2"/>
      </w:pPr>
      <w:r>
        <w:t>2.4.2 Flavor-quality modelling approaches</w:t>
      </w:r>
    </w:p>
    <w:p>
      <w:pPr>
        <w:widowControl/>
      </w:pPr>
      <w:r>
        <w:t>Flavor-quality modelling links analytical measurements with sensory responses, product identity, or process variables. Exploratory methods such as principal component analysis and hierarchical clustering summarize major sources of variation and reveal sample groupings. Supervised methods such as partial least-squares discriminant analysis and orthogonal PLS-DA identify features associated with predefined classes, including fermentation stage, region, or quality grade. Regression methods such as partial least-squares regression relate multivariate chemical profiles to continuous sensory scores. These approaches have been used with organic acids, amino acids, volatile compounds, electronic-sensor responses, microbial data, texture, color, and physicochemical indices [Xiao et al., 2020] [Zhao et al., 2021] [Chen et al., 2026].</w:t>
      </w:r>
    </w:p>
    <w:p>
      <w:pPr>
        <w:widowControl/>
      </w:pPr>
      <w:r>
        <w:t>Correlation analysis, canonical correlation, and microbial-metabolite networks can generate hypotheses about interactions between taxa and flavor compounds. Integrative models can combine separate data blocks for microbiota, metabolomics, electronic sensors, and sensory ratings. Machine-learning methods such as random forests, support-vector machines, and regularized regression may improve classification or prediction when datasets contain sufficient independent samples. Feature importance and variable-selection procedures can help prioritize candidate markers. Mechanistic interpretation remains essential because a predictive feature may be a proxy for an unmeasured process variable rather than a causal flavor determinant [Yang et al., 2026] [Ref].</w:t>
      </w:r>
    </w:p>
    <w:p>
      <w:pPr>
        <w:widowControl/>
      </w:pPr>
      <w:r>
        <w:t>Model reliability depends on design and validation. Fermentation batches, brands, raw-material lots, and sensory sessions should be treated as potential sources of structured variation. Technical replicates do not replace independent biological batches. Cross-validation should be grouped by batch or production source where appropriate, and model performance should be assessed on external samples when possible. Permutation testing and correction for multiple comparisons reduce false discoveries in high-dimensional data. Microbiome relative-abundance data are compositional, so standard correlation on untransformed proportions can produce spurious associations. Sensory and chemical measurements should be aligned by sample and process stage, and the final model should be reported with uncertainty and a clearly defined prediction target [Ref].</w:t>
      </w:r>
    </w:p>
    <w:p>
      <w:pPr>
        <w:pStyle w:val="Heading2"/>
      </w:pPr>
      <w:r>
        <w:t>2.4.3 Application of sensory-flavor integration in similar products</w:t>
      </w:r>
    </w:p>
    <w:p>
      <w:pPr>
        <w:widowControl/>
      </w:pPr>
      <w:r>
        <w:t>Several studies of related fermented vegetables illustrate increasingly integrated research designs. Zhao et al. combined HS-SPME-GC-MS, GC-O, odor intensity, OAV assessment, and 16S rRNA sequencing for industrial Sichuan paocai. Their aroma recombination experiment provided an additional test of whether selected odorants reproduced the overall profile, while microbial correlations identified candidate aroma-associated bacteria [Zhao et al., 2021]. This design is stronger than a volatile inventory because it combines instrumental separation, human odor detection, sensory reconstruction, and community profiling. The microbial associations remain candidates for further causal testing.</w:t>
      </w:r>
    </w:p>
    <w:p>
      <w:pPr>
        <w:widowControl/>
      </w:pPr>
      <w:r>
        <w:t>A multidimensional analysis of commercial cowpea pickles combined physicochemical properties, texture, organic acids, volatile compounds, electronic-tongue responses, sensory assessment, and OAV calculations. Ethyl lactate, linalool, beta-ionone, and acetophenone were among the compounds prioritized as aroma-active, and selected compounds were associated with sensory attributes across the sampled brands [Chen et al., 2026]. A 2026 study of salted chili peppers coupled E-nose and E-tongue responses with GC-IMS, GC×GC-TOF-MS, and UHPLC-MS/MS. Cross-omics analysis suggested relationships between volatile aroma compounds and nonvolatile metabolites associated with umami, demonstrating the potential to examine aroma-taste interactions rather than treating the two modalities as independent datasets [Yang et al., 2026].</w:t>
      </w:r>
    </w:p>
    <w:p>
      <w:pPr>
        <w:widowControl/>
      </w:pPr>
      <w:r>
        <w:t>Commercial-versus-inoculated pickle comparisons add a process dimension by linking starter cultures with metabolite profiles, electronic-tongue responses, and consumer preference [Yun et al., 2021]. Studies of Taizhou pickles have also combined sensory grading, volatile analysis, microbial sequencing, and isolate characterization to investigate product variability and fermentation organisms [Wang et al., 2025]. Together, these approaches provide a practical methodological foundation for Waipo Cai research. Their transfer requires additional attention to ingredient composition and cooking, since aroma compounds in a single fermented vegetable may behave differently after mixing with seasonings, oil, and other vegetables and then being heated. Sensory-flavor integration in analogous products therefore identifies suitable analytical tools, while product-specific validation remains necessary [Ref].</w:t>
      </w:r>
    </w:p>
    <w:p>
      <w:pPr>
        <w:pStyle w:val="Heading1"/>
      </w:pPr>
      <w:r>
        <w:t>2.5 Summary of Existing Gaps</w:t>
      </w:r>
    </w:p>
    <w:p>
      <w:pPr>
        <w:pStyle w:val="Heading2"/>
      </w:pPr>
      <w:r>
        <w:t>2.5.1 Lack of studies specific to Waipo Cai</w:t>
      </w:r>
    </w:p>
    <w:p>
      <w:pPr>
        <w:widowControl/>
      </w:pPr>
      <w:r>
        <w:t>The principal evidence gap is product specificity. The supplied paper collection contains studies of several traditional pickles and preserved vegetables, but no primary article explicitly identified as Waipo Cai or 外婆菜 was found during preparation of this draft. This observation is limited to the supplied collection and should be tested through a documented search of Chinese- and English-language databases using alternate spellings, regional names, product categories, and ingredient terms [Ref]. Until such a search is completed, conclusions about Waipo Cai must be framed as an extrapolation from related fermented and preserved vegetables.</w:t>
      </w:r>
    </w:p>
    <w:p>
      <w:pPr>
        <w:widowControl/>
      </w:pPr>
      <w:r>
        <w:t>A second issue is the operational definition of the product. Waipo Cai may refer to a household dish, a regional preparation, or a commercial ready-to-eat product, and these forms may differ in vegetable species, pre-fermentation or drying, salt and seasoning levels, added ingredients, and cooking practice. The name alone does not establish whether fermentation occurs in the final mixture, in one or more ingredients before assembly, or not at all. Studies of pickled and dried mustard are relevant analogues for preserved mustard flavor and cooking effects, but they should not be treated as direct evidence for Waipo Cai without a demonstrated equivalence of formulation and process [Shen et al., 2019] [Jiang et al., 2026] [Ref].</w:t>
      </w:r>
    </w:p>
    <w:p>
      <w:pPr>
        <w:pStyle w:val="Heading2"/>
      </w:pPr>
      <w:r>
        <w:t>2.5.2 Limitations of current methodologies for composite dishes</w:t>
      </w:r>
    </w:p>
    <w:p>
      <w:pPr>
        <w:widowControl/>
      </w:pPr>
      <w:r>
        <w:t>Most analytical studies examine a single fermented vegetable, its brine, or a small set of commercial products. Composite dishes introduce ingredient interactions that complicate attribution. Different ingredients contribute their own acids, sugars, amino acids, sulfur compounds, terpenes, pigments, and textures. Mixing changes dilution, pH, ionic strength, and water activity. Cooking further changes tissue structure, promotes leaching and oxidation, generates thermal reaction products, and redistributes hydrophobic volatiles into oil. A volatile detected in the served dish may therefore derive from a fermented ingredient, a fresh seasoning, a cooking reaction, or an interaction among these sources [Li et al., 2023] [Ref].</w:t>
      </w:r>
    </w:p>
    <w:p>
      <w:pPr>
        <w:widowControl/>
      </w:pPr>
      <w:r>
        <w:t>Common analytical limitations also constrain inference. Relative GC-MS peak area is an imperfect measure of concentration and a weak proxy for odor impact. Library-based annotation without standards can lead to uncertain compound identities. OAV calculations depend on thresholds that may not represent the salted, acidic, oily, and heterogeneous matrix. Electronic noses and tongues support rapid discrimination but provide sensor patterns rather than molecular identities. Microbial amplicon sequencing identifies community composition, while metabolite correlations alone cannot establish which organism produced a compound or whether that compound caused a sensory response. Sensory protocols also vary in panel training, attribute definitions, sample preparation, and consumer population, limiting comparison among studies [Zhao et al., 2021] [Sun et al., 2023] [Yang et al., 2026] [Ref].</w:t>
      </w:r>
    </w:p>
    <w:p>
      <w:pPr>
        <w:pStyle w:val="Heading2"/>
      </w:pPr>
      <w:r>
        <w:t>2.5.3 Research needs addressed by this study</w:t>
      </w:r>
    </w:p>
    <w:p>
      <w:pPr>
        <w:widowControl/>
      </w:pPr>
      <w:r>
        <w:t>The present study should first define Waipo Cai as an analytical product by documenting raw materials, ingredient proportions, supplier or regional origin, pretreatment, fermentation or preservation history, seasoning, cooking medium, heating profile, and serving conditions. This operational description would support reproducible sampling and distinguish fermented ingredients from the assembled dish. Where commercial variation is part of the research question, multiple independent batches or brands should be sampled, with raw ingredients, preserved components, pre-cooked mixtures, cooked products, and stored products collected as separate stages [Ref].</w:t>
      </w:r>
    </w:p>
    <w:p>
      <w:pPr>
        <w:widowControl/>
      </w:pPr>
      <w:r>
        <w:t>A second need is a paired characterization of taste, aroma, texture, and microbial composition. Taste analysis should quantify pH, titratable acidity, salt, residual sugars, organic acids, free amino acids, and, where feasible, nucleotides, peptides, and biogenic amines. Aroma analysis should combine HS-SPME-GC-MS or a higher-resolution GC-MS platform with GC-O and appropriate standard-based confirmation of key odorants. E-nose and E-tongue measurements can provide rapid fingerprints when supported by chemical validation. Texture, color, and serving-state sensory measurements should accompany the chemical analyses so that model outputs correspond to attributes that consumers actually perceive [Zhao et al., 2021] [Chen et al., 2026] [Yang et al., 2026] [Ref].</w:t>
      </w:r>
    </w:p>
    <w:p>
      <w:pPr>
        <w:widowControl/>
      </w:pPr>
      <w:r>
        <w:t>A third need is to move from association toward mechanism. Time-resolved 16S rRNA and ITS sequencing, culture-based isolation, and selected functional or metagenomic analyses can identify candidate organisms and pathways. Inoculation trials, defined starter combinations, aroma recombination and omission tests, and sensory-guided concentration-response experiments can assess whether candidate microbes and compounds have reproducible effects. For the composite product, ingredient omission and add-back designs can help separate contributions from fermented vegetables, fresh seasonings, oil, and thermal reactions. Multivariate models should integrate chemistry, sensor data, microbial measurements, and sensory outcomes, then be validated across independent batches or product sources.</w:t>
      </w:r>
    </w:p>
    <w:p>
      <w:pPr>
        <w:widowControl/>
      </w:pPr>
      <w:r>
        <w:t>Together, these needs position the study to establish a product-specific account of Waipo Cai flavor rather than assuming that results from paocai, suancai, Meigan cai, or other pickles transfer unchanged. A staged design that connects ingredient history, fermentation chemistry, cooking-induced transformation, and final sensory perception would clarify which taste-active and aroma-active compounds define the product, how they arise, and which processing variables could support reproducible quality. The resulting evidence would provide a basis for a defensible flavor-quality model and for subsequent standardization of Waipo Cai production [Ref].</w:t>
      </w:r>
    </w:p>
    <w:sectPr w:rsidR="00FC693F" w:rsidRPr="0006063C" w:rsidSect="00034616">
      <w:headerReference w:type="default" r:id="rId9"/>
      <w:footerReference w:type="default" r:id="rId10"/>
      <w:pgSz w:w="11906" w:h="16838"/>
      <w:pgMar w:top="1417" w:right="1531" w:bottom="1417"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5A5A5A"/>
        <w:sz w:val="18"/>
      </w:rPr>
      <w:t>Section 2 | Research Status and Development Trends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36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ind w:firstLine="0"/>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 Research Status and Development Trends</dc:title>
  <dc:subject>Review draft on Waipo Cai and fermented vegetables</dc:subject>
  <dc:creator>Draft manuscript</dc:creator>
  <cp:keywords>Waipo Cai, fermented vegetables, flavor chemistry, sensory evaluation</cp:keywords>
  <dc:description>generated by python-docx</dc:description>
  <cp:lastModifiedBy/>
  <cp:revision>1</cp:revision>
  <dcterms:created xsi:type="dcterms:W3CDTF">2013-12-23T23:15:00Z</dcterms:created>
  <dcterms:modified xsi:type="dcterms:W3CDTF">2013-12-23T23:15:00Z</dcterms:modified>
  <cp:category/>
</cp:coreProperties>
</file>