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aramond" w:hAnsi="Garamond"/>
          <w:sz w:val="20"/>
          <w:szCs w:val="20"/>
        </w:rPr>
      </w:pPr>
      <w:r>
        <w:rPr>
          <w:rFonts w:ascii="Garamond" w:hAnsi="Garamond"/>
          <w:sz w:val="20"/>
          <w:szCs w:val="20"/>
        </w:rPr>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477"/>
        <w:gridCol w:w="548"/>
        <w:gridCol w:w="7329"/>
      </w:tblGrid>
      <w:tr>
        <w:trPr/>
        <w:tc>
          <w:tcPr>
            <w:tcW w:w="8025" w:type="dxa"/>
            <w:gridSpan w:val="2"/>
            <w:tcBorders>
              <w:top w:val="nil"/>
              <w:left w:val="nil"/>
              <w:bottom w:val="nil"/>
              <w:right w:val="nil"/>
            </w:tcBorders>
          </w:tcPr>
          <w:p>
            <w:pPr>
              <w:pStyle w:val="Normal"/>
              <w:jc w:val="center"/>
              <w:rPr>
                <w:rFonts w:ascii="Garamond" w:hAnsi="Garamond"/>
                <w:sz w:val="20"/>
                <w:szCs w:val="20"/>
              </w:rPr>
            </w:pPr>
            <w:r>
              <w:rPr/>
              <w:drawing>
                <wp:inline distT="0" distB="0" distL="0" distR="0">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2"/>
                          <a:stretch>
                            <a:fillRect/>
                          </a:stretch>
                        </pic:blipFill>
                        <pic:spPr bwMode="auto">
                          <a:xfrm>
                            <a:off x="0" y="0"/>
                            <a:ext cx="2717800" cy="673100"/>
                          </a:xfrm>
                          <a:prstGeom prst="rect">
                            <a:avLst/>
                          </a:prstGeom>
                        </pic:spPr>
                      </pic:pic>
                    </a:graphicData>
                  </a:graphic>
                </wp:inline>
              </w:drawing>
            </w:r>
          </w:p>
          <w:p>
            <w:pPr>
              <w:pStyle w:val="Normal"/>
              <w:spacing w:before="0" w:after="120"/>
              <w:rPr>
                <w:rFonts w:ascii="Garamond" w:hAnsi="Garamond"/>
                <w:sz w:val="20"/>
                <w:szCs w:val="20"/>
              </w:rPr>
            </w:pPr>
            <w:r>
              <w:rPr>
                <w:rFonts w:ascii="Garamond" w:hAnsi="Garamond"/>
                <w:sz w:val="20"/>
                <w:szCs w:val="20"/>
              </w:rPr>
            </w:r>
          </w:p>
          <w:p>
            <w:pPr>
              <w:pStyle w:val="Normal"/>
              <w:jc w:val="center"/>
              <w:rPr>
                <w:rFonts w:ascii="Garamond" w:hAnsi="Garamond"/>
                <w:b/>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pPr>
              <w:pStyle w:val="Normal"/>
              <w:jc w:val="center"/>
              <w:rPr>
                <w:rFonts w:ascii="Garamond" w:hAnsi="Garamond"/>
                <w:b/>
                <w:b/>
                <w:color w:val="000090"/>
                <w:sz w:val="32"/>
                <w:szCs w:val="32"/>
              </w:rPr>
            </w:pPr>
            <w:r>
              <w:rPr>
                <w:rFonts w:ascii="Garamond" w:hAnsi="Garamond"/>
                <w:b/>
                <w:color w:val="000090"/>
                <w:sz w:val="32"/>
                <w:szCs w:val="32"/>
              </w:rPr>
              <w:t>Edição de Ecomércio v1.20-PT-BR</w:t>
            </w:r>
          </w:p>
          <w:p>
            <w:pPr>
              <w:pStyle w:val="Normal"/>
              <w:jc w:val="center"/>
              <w:rPr>
                <w:rFonts w:ascii="Garamond" w:hAnsi="Garamond"/>
                <w:sz w:val="20"/>
                <w:szCs w:val="20"/>
              </w:rPr>
            </w:pPr>
            <w:r>
              <w:rPr>
                <w:rFonts w:ascii="Garamond" w:hAnsi="Garamond"/>
                <w:sz w:val="20"/>
                <w:szCs w:val="20"/>
              </w:rPr>
            </w:r>
          </w:p>
          <w:p>
            <w:pPr>
              <w:pStyle w:val="Normal"/>
              <w:ind w:left="720" w:right="567" w:hanging="0"/>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 xml:space="preserve">Author </w:t>
            </w:r>
          </w:p>
          <w:p>
            <w:pPr>
              <w:pStyle w:val="Normal"/>
              <w:spacing w:before="0" w:after="120"/>
              <w:jc w:val="center"/>
              <w:rPr>
                <w:rFonts w:ascii="Garamond" w:hAnsi="Garamond"/>
                <w:sz w:val="20"/>
                <w:szCs w:val="20"/>
              </w:rPr>
            </w:pPr>
            <w:r>
              <w:rPr>
                <w:rFonts w:ascii="Garamond" w:hAnsi="Garamond"/>
                <w:sz w:val="20"/>
                <w:szCs w:val="20"/>
              </w:rPr>
              <w:t>Colin Watson</w:t>
            </w:r>
          </w:p>
          <w:p>
            <w:pPr>
              <w:pStyle w:val="Normal"/>
              <w:spacing w:before="120" w:after="20"/>
              <w:jc w:val="center"/>
              <w:rPr>
                <w:rFonts w:ascii="Garamond" w:hAnsi="Garamond"/>
                <w:sz w:val="18"/>
                <w:szCs w:val="18"/>
              </w:rPr>
            </w:pPr>
            <w:r>
              <w:rPr>
                <w:rFonts w:ascii="Garamond" w:hAnsi="Garamond"/>
                <w:sz w:val="18"/>
                <w:szCs w:val="18"/>
              </w:rPr>
              <w:t xml:space="preserve">Project Leaders  </w:t>
            </w:r>
          </w:p>
          <w:p>
            <w:pPr>
              <w:pStyle w:val="Normal"/>
              <w:spacing w:before="0" w:after="120"/>
              <w:jc w:val="center"/>
              <w:rPr>
                <w:rFonts w:ascii="Garamond" w:hAnsi="Garamond"/>
                <w:sz w:val="20"/>
                <w:szCs w:val="20"/>
              </w:rPr>
            </w:pPr>
            <w:r>
              <w:rPr>
                <w:rFonts w:ascii="Garamond" w:hAnsi="Garamond"/>
                <w:sz w:val="20"/>
                <w:szCs w:val="20"/>
              </w:rPr>
              <w:t>Colin Watson and Grant Ongers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Reviewers</w:t>
            </w:r>
          </w:p>
          <w:p>
            <w:pPr>
              <w:pStyle w:val="Normal"/>
              <w:spacing w:before="0" w:after="120"/>
              <w:jc w:val="center"/>
              <w:rPr>
                <w:rFonts w:ascii="Garamond" w:hAnsi="Garamond"/>
                <w:sz w:val="20"/>
                <w:szCs w:val="20"/>
              </w:rPr>
            </w:pPr>
            <w:r>
              <w:rPr>
                <w:rFonts w:ascii="Garamond" w:hAnsi="Garamond"/>
                <w:sz w:val="20"/>
                <w:szCs w:val="20"/>
              </w:rPr>
              <w:t>Tom Brennan, Johanna Curiel, Darío De Filippis and Timo Goosen</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20"/>
                <w:szCs w:val="20"/>
              </w:rPr>
            </w:pPr>
            <w:r>
              <w:rPr>
                <w:rFonts w:ascii="Garamond" w:hAnsi="Garamond"/>
                <w:sz w:val="20"/>
                <w:szCs w:val="20"/>
              </w:rPr>
              <w:t>Acknowledgments</w:t>
            </w:r>
          </w:p>
          <w:p>
            <w:pPr>
              <w:pStyle w:val="Normal"/>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pPr>
              <w:pStyle w:val="Normal"/>
              <w:jc w:val="center"/>
              <w:rPr>
                <w:rFonts w:ascii="Garamond" w:hAnsi="Garamond"/>
                <w:sz w:val="20"/>
                <w:szCs w:val="20"/>
              </w:rPr>
            </w:pPr>
            <w:r>
              <w:rPr>
                <w:rFonts w:ascii="Garamond" w:hAnsi="Garamond"/>
                <w:sz w:val="20"/>
                <w:szCs w:val="20"/>
              </w:rPr>
            </w:r>
          </w:p>
          <w:p>
            <w:pPr>
              <w:pStyle w:val="Normal"/>
              <w:tabs>
                <w:tab w:val="clear" w:pos="720"/>
                <w:tab w:val="left" w:pos="4550" w:leader="none"/>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0880" cy="658622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500880" cy="6586220"/>
                          </a:xfrm>
                          <a:prstGeom prst="rect">
                            <a:avLst/>
                          </a:prstGeom>
                        </pic:spPr>
                      </pic:pic>
                    </a:graphicData>
                  </a:graphic>
                </wp:inline>
              </w:drawing>
            </w:r>
          </w:p>
        </w:tc>
      </w:tr>
      <w:tr>
        <w:trPr/>
        <w:tc>
          <w:tcPr>
            <w:tcW w:w="7477" w:type="dxa"/>
            <w:tcBorders>
              <w:top w:val="nil"/>
              <w:left w:val="nil"/>
              <w:bottom w:val="nil"/>
              <w:right w:val="nil"/>
            </w:tcBorders>
          </w:tcPr>
          <w:p>
            <w:pPr>
              <w:pStyle w:val="CHeadTop"/>
              <w:rPr/>
            </w:pPr>
            <w:r>
              <w:rPr/>
              <w:t>Introduction</w:t>
            </w:r>
          </w:p>
          <w:p>
            <w:pPr>
              <w:pStyle w:val="Normal"/>
              <w:spacing w:before="0"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pPr>
              <w:pStyle w:val="Normal"/>
              <w:spacing w:before="0"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pPr>
              <w:pStyle w:val="Normal"/>
              <w:spacing w:before="0"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pPr>
              <w:pStyle w:val="Normal"/>
              <w:spacing w:before="0"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pPr>
              <w:pStyle w:val="CHeadMiddle"/>
              <w:rPr/>
            </w:pPr>
            <w:r>
              <w:rPr/>
              <w:t>The card deck (pack)</w:t>
            </w:r>
          </w:p>
          <w:p>
            <w:pPr>
              <w:pStyle w:val="Normal"/>
              <w:spacing w:before="0"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Data validation and encoding (VE)</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Authentication (AT)</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Session Management (SM)</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Authorization (AZ)</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Cryptography (CR)</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Cornucopia (C)</w:t>
            </w:r>
          </w:p>
          <w:p>
            <w:pPr>
              <w:pStyle w:val="Normal"/>
              <w:spacing w:before="0"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pPr>
              <w:pStyle w:val="CHeadMiddle"/>
              <w:rPr/>
            </w:pPr>
            <w:r>
              <w:rPr/>
              <w:t>Mappings</w:t>
            </w:r>
          </w:p>
          <w:p>
            <w:pPr>
              <w:pStyle w:val="Normal"/>
              <w:spacing w:before="0"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v3.0.1 and AppSensor (application attack detection and response) to help teams create their own security-related stories for use in Agile processes.</w:t>
            </w:r>
          </w:p>
        </w:tc>
        <w:tc>
          <w:tcPr>
            <w:tcW w:w="548" w:type="dxa"/>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329" w:type="dxa"/>
            <w:tcBorders>
              <w:top w:val="nil"/>
              <w:left w:val="nil"/>
              <w:bottom w:val="nil"/>
              <w:right w:val="nil"/>
            </w:tcBorders>
          </w:tcPr>
          <w:p>
            <w:pPr>
              <w:pStyle w:val="CHeadTop"/>
              <w:rPr/>
            </w:pPr>
            <w:r>
              <w:rPr/>
              <w:t>Game strategy</w:t>
            </w:r>
          </w:p>
          <w:p>
            <w:pPr>
              <w:pStyle w:val="Normal"/>
              <w:spacing w:before="0" w:after="120"/>
              <w:rPr>
                <w:rFonts w:ascii="Garamond" w:hAnsi="Garamond"/>
                <w:sz w:val="20"/>
                <w:szCs w:val="20"/>
              </w:rPr>
            </w:pPr>
            <w:r>
              <w:rPr>
                <w:rFonts w:ascii="Garamond" w:hAnsi="Garamond"/>
                <w:sz w:val="20"/>
                <w:szCs w:val="20"/>
              </w:rPr>
              <w:t>Apart from the content differences, the game rules are virtually identical to those for EoP.</w:t>
            </w:r>
          </w:p>
          <w:p>
            <w:pPr>
              <w:pStyle w:val="CHeadMiddle"/>
              <w:rPr/>
            </w:pPr>
            <w:r>
              <w:rPr/>
              <w:t>Printing the cards</w:t>
            </w:r>
          </w:p>
          <w:p>
            <w:pPr>
              <w:pStyle w:val="Normal"/>
              <w:spacing w:before="0" w:after="120"/>
              <w:rPr>
                <w:rFonts w:ascii="Garamond" w:hAnsi="Garamond"/>
                <w:sz w:val="20"/>
                <w:szCs w:val="20"/>
              </w:rPr>
            </w:pPr>
            <w:r>
              <w:rPr>
                <w:rFonts w:ascii="Garamond" w:hAnsi="Garamond"/>
                <w:sz w:val="20"/>
                <w:szCs w:val="20"/>
              </w:rPr>
              <w:t xml:space="preserve">Check the Cornucopia project page for how to obtain pre-printed decks on glossy card. </w:t>
            </w:r>
          </w:p>
          <w:p>
            <w:pPr>
              <w:pStyle w:val="Normal"/>
              <w:spacing w:before="0"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pPr>
              <w:pStyle w:val="Normal"/>
              <w:spacing w:before="0"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pPr>
              <w:pStyle w:val="Normal"/>
              <w:spacing w:before="0"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pPr>
              <w:pStyle w:val="CHeadMiddle"/>
              <w:rPr/>
            </w:pPr>
            <w:r>
              <w:rPr/>
              <w:t>Customization</w:t>
            </w:r>
          </w:p>
          <w:p>
            <w:pPr>
              <w:pStyle w:val="Normal"/>
              <w:spacing w:before="0"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pPr>
              <w:pStyle w:val="CHeadMiddle"/>
              <w:rPr/>
            </w:pPr>
            <w:r>
              <w:rPr/>
              <w:t>Provide feedback</w:t>
            </w:r>
          </w:p>
          <w:p>
            <w:pPr>
              <w:pStyle w:val="Normal"/>
              <w:spacing w:before="0"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pPr>
              <w:pStyle w:val="Normal"/>
              <w:spacing w:before="0" w:after="120"/>
              <w:rPr>
                <w:rFonts w:ascii="Garamond" w:hAnsi="Garamond"/>
                <w:sz w:val="20"/>
                <w:szCs w:val="20"/>
              </w:rPr>
            </w:pPr>
            <w:r>
              <w:rPr>
                <w:rFonts w:ascii="Garamond" w:hAnsi="Garamond"/>
                <w:sz w:val="20"/>
                <w:szCs w:val="20"/>
              </w:rPr>
              <w:t>The best place to use to discuss or contribute is the mailing list for the OWASP project:</w:t>
            </w:r>
          </w:p>
          <w:p>
            <w:pPr>
              <w:pStyle w:val="ListParagraph"/>
              <w:numPr>
                <w:ilvl w:val="0"/>
                <w:numId w:val="1"/>
              </w:numPr>
              <w:spacing w:before="0" w:after="120"/>
              <w:contextualSpacing/>
              <w:rPr>
                <w:rFonts w:ascii="Garamond" w:hAnsi="Garamond"/>
                <w:sz w:val="20"/>
                <w:szCs w:val="20"/>
              </w:rPr>
            </w:pPr>
            <w:r>
              <w:rPr>
                <w:rFonts w:ascii="Garamond" w:hAnsi="Garamond"/>
                <w:sz w:val="20"/>
                <w:szCs w:val="20"/>
              </w:rPr>
              <w:t>Mailing list</w:t>
              <w:br/>
            </w:r>
            <w:hyperlink r:id="rId4">
              <w:r>
                <w:rPr>
                  <w:rStyle w:val="InternetLink"/>
                  <w:rFonts w:ascii="Garamond" w:hAnsi="Garamond"/>
                  <w:sz w:val="20"/>
                  <w:szCs w:val="20"/>
                </w:rPr>
                <w:t>https://lists.owasp.org/mailman/listinfo/owasp_cornucopia</w:t>
              </w:r>
            </w:hyperlink>
          </w:p>
          <w:p>
            <w:pPr>
              <w:pStyle w:val="ListParagraph"/>
              <w:numPr>
                <w:ilvl w:val="0"/>
                <w:numId w:val="1"/>
              </w:numPr>
              <w:spacing w:before="0" w:after="120"/>
              <w:contextualSpacing/>
              <w:rPr>
                <w:rFonts w:ascii="Garamond" w:hAnsi="Garamond"/>
                <w:sz w:val="20"/>
                <w:szCs w:val="20"/>
              </w:rPr>
            </w:pPr>
            <w:r>
              <w:rPr>
                <w:rFonts w:ascii="Garamond" w:hAnsi="Garamond"/>
                <w:sz w:val="20"/>
                <w:szCs w:val="20"/>
              </w:rPr>
              <w:t>Project home page</w:t>
              <w:br/>
            </w:r>
            <w:hyperlink r:id="rId5">
              <w:r>
                <w:rPr>
                  <w:rStyle w:val="InternetLink"/>
                  <w:rFonts w:ascii="Garamond" w:hAnsi="Garamond"/>
                  <w:sz w:val="20"/>
                  <w:szCs w:val="20"/>
                </w:rPr>
                <w:t>https://www.owasp.org/index.php/OWASP_Cornucopia</w:t>
              </w:r>
            </w:hyperlink>
          </w:p>
          <w:p>
            <w:pPr>
              <w:pStyle w:val="Normal"/>
              <w:spacing w:before="0"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pPr>
        <w:pStyle w:val="Normal"/>
        <w:rPr>
          <w:rFonts w:ascii="Garamond" w:hAnsi="Garamond"/>
          <w:sz w:val="20"/>
          <w:szCs w:val="20"/>
        </w:rPr>
      </w:pPr>
      <w:r>
        <w:rPr>
          <w:rFonts w:ascii="Garamond" w:hAnsi="Garamond"/>
          <w:sz w:val="20"/>
          <w:szCs w:val="20"/>
        </w:rPr>
      </w:r>
      <w:r>
        <w:br w:type="page"/>
      </w:r>
    </w:p>
    <w:tbl>
      <w:tblPr>
        <w:tblStyle w:val="TableGrid"/>
        <w:tblW w:w="15355" w:type="dxa"/>
        <w:jc w:val="left"/>
        <w:tblInd w:w="0" w:type="dxa"/>
        <w:tblCellMar>
          <w:top w:w="0" w:type="dxa"/>
          <w:left w:w="108" w:type="dxa"/>
          <w:bottom w:w="0" w:type="dxa"/>
          <w:right w:w="108" w:type="dxa"/>
        </w:tblCellMar>
        <w:tblLook w:val="04a0" w:noHBand="0" w:noVBand="1" w:firstColumn="1" w:lastRow="0" w:lastColumn="0" w:firstRow="1"/>
      </w:tblPr>
      <w:tblGrid>
        <w:gridCol w:w="109"/>
        <w:gridCol w:w="737"/>
        <w:gridCol w:w="792"/>
        <w:gridCol w:w="2581"/>
        <w:gridCol w:w="851"/>
        <w:gridCol w:w="2458"/>
        <w:gridCol w:w="123"/>
        <w:gridCol w:w="121"/>
        <w:gridCol w:w="703"/>
        <w:gridCol w:w="2580"/>
        <w:gridCol w:w="828"/>
        <w:gridCol w:w="2579"/>
        <w:gridCol w:w="891"/>
      </w:tblGrid>
      <w:tr>
        <w:trPr/>
        <w:tc>
          <w:tcPr>
            <w:tcW w:w="7528" w:type="dxa"/>
            <w:gridSpan w:val="6"/>
            <w:tcBorders>
              <w:top w:val="nil"/>
              <w:left w:val="nil"/>
              <w:bottom w:val="nil"/>
              <w:right w:val="nil"/>
            </w:tcBorders>
          </w:tcPr>
          <w:p>
            <w:pPr>
              <w:pStyle w:val="CHeadTop"/>
              <w:pageBreakBefore/>
              <w:rPr/>
            </w:pPr>
            <w:r>
              <w:rPr/>
              <w:t>Instruções</w:t>
            </w:r>
          </w:p>
          <w:p>
            <w:pPr>
              <w:pStyle w:val="Normal"/>
              <w:spacing w:before="0"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pPr>
              <w:pStyle w:val="Normal"/>
              <w:jc w:val="center"/>
              <w:rPr>
                <w:rFonts w:ascii="Garamond" w:hAnsi="Garamond"/>
                <w:i/>
                <w:i/>
                <w:sz w:val="20"/>
                <w:szCs w:val="20"/>
              </w:rPr>
            </w:pPr>
            <w:r>
              <w:rPr>
                <w:rFonts w:ascii="Garamond" w:hAnsi="Garamond"/>
                <w:i/>
                <w:sz w:val="20"/>
                <w:szCs w:val="20"/>
              </w:rPr>
              <w:t xml:space="preserve"> William tem o controle sobre a geração de identificadores de sessão</w:t>
            </w:r>
          </w:p>
          <w:p>
            <w:pPr>
              <w:pStyle w:val="Normal"/>
              <w:spacing w:before="0"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pPr>
              <w:pStyle w:val="Normal"/>
              <w:spacing w:before="0" w:after="120"/>
              <w:rPr>
                <w:rFonts w:ascii="Garamond" w:hAnsi="Garamond"/>
                <w:sz w:val="20"/>
                <w:szCs w:val="20"/>
              </w:rPr>
            </w:pPr>
            <w:r>
              <w:rPr>
                <w:rFonts w:ascii="Garamond" w:hAnsi="Garamond"/>
                <w:sz w:val="20"/>
                <w:szCs w:val="20"/>
              </w:rPr>
              <w:t xml:space="preserve">Um guia mais aprofundado sobre cada carta está disponível no Wiki Deck em </w:t>
            </w:r>
          </w:p>
          <w:p>
            <w:pPr>
              <w:pStyle w:val="Normal"/>
              <w:spacing w:before="0" w:after="120"/>
              <w:rPr/>
            </w:pPr>
            <w:hyperlink r:id="rId6">
              <w:r>
                <w:rPr>
                  <w:rStyle w:val="InternetLink"/>
                  <w:rFonts w:ascii="Garamond" w:hAnsi="Garamond"/>
                  <w:spacing w:val="-7"/>
                  <w:sz w:val="20"/>
                  <w:szCs w:val="20"/>
                </w:rPr>
                <w:t>https://w</w:t>
              </w:r>
              <w:r>
                <w:rPr>
                  <w:rStyle w:val="InternetLink"/>
                  <w:rFonts w:ascii="Garamond" w:hAnsi="Garamond"/>
                  <w:spacing w:val="-7"/>
                  <w:sz w:val="20"/>
                  <w:szCs w:val="20"/>
                </w:rPr>
                <w:t>iki</w:t>
              </w:r>
              <w:r>
                <w:rPr>
                  <w:rStyle w:val="InternetLink"/>
                  <w:rFonts w:ascii="Garamond" w:hAnsi="Garamond"/>
                  <w:spacing w:val="-7"/>
                  <w:sz w:val="20"/>
                  <w:szCs w:val="20"/>
                </w:rPr>
                <w:t>.owasp.org/index.php/Cornucopia_-_Ecommerce_Website_Edition_-_Wiki_Deck</w:t>
              </w:r>
            </w:hyperlink>
          </w:p>
          <w:p>
            <w:pPr>
              <w:pStyle w:val="Normal"/>
              <w:spacing w:before="0" w:after="120"/>
              <w:rPr>
                <w:rFonts w:ascii="Garamond" w:hAnsi="Garamond"/>
                <w:sz w:val="20"/>
                <w:szCs w:val="20"/>
              </w:rPr>
            </w:pPr>
            <w:r>
              <w:rPr>
                <w:rFonts w:ascii="Garamond" w:hAnsi="Garamond"/>
                <w:sz w:val="20"/>
                <w:szCs w:val="20"/>
              </w:rPr>
              <w:t>Gabaritos entre os ataques e as cinco fontes estão providas na maioria das cartas:</w:t>
            </w:r>
          </w:p>
          <w:p>
            <w:pPr>
              <w:pStyle w:val="ListParagraph"/>
              <w:numPr>
                <w:ilvl w:val="0"/>
                <w:numId w:val="3"/>
              </w:numPr>
              <w:spacing w:before="0" w:after="120"/>
              <w:contextualSpacing/>
              <w:rPr>
                <w:rFonts w:ascii="Garamond" w:hAnsi="Garamond"/>
                <w:sz w:val="20"/>
                <w:szCs w:val="20"/>
              </w:rPr>
            </w:pPr>
            <w:r>
              <w:rPr>
                <w:rFonts w:ascii="Garamond" w:hAnsi="Garamond"/>
                <w:sz w:val="20"/>
                <w:szCs w:val="20"/>
              </w:rPr>
              <w:t>Requisitos em “Secure Coding Practices (SCP) - Quick Reference Guide”, v2, OWASP, Novembro 2010</w:t>
              <w:br/>
            </w:r>
            <w:hyperlink r:id="rId7">
              <w:r>
                <w:rPr>
                  <w:rStyle w:val="InternetLink"/>
                  <w:rFonts w:ascii="Garamond" w:hAnsi="Garamond"/>
                  <w:spacing w:val="-6"/>
                  <w:sz w:val="20"/>
                  <w:szCs w:val="20"/>
                </w:rPr>
                <w:t>https://www.owasp.org/index.php/File:OWASP_SCP_Quick_Reference_Guide_v2.pdf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Verification IDs in “Application Security Verification Standard (ASVS) for Web Applications”, OWASP, v3.0.1, 2016 (excluindo as sessões 18 e 19)</w:t>
              <w:br/>
            </w:r>
            <w:hyperlink r:id="rId8">
              <w:r>
                <w:rPr>
                  <w:rStyle w:val="InternetLink"/>
                  <w:rFonts w:ascii="Garamond" w:hAnsi="Garamond"/>
                  <w:spacing w:val="-14"/>
                  <w:sz w:val="20"/>
                  <w:szCs w:val="20"/>
                </w:rPr>
                <w:t>https</w:t>
              </w:r>
              <w:r>
                <w:rPr>
                  <w:rStyle w:val="InternetLink"/>
                  <w:rFonts w:ascii="Garamond" w:hAnsi="Garamond"/>
                  <w:spacing w:val="-34"/>
                  <w:sz w:val="20"/>
                  <w:szCs w:val="20"/>
                </w:rPr>
                <w:t>://</w:t>
              </w:r>
              <w:r>
                <w:rPr>
                  <w:rStyle w:val="InternetLink"/>
                  <w:rFonts w:ascii="Garamond" w:hAnsi="Garamond"/>
                  <w:spacing w:val="-14"/>
                  <w:sz w:val="20"/>
                  <w:szCs w:val="20"/>
                </w:rPr>
                <w:t>www.owasp.org/images</w:t>
              </w:r>
              <w:r>
                <w:rPr>
                  <w:rStyle w:val="InternetLink"/>
                  <w:rFonts w:ascii="Garamond" w:hAnsi="Garamond"/>
                  <w:spacing w:val="-34"/>
                  <w:sz w:val="20"/>
                  <w:szCs w:val="20"/>
                </w:rPr>
                <w:t>/3/33/</w:t>
              </w:r>
              <w:r>
                <w:rPr>
                  <w:rStyle w:val="InternetLink"/>
                  <w:rFonts w:ascii="Garamond" w:hAnsi="Garamond"/>
                  <w:spacing w:val="-14"/>
                  <w:sz w:val="20"/>
                  <w:szCs w:val="20"/>
                </w:rPr>
                <w:t>OWASP</w:t>
              </w:r>
              <w:r>
                <w:rPr>
                  <w:rStyle w:val="InternetLink"/>
                  <w:rFonts w:ascii="Garamond" w:hAnsi="Garamond"/>
                  <w:spacing w:val="-34"/>
                  <w:sz w:val="20"/>
                  <w:szCs w:val="20"/>
                </w:rPr>
                <w:t>_</w:t>
              </w:r>
              <w:r>
                <w:rPr>
                  <w:rStyle w:val="InternetLink"/>
                  <w:rFonts w:ascii="Garamond" w:hAnsi="Garamond"/>
                  <w:spacing w:val="-14"/>
                  <w:sz w:val="20"/>
                  <w:szCs w:val="20"/>
                </w:rPr>
                <w:t>Application</w:t>
              </w:r>
              <w:r>
                <w:rPr>
                  <w:rStyle w:val="InternetLink"/>
                  <w:rFonts w:ascii="Garamond" w:hAnsi="Garamond"/>
                  <w:spacing w:val="-34"/>
                  <w:sz w:val="20"/>
                  <w:szCs w:val="20"/>
                </w:rPr>
                <w:t>_</w:t>
              </w:r>
              <w:r>
                <w:rPr>
                  <w:rStyle w:val="InternetLink"/>
                  <w:rFonts w:ascii="Garamond" w:hAnsi="Garamond"/>
                  <w:spacing w:val="-14"/>
                  <w:sz w:val="20"/>
                  <w:szCs w:val="20"/>
                </w:rPr>
                <w:t>Security</w:t>
              </w:r>
              <w:r>
                <w:rPr>
                  <w:rStyle w:val="InternetLink"/>
                  <w:rFonts w:ascii="Garamond" w:hAnsi="Garamond"/>
                  <w:spacing w:val="-34"/>
                  <w:sz w:val="20"/>
                  <w:szCs w:val="20"/>
                </w:rPr>
                <w:t>_</w:t>
              </w:r>
              <w:r>
                <w:rPr>
                  <w:rStyle w:val="InternetLink"/>
                  <w:rFonts w:ascii="Garamond" w:hAnsi="Garamond"/>
                  <w:spacing w:val="-14"/>
                  <w:sz w:val="20"/>
                  <w:szCs w:val="20"/>
                </w:rPr>
                <w:t>Verification</w:t>
              </w:r>
              <w:r>
                <w:rPr>
                  <w:rStyle w:val="InternetLink"/>
                  <w:rFonts w:ascii="Garamond" w:hAnsi="Garamond"/>
                  <w:spacing w:val="-34"/>
                  <w:sz w:val="20"/>
                  <w:szCs w:val="20"/>
                </w:rPr>
                <w:t>_</w:t>
              </w:r>
              <w:r>
                <w:rPr>
                  <w:rStyle w:val="InternetLink"/>
                  <w:rFonts w:ascii="Garamond" w:hAnsi="Garamond"/>
                  <w:spacing w:val="-14"/>
                  <w:sz w:val="20"/>
                  <w:szCs w:val="20"/>
                </w:rPr>
                <w:t>Standard</w:t>
              </w:r>
              <w:r>
                <w:rPr>
                  <w:rStyle w:val="InternetLink"/>
                  <w:rFonts w:ascii="Garamond" w:hAnsi="Garamond"/>
                  <w:spacing w:val="-34"/>
                  <w:sz w:val="20"/>
                  <w:szCs w:val="20"/>
                </w:rPr>
                <w:t>_</w:t>
              </w:r>
              <w:r>
                <w:rPr>
                  <w:rStyle w:val="InternetLink"/>
                  <w:rFonts w:ascii="Garamond" w:hAnsi="Garamond"/>
                  <w:spacing w:val="-14"/>
                  <w:sz w:val="20"/>
                  <w:szCs w:val="20"/>
                </w:rPr>
                <w:t>3.0.1.pdf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Attack detection points IDs in “AppSensor”, OWASP, Agosto 2010-2015</w:t>
              <w:br/>
            </w:r>
            <w:hyperlink r:id="rId9">
              <w:r>
                <w:rPr>
                  <w:rStyle w:val="InternetLink"/>
                  <w:rFonts w:ascii="Garamond" w:hAnsi="Garamond"/>
                  <w:sz w:val="20"/>
                  <w:szCs w:val="20"/>
                </w:rPr>
                <w:t>https://www.owasp.org/index.php/AppSensor_DetectionPoints</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IDs in “Common Attack Pattern Enumeration and Classification (CAPEC)”, v2.8, Mitre Corporation, Novembro 2015</w:t>
            </w:r>
          </w:p>
          <w:p>
            <w:pPr>
              <w:pStyle w:val="ListParagraph"/>
              <w:spacing w:before="0" w:after="120"/>
              <w:contextualSpacing/>
              <w:rPr>
                <w:rFonts w:ascii="Garamond" w:hAnsi="Garamond"/>
                <w:sz w:val="20"/>
                <w:szCs w:val="20"/>
              </w:rPr>
            </w:pPr>
            <w:hyperlink r:id="rId10">
              <w:r>
                <w:rPr>
                  <w:rStyle w:val="InternetLink"/>
                  <w:rFonts w:ascii="Garamond" w:hAnsi="Garamond"/>
                  <w:sz w:val="20"/>
                  <w:szCs w:val="20"/>
                </w:rPr>
                <w:t>http://capec.mitre.org/data/archive/capec_v2.8.zip</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p>
          <w:p>
            <w:pPr>
              <w:pStyle w:val="ListParagraph"/>
              <w:spacing w:before="0" w:after="120"/>
              <w:contextualSpacing/>
              <w:rPr>
                <w:rFonts w:ascii="Garamond" w:hAnsi="Garamond"/>
                <w:sz w:val="20"/>
                <w:szCs w:val="20"/>
              </w:rPr>
            </w:pPr>
            <w:hyperlink r:id="rId11">
              <w:r>
                <w:rPr>
                  <w:rStyle w:val="InternetLink"/>
                  <w:rFonts w:ascii="Garamond" w:hAnsi="Garamond"/>
                  <w:sz w:val="20"/>
                  <w:szCs w:val="20"/>
                </w:rPr>
                <w:t>http://www.safecode.org/publications/SAFECode_Agile_Dev_Security0712.pdf</w:t>
              </w:r>
            </w:hyperlink>
          </w:p>
          <w:p>
            <w:pPr>
              <w:pStyle w:val="Normal"/>
              <w:spacing w:before="0"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pPr>
              <w:pStyle w:val="Normal"/>
              <w:spacing w:before="0"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pPr>
              <w:pStyle w:val="Normal"/>
              <w:spacing w:before="0" w:after="120"/>
              <w:rPr>
                <w:rStyle w:val="InternetLink"/>
                <w:rFonts w:ascii="Garamond" w:hAnsi="Garamond"/>
                <w:sz w:val="20"/>
                <w:szCs w:val="20"/>
              </w:rPr>
            </w:pPr>
            <w:hyperlink r:id="rId12">
              <w:r>
                <w:rPr>
                  <w:rStyle w:val="InternetLink"/>
                  <w:rFonts w:ascii="Garamond" w:hAnsi="Garamond"/>
                  <w:sz w:val="20"/>
                  <w:szCs w:val="20"/>
                </w:rPr>
                <w:t>https://youtu.be/i5Y0akWj31k</w:t>
              </w:r>
            </w:hyperlink>
            <w:hyperlink r:id="rId13">
              <w:r>
                <w:rPr>
                  <w:rStyle w:val="InternetLink"/>
                  <w:rFonts w:ascii="Garamond" w:hAnsi="Garamond"/>
                  <w:sz w:val="20"/>
                  <w:szCs w:val="20"/>
                </w:rPr>
                <w:t>https://www.owasp.org/index.php/File:Cornucopia-scoresheet.pdf</w:t>
              </w:r>
            </w:hyperlink>
          </w:p>
          <w:p>
            <w:pPr>
              <w:pStyle w:val="CHeadTop"/>
              <w:rPr/>
            </w:pPr>
            <w:r>
              <w:rPr/>
              <w:t>Alternative game rules</w:t>
            </w:r>
          </w:p>
          <w:p>
            <w:pPr>
              <w:pStyle w:val="Normal"/>
              <w:spacing w:before="0"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pPr>
              <w:pStyle w:val="Normal"/>
              <w:spacing w:before="0"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pPr>
              <w:pStyle w:val="Normal"/>
              <w:spacing w:before="0"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pPr>
              <w:pStyle w:val="Normal"/>
              <w:spacing w:before="0"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pPr>
              <w:pStyle w:val="Normal"/>
              <w:spacing w:before="0"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pPr>
              <w:pStyle w:val="Normal"/>
              <w:spacing w:before="0"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pPr>
              <w:pStyle w:val="Normal"/>
              <w:spacing w:before="0" w:after="120"/>
              <w:rPr>
                <w:rFonts w:ascii="Garamond" w:hAnsi="Garamond"/>
                <w:sz w:val="20"/>
                <w:szCs w:val="20"/>
              </w:rPr>
            </w:pPr>
            <w:r>
              <w:rPr>
                <w:rFonts w:ascii="Garamond" w:hAnsi="Garamond"/>
                <w:sz w:val="20"/>
                <w:szCs w:val="20"/>
              </w:rPr>
              <w:t>In Microsoft's EoP guidance, they recommend cheating as a good game strategy.</w:t>
            </w:r>
          </w:p>
          <w:p>
            <w:pPr>
              <w:pStyle w:val="CHeadMiddle"/>
              <w:rPr/>
            </w:pPr>
            <w:r>
              <w:rPr/>
              <w:t>Development framework-specific modified card decks</w:t>
            </w:r>
          </w:p>
          <w:p>
            <w:pPr>
              <w:pStyle w:val="Normal"/>
              <w:spacing w:before="0"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pPr>
              <w:pStyle w:val="Normal"/>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pPr>
              <w:pStyle w:val="Normal"/>
              <w:spacing w:before="0" w:after="120"/>
              <w:rPr>
                <w:rStyle w:val="InternetLink"/>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t>Frequently asked questions</w:t>
            </w:r>
          </w:p>
          <w:p>
            <w:pPr>
              <w:pStyle w:val="Normal"/>
              <w:tabs>
                <w:tab w:val="clear" w:pos="720"/>
                <w:tab w:val="right" w:pos="7263" w:leader="none"/>
              </w:tabs>
              <w:spacing w:before="0" w:after="120"/>
              <w:jc w:val="right"/>
              <w:rPr>
                <w:rFonts w:ascii="Garamond" w:hAnsi="Garamond"/>
                <w:i/>
                <w:i/>
                <w:sz w:val="20"/>
                <w:szCs w:val="20"/>
              </w:rPr>
            </w:pPr>
            <w:r>
              <w:rPr>
                <w:rFonts w:ascii="Garamond" w:hAnsi="Garamond"/>
                <w:i/>
                <w:sz w:val="20"/>
                <w:szCs w:val="20"/>
              </w:rPr>
              <w:t xml:space="preserve">1. Can I copy or edit the game? </w:t>
              <w:tab/>
            </w:r>
          </w:p>
          <w:p>
            <w:pPr>
              <w:pStyle w:val="Normal"/>
              <w:spacing w:before="0" w:after="120"/>
              <w:rPr>
                <w:rFonts w:ascii="Garamond" w:hAnsi="Garamond"/>
                <w:i/>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pPr>
              <w:pStyle w:val="Normal"/>
              <w:spacing w:before="0" w:after="120"/>
              <w:rPr>
                <w:rFonts w:ascii="Garamond" w:hAnsi="Garamond"/>
                <w:i/>
                <w:i/>
                <w:sz w:val="20"/>
                <w:szCs w:val="20"/>
              </w:rPr>
            </w:pPr>
            <w:r>
              <w:rPr>
                <w:rFonts w:ascii="Garamond" w:hAnsi="Garamond"/>
                <w:i/>
                <w:sz w:val="20"/>
                <w:szCs w:val="20"/>
              </w:rPr>
              <w:t>2. How can I get involved?</w:t>
            </w:r>
          </w:p>
          <w:p>
            <w:pPr>
              <w:pStyle w:val="Normal"/>
              <w:spacing w:before="0" w:after="120"/>
              <w:rPr>
                <w:rFonts w:ascii="Garamond" w:hAnsi="Garamond"/>
                <w:i/>
                <w:i/>
                <w:sz w:val="20"/>
                <w:szCs w:val="20"/>
              </w:rPr>
            </w:pPr>
            <w:r>
              <w:rPr>
                <w:rFonts w:ascii="Garamond" w:hAnsi="Garamond"/>
                <w:i/>
                <w:sz w:val="20"/>
                <w:szCs w:val="20"/>
              </w:rPr>
              <w:t>Please send ideas or offers of help to the project’s mailing list.</w:t>
            </w:r>
          </w:p>
          <w:p>
            <w:pPr>
              <w:pStyle w:val="Normal"/>
              <w:spacing w:before="0" w:after="120"/>
              <w:rPr>
                <w:rFonts w:ascii="Garamond" w:hAnsi="Garamond"/>
                <w:i/>
                <w:i/>
                <w:sz w:val="20"/>
                <w:szCs w:val="20"/>
              </w:rPr>
            </w:pPr>
            <w:r>
              <w:rPr>
                <w:rFonts w:ascii="Garamond" w:hAnsi="Garamond"/>
                <w:i/>
                <w:sz w:val="20"/>
                <w:szCs w:val="20"/>
              </w:rPr>
              <w:t>3. How were the attackers’ names chosen?</w:t>
            </w:r>
          </w:p>
          <w:p>
            <w:pPr>
              <w:pStyle w:val="Normal"/>
              <w:spacing w:before="0" w:after="120"/>
              <w:rPr>
                <w:rFonts w:ascii="Garamond" w:hAnsi="Garamond"/>
                <w:i/>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pPr>
              <w:pStyle w:val="Normal"/>
              <w:spacing w:before="0" w:after="120"/>
              <w:rPr>
                <w:rFonts w:ascii="Garamond" w:hAnsi="Garamond"/>
                <w:i/>
                <w:i/>
                <w:sz w:val="20"/>
                <w:szCs w:val="20"/>
              </w:rPr>
            </w:pPr>
            <w:r>
              <w:rPr>
                <w:rFonts w:ascii="Garamond" w:hAnsi="Garamond"/>
                <w:i/>
                <w:sz w:val="20"/>
                <w:szCs w:val="20"/>
              </w:rPr>
              <w:t>4. Why aren’t there any images on the card faces?</w:t>
            </w:r>
          </w:p>
          <w:p>
            <w:pPr>
              <w:pStyle w:val="Normal"/>
              <w:spacing w:before="0" w:after="120"/>
              <w:rPr>
                <w:rFonts w:ascii="Garamond" w:hAnsi="Garamond"/>
                <w:i/>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pPr>
              <w:pStyle w:val="Normal"/>
              <w:spacing w:before="0" w:after="120"/>
              <w:rPr>
                <w:rFonts w:ascii="Garamond" w:hAnsi="Garamond"/>
                <w:i/>
                <w:i/>
                <w:sz w:val="20"/>
                <w:szCs w:val="20"/>
              </w:rPr>
            </w:pPr>
            <w:r>
              <w:rPr>
                <w:rFonts w:ascii="Garamond" w:hAnsi="Garamond"/>
                <w:i/>
                <w:sz w:val="20"/>
                <w:szCs w:val="20"/>
              </w:rPr>
              <w:t>5. Are the attacks ranked by the number on the card?</w:t>
            </w:r>
          </w:p>
          <w:p>
            <w:pPr>
              <w:pStyle w:val="Normal"/>
              <w:spacing w:before="0" w:after="120"/>
              <w:rPr>
                <w:rFonts w:ascii="Garamond" w:hAnsi="Garamond"/>
                <w:i/>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pPr>
              <w:pStyle w:val="Normal"/>
              <w:spacing w:before="0" w:after="120"/>
              <w:rPr>
                <w:rFonts w:ascii="Garamond" w:hAnsi="Garamond"/>
                <w:i/>
                <w:i/>
                <w:sz w:val="20"/>
                <w:szCs w:val="20"/>
              </w:rPr>
            </w:pPr>
            <w:r>
              <w:rPr>
                <w:rFonts w:ascii="Garamond" w:hAnsi="Garamond"/>
                <w:i/>
                <w:sz w:val="20"/>
                <w:szCs w:val="20"/>
              </w:rPr>
              <w:t>6. How long does it take to play a round of cards using the full deck?</w:t>
            </w:r>
          </w:p>
          <w:p>
            <w:pPr>
              <w:pStyle w:val="Normal"/>
              <w:spacing w:before="0" w:after="120"/>
              <w:rPr>
                <w:rFonts w:ascii="Garamond" w:hAnsi="Garamond"/>
                <w:i/>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pPr>
              <w:pStyle w:val="Normal"/>
              <w:spacing w:before="0" w:after="120"/>
              <w:rPr>
                <w:rFonts w:ascii="Garamond" w:hAnsi="Garamond"/>
                <w:i/>
                <w:i/>
                <w:sz w:val="20"/>
                <w:szCs w:val="20"/>
              </w:rPr>
            </w:pPr>
            <w:r>
              <w:rPr>
                <w:rFonts w:ascii="Garamond" w:hAnsi="Garamond"/>
                <w:i/>
                <w:sz w:val="20"/>
                <w:szCs w:val="20"/>
              </w:rPr>
              <w:t>7. What sort of people should play the game?</w:t>
            </w:r>
          </w:p>
          <w:p>
            <w:pPr>
              <w:pStyle w:val="Normal"/>
              <w:spacing w:before="0" w:after="120"/>
              <w:rPr>
                <w:rFonts w:ascii="Garamond" w:hAnsi="Garamond"/>
                <w:i/>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pPr>
              <w:pStyle w:val="Normal"/>
              <w:spacing w:before="0" w:after="120"/>
              <w:rPr>
                <w:rFonts w:ascii="Garamond" w:hAnsi="Garamond"/>
                <w:i/>
                <w:i/>
                <w:sz w:val="20"/>
                <w:szCs w:val="20"/>
              </w:rPr>
            </w:pPr>
            <w:r>
              <w:rPr>
                <w:rFonts w:ascii="Garamond" w:hAnsi="Garamond"/>
                <w:i/>
                <w:sz w:val="20"/>
                <w:szCs w:val="20"/>
              </w:rPr>
              <w:t>8. Who should take notes and record scores?</w:t>
            </w:r>
          </w:p>
          <w:p>
            <w:pPr>
              <w:pStyle w:val="Normal"/>
              <w:spacing w:before="0" w:after="120"/>
              <w:rPr>
                <w:rFonts w:ascii="Garamond" w:hAnsi="Garamond"/>
                <w:i/>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sz w:val="20"/>
                <w:szCs w:val="20"/>
              </w:rPr>
            </w:pPr>
            <w:r>
              <w:rPr>
                <w:rFonts w:ascii="Garamond" w:hAnsi="Garamond"/>
                <w:sz w:val="20"/>
                <w:szCs w:val="20"/>
              </w:rPr>
            </w:r>
          </w:p>
        </w:tc>
        <w:tc>
          <w:tcPr>
            <w:tcW w:w="244" w:type="dxa"/>
            <w:gridSpan w:val="2"/>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581" w:type="dxa"/>
            <w:gridSpan w:val="5"/>
            <w:tcBorders>
              <w:top w:val="nil"/>
              <w:left w:val="nil"/>
              <w:bottom w:val="nil"/>
              <w:right w:val="nil"/>
            </w:tcBorders>
          </w:tcPr>
          <w:p>
            <w:pPr>
              <w:pStyle w:val="CHeadTop"/>
              <w:rPr/>
            </w:pPr>
            <w:r>
              <w:rPr/>
              <w:t>PREPAROS</w:t>
            </w:r>
          </w:p>
          <w:p>
            <w:pPr>
              <w:pStyle w:val="CHeadTop"/>
              <w:ind w:left="720" w:hanging="0"/>
              <w:rPr>
                <w:b w:val="false"/>
                <w:b w:val="false"/>
                <w:bCs/>
                <w:sz w:val="20"/>
                <w:szCs w:val="20"/>
              </w:rPr>
            </w:pPr>
            <w:r>
              <w:rPr>
                <w:b w:val="false"/>
                <w:bCs/>
                <w:sz w:val="20"/>
                <w:szCs w:val="20"/>
              </w:rPr>
              <w:t xml:space="preserve">Compre um baralho, ou imprima o seu próprio baralho de cartas Cornucopia (veja a página 2 deste documento                                                                   Identifique uma aplicação ou o processo de uma aplicação para revisar; podendo ser um conceito, um design ou uma implementação </w:t>
              <w:br/>
              <w:t xml:space="preserve">Criar um diagrama de fluxo de dados, user stories, ou outros diagramas para ajudar a revisão                                                                     Identificar e convidar um grupo de 3-6 arquitetos, desenvolvedores, testers e outros stakeholders, juntá-los e se sentar ao redor de uma mesa (tente incluir alguém suficientemente familiar com segurança de aplicações)                                                                                                      Tenha alguns prêmios para entregar (estrelas douradas, pizza, cerveja ou flores dependendo da cultura da sua empresa                                                                                                                                                                                                            </w:t>
            </w:r>
          </w:p>
          <w:p>
            <w:pPr>
              <w:pStyle w:val="CHeadMiddle"/>
              <w:rPr/>
            </w:pPr>
            <w:r>
              <w:rPr/>
              <w:t>JOGO</w:t>
            </w:r>
          </w:p>
          <w:p>
            <w:pPr>
              <w:pStyle w:val="Normal"/>
              <w:spacing w:before="0"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pPr>
              <w:pStyle w:val="Normal"/>
              <w:spacing w:before="0" w:after="120"/>
              <w:ind w:left="720" w:hanging="0"/>
              <w:rPr>
                <w:rFonts w:ascii="Garamond" w:hAnsi="Garamond"/>
                <w:sz w:val="20"/>
                <w:szCs w:val="20"/>
              </w:rPr>
            </w:pPr>
            <w:r>
              <w:rPr>
                <w:rFonts w:ascii="Garamond" w:hAnsi="Garamond"/>
                <w:sz w:val="20"/>
                <w:szCs w:val="20"/>
              </w:rPr>
              <w:t xml:space="preserve">Retire os coringas e algumas cartas de pontuação baixa (2, 3, 4) do naipe Cornucopia para garantir que cada jogador tenha o mesmo número de cartas.                                                                      Embaralhe o baralho e dê as cartas                                                                  Para começar, escolha aleatoriamente quem irá jogar a primeira carta – pode-se jogar qualquer carta da sua mão com exceção do naipe mais forte – Cornucopia                                                                       Para jogar uma carta, cada jogar deve lê-la em voz alta, e explicar (veja as dicas do Wiki Deck na internet) como a ameaça pode ser aplicada (o jogador ganha um ponto por ataques que podem funcionar o qual o grupo acha que é um possível bug)                                                                     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br/>
              <w:t xml:space="preserve">O jogador que ganhar a rodada, começa a próxima mão, decidindo assim o próximo naipe                                                                                                      Repita o modo de jogo até que todas as cartas tenham sido jogadas                </w:t>
            </w:r>
          </w:p>
          <w:p>
            <w:pPr>
              <w:pStyle w:val="CHeadMiddle"/>
              <w:rPr/>
            </w:pPr>
            <w:r>
              <w:rPr/>
              <w:t>C - Scoring</w:t>
            </w:r>
          </w:p>
          <w:p>
            <w:pPr>
              <w:pStyle w:val="Normal"/>
              <w:spacing w:before="0" w:after="120"/>
              <w:rPr>
                <w:rFonts w:ascii="Garamond" w:hAnsi="Garamond"/>
                <w:sz w:val="20"/>
                <w:szCs w:val="20"/>
              </w:rPr>
            </w:pPr>
            <w:r>
              <w:rPr>
                <w:rFonts w:ascii="Garamond" w:hAnsi="Garamond"/>
                <w:sz w:val="20"/>
                <w:szCs w:val="20"/>
              </w:rPr>
              <w:t>The objective is to identify applicable threats, and win hands (rounds):</w:t>
            </w:r>
          </w:p>
          <w:p>
            <w:pPr>
              <w:pStyle w:val="Normal"/>
              <w:spacing w:before="0" w:after="120"/>
              <w:ind w:left="720" w:hanging="0"/>
              <w:rPr>
                <w:rFonts w:ascii="Garamond" w:hAnsi="Garamond"/>
                <w:sz w:val="20"/>
                <w:szCs w:val="20"/>
              </w:rPr>
            </w:pPr>
            <w:r>
              <w:rPr>
                <w:rFonts w:ascii="Garamond" w:hAnsi="Garamond"/>
                <w:sz w:val="20"/>
                <w:szCs w:val="20"/>
              </w:rPr>
              <w:t xml:space="preserve">C1. Score +1 for each card you can identify as a valid threat to the application under consideration   </w:t>
              <w:br/>
              <w:t xml:space="preserve">C2. Score +1 if you win a round                                                                                                      C3. Once all cards have been played, whoever has the most points wins                                                          </w:t>
            </w:r>
          </w:p>
          <w:p>
            <w:pPr>
              <w:pStyle w:val="CHeadMiddle"/>
              <w:rPr/>
            </w:pPr>
            <w:r>
              <w:rPr/>
              <w:t>D - Closure</w:t>
            </w:r>
          </w:p>
          <w:p>
            <w:pPr>
              <w:pStyle w:val="Normal"/>
              <w:spacing w:before="0" w:after="120"/>
              <w:ind w:left="720" w:hanging="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pPr>
              <w:pStyle w:val="CHeadTop"/>
              <w:rPr/>
            </w:pPr>
            <w:r>
              <w:rPr/>
            </w:r>
          </w:p>
          <w:p>
            <w:pPr>
              <w:pStyle w:val="CHeadTop"/>
              <w:rPr/>
            </w:pPr>
            <w:r>
              <w:rPr/>
              <w:t>Internal coding standards and libraries</w:t>
            </w:r>
          </w:p>
          <w:p>
            <w:pPr>
              <w:pStyle w:val="Normal"/>
              <w:spacing w:before="0"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Data validation and encoding</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Authentication</w:t>
                  </w:r>
                </w:p>
                <w:p>
                  <w:pPr>
                    <w:pStyle w:val="Normal"/>
                    <w:rPr>
                      <w:rFonts w:ascii="Garamond" w:hAnsi="Garamond"/>
                      <w:i/>
                      <w:i/>
                      <w:sz w:val="20"/>
                      <w:szCs w:val="20"/>
                    </w:rPr>
                  </w:pPr>
                  <w:r>
                    <w:rPr>
                      <w:rFonts w:ascii="Garamond" w:hAnsi="Garamond"/>
                      <w:i/>
                      <w:sz w:val="20"/>
                      <w:szCs w:val="20"/>
                    </w:rPr>
                    <w:t>[your list]</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Session management</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Authorization</w:t>
                  </w:r>
                </w:p>
                <w:p>
                  <w:pPr>
                    <w:pStyle w:val="Normal"/>
                    <w:rPr>
                      <w:rFonts w:ascii="Garamond" w:hAnsi="Garamond"/>
                      <w:i/>
                      <w:i/>
                      <w:sz w:val="20"/>
                      <w:szCs w:val="20"/>
                    </w:rPr>
                  </w:pPr>
                  <w:r>
                    <w:rPr>
                      <w:rFonts w:ascii="Garamond" w:hAnsi="Garamond"/>
                      <w:i/>
                      <w:sz w:val="20"/>
                      <w:szCs w:val="20"/>
                    </w:rPr>
                    <w:t>[your list]</w:t>
                  </w:r>
                </w:p>
              </w:tc>
              <w:tc>
                <w:tcPr>
                  <w:tcW w:w="2167" w:type="dxa"/>
                  <w:tcBorders>
                    <w:left w:val="nil"/>
                  </w:tcBorders>
                </w:tcPr>
                <w:p>
                  <w:pPr>
                    <w:pStyle w:val="Normal"/>
                    <w:rPr>
                      <w:rFonts w:ascii="Garamond" w:hAnsi="Garamond"/>
                      <w:sz w:val="20"/>
                      <w:szCs w:val="20"/>
                    </w:rPr>
                  </w:pPr>
                  <w:r>
                    <w:rPr>
                      <w:rFonts w:ascii="Garamond" w:hAnsi="Garamond"/>
                      <w:sz w:val="20"/>
                      <w:szCs w:val="20"/>
                    </w:rPr>
                    <w:t>Cryptography</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[your list]</w:t>
                  </w:r>
                </w:p>
              </w:tc>
            </w:tr>
          </w:tbl>
          <w:p>
            <w:pPr>
              <w:pStyle w:val="CHeadMiddle"/>
              <w:rPr/>
            </w:pPr>
            <w:r>
              <w:rPr/>
              <w:t>Compliance requirement decks</w:t>
            </w:r>
          </w:p>
          <w:p>
            <w:pPr>
              <w:pStyle w:val="Normal"/>
              <w:spacing w:before="0"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Data validation and encoding</w:t>
                  </w:r>
                </w:p>
                <w:p>
                  <w:pPr>
                    <w:pStyle w:val="Normal"/>
                    <w:rPr>
                      <w:rFonts w:ascii="Garamond" w:hAnsi="Garamond"/>
                      <w:i/>
                      <w:i/>
                      <w:sz w:val="20"/>
                      <w:szCs w:val="20"/>
                    </w:rPr>
                  </w:pPr>
                  <w:r>
                    <w:rPr>
                      <w:rFonts w:ascii="Garamond" w:hAnsi="Garamond"/>
                      <w:i/>
                      <w:sz w:val="20"/>
                      <w:szCs w:val="20"/>
                    </w:rPr>
                    <w:t>[compliance list]</w:t>
                  </w:r>
                </w:p>
                <w:p>
                  <w:pPr>
                    <w:pStyle w:val="Normal"/>
                    <w:rPr>
                      <w:rFonts w:ascii="Garamond" w:hAnsi="Garamond"/>
                      <w:sz w:val="20"/>
                      <w:szCs w:val="20"/>
                    </w:rPr>
                  </w:pPr>
                  <w:r>
                    <w:rPr>
                      <w:rFonts w:ascii="Garamond" w:hAnsi="Garamond"/>
                      <w:sz w:val="20"/>
                      <w:szCs w:val="20"/>
                    </w:rPr>
                    <w:t>Authentication</w:t>
                  </w:r>
                </w:p>
                <w:p>
                  <w:pPr>
                    <w:pStyle w:val="Normal"/>
                    <w:rPr>
                      <w:rFonts w:ascii="Garamond" w:hAnsi="Garamond"/>
                      <w:i/>
                      <w:i/>
                      <w:sz w:val="20"/>
                      <w:szCs w:val="20"/>
                    </w:rPr>
                  </w:pPr>
                  <w:r>
                    <w:rPr>
                      <w:rFonts w:ascii="Garamond" w:hAnsi="Garamond"/>
                      <w:i/>
                      <w:sz w:val="20"/>
                      <w:szCs w:val="20"/>
                    </w:rPr>
                    <w:t>[compliance list]</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Session management</w:t>
                  </w:r>
                </w:p>
                <w:p>
                  <w:pPr>
                    <w:pStyle w:val="Normal"/>
                    <w:rPr>
                      <w:rFonts w:ascii="Garamond" w:hAnsi="Garamond"/>
                      <w:i/>
                      <w:i/>
                      <w:sz w:val="20"/>
                      <w:szCs w:val="20"/>
                    </w:rPr>
                  </w:pPr>
                  <w:r>
                    <w:rPr>
                      <w:rFonts w:ascii="Garamond" w:hAnsi="Garamond"/>
                      <w:i/>
                      <w:sz w:val="20"/>
                      <w:szCs w:val="20"/>
                    </w:rPr>
                    <w:t>[compliance list]</w:t>
                  </w:r>
                </w:p>
                <w:p>
                  <w:pPr>
                    <w:pStyle w:val="Normal"/>
                    <w:rPr>
                      <w:rFonts w:ascii="Garamond" w:hAnsi="Garamond"/>
                      <w:sz w:val="20"/>
                      <w:szCs w:val="20"/>
                    </w:rPr>
                  </w:pPr>
                  <w:r>
                    <w:rPr>
                      <w:rFonts w:ascii="Garamond" w:hAnsi="Garamond"/>
                      <w:sz w:val="20"/>
                      <w:szCs w:val="20"/>
                    </w:rPr>
                    <w:t>Authorization</w:t>
                  </w:r>
                </w:p>
                <w:p>
                  <w:pPr>
                    <w:pStyle w:val="Normal"/>
                    <w:rPr>
                      <w:rFonts w:ascii="Garamond" w:hAnsi="Garamond"/>
                      <w:i/>
                      <w:i/>
                      <w:sz w:val="20"/>
                      <w:szCs w:val="20"/>
                    </w:rPr>
                  </w:pPr>
                  <w:r>
                    <w:rPr>
                      <w:rFonts w:ascii="Garamond" w:hAnsi="Garamond"/>
                      <w:i/>
                      <w:sz w:val="20"/>
                      <w:szCs w:val="20"/>
                    </w:rPr>
                    <w:t>[compliance list]</w:t>
                  </w:r>
                </w:p>
              </w:tc>
              <w:tc>
                <w:tcPr>
                  <w:tcW w:w="2167" w:type="dxa"/>
                  <w:tcBorders>
                    <w:left w:val="nil"/>
                  </w:tcBorders>
                </w:tcPr>
                <w:p>
                  <w:pPr>
                    <w:pStyle w:val="Normal"/>
                    <w:rPr>
                      <w:rFonts w:ascii="Garamond" w:hAnsi="Garamond"/>
                      <w:sz w:val="20"/>
                      <w:szCs w:val="20"/>
                    </w:rPr>
                  </w:pPr>
                  <w:r>
                    <w:rPr>
                      <w:rFonts w:ascii="Garamond" w:hAnsi="Garamond"/>
                      <w:sz w:val="20"/>
                      <w:szCs w:val="20"/>
                    </w:rPr>
                    <w:t>Cryptography</w:t>
                  </w:r>
                </w:p>
                <w:p>
                  <w:pPr>
                    <w:pStyle w:val="Normal"/>
                    <w:rPr>
                      <w:rFonts w:ascii="Garamond" w:hAnsi="Garamond"/>
                      <w:i/>
                      <w:i/>
                      <w:sz w:val="20"/>
                      <w:szCs w:val="20"/>
                    </w:rPr>
                  </w:pPr>
                  <w:r>
                    <w:rPr>
                      <w:rFonts w:ascii="Garamond" w:hAnsi="Garamond"/>
                      <w:i/>
                      <w:sz w:val="20"/>
                      <w:szCs w:val="20"/>
                    </w:rPr>
                    <w:t>[compliance list]</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[compliance list]</w:t>
                  </w:r>
                </w:p>
              </w:tc>
            </w:tr>
          </w:tbl>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t>9. Should we always use the full deck of cards?</w:t>
            </w:r>
          </w:p>
          <w:p>
            <w:pPr>
              <w:pStyle w:val="Normal"/>
              <w:spacing w:before="0" w:after="120"/>
              <w:rPr>
                <w:rFonts w:ascii="Garamond" w:hAnsi="Garamond"/>
                <w:i/>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pPr>
              <w:pStyle w:val="Normal"/>
              <w:spacing w:before="0" w:after="120"/>
              <w:rPr>
                <w:rFonts w:ascii="Garamond" w:hAnsi="Garamond"/>
                <w:i/>
                <w:i/>
                <w:sz w:val="20"/>
                <w:szCs w:val="20"/>
              </w:rPr>
            </w:pPr>
            <w:r>
              <w:rPr>
                <w:rFonts w:ascii="Garamond" w:hAnsi="Garamond"/>
                <w:i/>
                <w:sz w:val="20"/>
                <w:szCs w:val="20"/>
              </w:rPr>
              <w:t>10. What should players do when they have an Ace card that says “invented a new X attack”?</w:t>
            </w:r>
          </w:p>
          <w:p>
            <w:pPr>
              <w:pStyle w:val="Normal"/>
              <w:spacing w:before="0" w:after="120"/>
              <w:rPr>
                <w:rFonts w:ascii="Garamond" w:hAnsi="Garamond"/>
                <w:i/>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pPr>
              <w:pStyle w:val="Normal"/>
              <w:spacing w:before="0" w:after="120"/>
              <w:rPr>
                <w:rFonts w:ascii="Garamond" w:hAnsi="Garamond"/>
                <w:i/>
                <w:i/>
                <w:sz w:val="20"/>
                <w:szCs w:val="20"/>
              </w:rPr>
            </w:pPr>
            <w:r>
              <w:rPr>
                <w:rFonts w:ascii="Garamond" w:hAnsi="Garamond"/>
                <w:i/>
                <w:sz w:val="20"/>
                <w:szCs w:val="20"/>
              </w:rPr>
              <w:t>11. I don’t understand what the attack means on each card - is there more detailed information?</w:t>
            </w:r>
          </w:p>
          <w:p>
            <w:pPr>
              <w:pStyle w:val="Normal"/>
              <w:spacing w:before="0" w:after="120"/>
              <w:rPr>
                <w:rFonts w:ascii="Garamond" w:hAnsi="Garamond"/>
                <w:i/>
                <w:i/>
                <w:sz w:val="20"/>
                <w:szCs w:val="20"/>
              </w:rPr>
            </w:pPr>
            <w:r>
              <w:rPr>
                <w:rFonts w:ascii="Garamond" w:hAnsi="Garamond"/>
                <w:i/>
                <w:sz w:val="20"/>
                <w:szCs w:val="20"/>
              </w:rPr>
              <w:t>Yes, the online Wiki Deck at was created to help players understand the attacks.  See</w:t>
            </w:r>
          </w:p>
          <w:p>
            <w:pPr>
              <w:pStyle w:val="Normal"/>
              <w:spacing w:before="0" w:after="120"/>
              <w:rPr>
                <w:rFonts w:ascii="Garamond" w:hAnsi="Garamond"/>
                <w:spacing w:val="-7"/>
                <w:sz w:val="20"/>
                <w:szCs w:val="20"/>
              </w:rPr>
            </w:pPr>
            <w:hyperlink r:id="rId14">
              <w:r>
                <w:rPr>
                  <w:rStyle w:val="InternetLink"/>
                  <w:rFonts w:ascii="Garamond" w:hAnsi="Garamond"/>
                  <w:spacing w:val="-7"/>
                  <w:sz w:val="20"/>
                  <w:szCs w:val="20"/>
                </w:rPr>
                <w:t>https://www.owasp.org/index.php/Cornucopia_-_Ecommerce_Website_Edition_-_Wiki_Deck</w:t>
              </w:r>
            </w:hyperlink>
          </w:p>
          <w:p>
            <w:pPr>
              <w:pStyle w:val="Normal"/>
              <w:spacing w:before="0" w:after="120"/>
              <w:rPr>
                <w:rFonts w:ascii="Garamond" w:hAnsi="Garamond"/>
                <w:i/>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pPr>
              <w:pStyle w:val="Normal"/>
              <w:spacing w:before="0" w:after="120"/>
              <w:rPr>
                <w:rFonts w:ascii="Garamond" w:hAnsi="Garamond"/>
                <w:sz w:val="20"/>
                <w:szCs w:val="20"/>
              </w:rPr>
            </w:pPr>
            <w:r>
              <w:fldChar w:fldCharType="begin"/>
            </w:r>
            <w:r>
              <w:rPr>
                <w:rStyle w:val="InternetLink"/>
                <w:sz w:val="20"/>
                <w:spacing w:val="-4"/>
                <w:szCs w:val="20"/>
                <w:rFonts w:ascii="Garamond" w:hAnsi="Garamond"/>
              </w:rPr>
              <w:instrText> HYPERLINK "https://www.owasp.org/index.php/OWASP_Cornucopia" \l "tab=FAQs"</w:instrText>
            </w:r>
            <w:r>
              <w:rPr>
                <w:rStyle w:val="InternetLink"/>
                <w:sz w:val="20"/>
                <w:spacing w:val="-4"/>
                <w:szCs w:val="20"/>
                <w:rFonts w:ascii="Garamond" w:hAnsi="Garamond"/>
              </w:rPr>
              <w:fldChar w:fldCharType="separate"/>
            </w:r>
            <w:r>
              <w:rPr>
                <w:rStyle w:val="InternetLink"/>
                <w:rFonts w:ascii="Garamond" w:hAnsi="Garamond"/>
                <w:spacing w:val="-4"/>
                <w:sz w:val="20"/>
                <w:szCs w:val="20"/>
              </w:rPr>
              <w:t>https://www.owasp.org/index.php/OWASP_Cornucopia - tab=FAQs</w:t>
            </w:r>
            <w:r>
              <w:rPr>
                <w:rStyle w:val="InternetLink"/>
                <w:sz w:val="20"/>
                <w:spacing w:val="-4"/>
                <w:szCs w:val="20"/>
                <w:rFonts w:ascii="Garamond" w:hAnsi="Garamond"/>
              </w:rPr>
              <w:fldChar w:fldCharType="end"/>
            </w:r>
          </w:p>
          <w:p>
            <w:pPr>
              <w:pStyle w:val="Normal"/>
              <w:spacing w:before="0" w:after="120"/>
              <w:rPr>
                <w:rFonts w:ascii="Garamond" w:hAnsi="Garamond" w:eastAsia="ＭＳ ゴシック" w:cs="" w:cstheme="majorBidi" w:eastAsiaTheme="majorEastAsia"/>
                <w:b/>
                <w:b/>
                <w:bCs/>
                <w:i/>
                <w:i/>
                <w:iCs/>
                <w:color w:val="404040" w:themeColor="text1" w:themeTint="bf"/>
                <w:sz w:val="20"/>
                <w:szCs w:val="20"/>
              </w:rPr>
            </w:pPr>
            <w:r>
              <w:rPr>
                <w:rFonts w:eastAsia="ＭＳ ゴシック" w:cs="" w:cstheme="majorBidi" w:eastAsiaTheme="majorEastAsia" w:ascii="Garamond" w:hAnsi="Garamond"/>
                <w:b/>
                <w:bCs/>
                <w:i/>
                <w:iCs/>
                <w:color w:val="404040" w:themeColor="text1" w:themeTint="bf"/>
                <w:sz w:val="20"/>
                <w:szCs w:val="20"/>
              </w:rPr>
            </w:r>
          </w:p>
        </w:tc>
      </w:tr>
      <w:tr>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pPr>
              <w:pStyle w:val="Normal"/>
              <w:rPr>
                <w:rFonts w:ascii="Garamond" w:hAnsi="Garamond"/>
                <w:sz w:val="20"/>
                <w:szCs w:val="20"/>
              </w:rPr>
            </w:pPr>
            <w:r>
              <w:rPr>
                <w:rFonts w:ascii="Garamond" w:hAnsi="Garamond"/>
                <w:sz w:val="20"/>
                <w:szCs w:val="20"/>
              </w:rPr>
            </w:r>
          </w:p>
        </w:tc>
        <w:tc>
          <w:tcPr>
            <w:tcW w:w="792" w:type="dxa"/>
            <w:tcBorders>
              <w:top w:val="single" w:sz="4" w:space="0" w:color="000000"/>
              <w:left w:val="single" w:sz="4" w:space="0" w:color="000000"/>
              <w:bottom w:val="single" w:sz="4" w:space="0" w:color="000000"/>
              <w:right w:val="single" w:sz="4" w:space="0" w:color="000000"/>
            </w:tcBorders>
            <w:shd w:color="auto" w:fill="929292" w:val="clear"/>
            <w:tcMar>
              <w:left w:w="0" w:type="dxa"/>
              <w:right w:w="0" w:type="dxa"/>
            </w:tcM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51"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gridSpan w:val="2"/>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4" w:type="dxa"/>
            <w:gridSpan w:val="2"/>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0"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8"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7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BFBFBF" w:themeColor="background1" w:themeShade="bf"/>
                <w:sz w:val="48"/>
                <w:szCs w:val="48"/>
              </w:rPr>
            </w:pPr>
            <w:r>
              <w:rPr>
                <w:rFonts w:ascii="Garamond" w:hAnsi="Garamond"/>
                <w:b/>
                <w:color w:val="BFBFBF" w:themeColor="background1" w:themeShade="bf"/>
                <w:sz w:val="48"/>
                <w:szCs w:val="48"/>
              </w:rPr>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Você inventou um novo ataque contra a Validação de Dados de Entrada e Codificação de Dados de Saída</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color w:val="404040" w:themeColor="text1" w:themeTint="bf"/>
                <w:sz w:val="16"/>
                <w:szCs w:val="16"/>
              </w:rPr>
            </w:pPr>
            <w:r>
              <w:rPr>
                <w:rFonts w:ascii="Garamond" w:hAnsi="Garamond"/>
                <w:color w:val="404040" w:themeColor="text1" w:themeTint="bf"/>
                <w:sz w:val="16"/>
                <w:szCs w:val="16"/>
              </w:rPr>
              <w:t>(Nenhum Cartão)</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041"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1.10, 4.5, 8.1, 11.5, 19.1, 19.5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54, 541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5.1, 5.16, 5.17, 5.18, 5.19, 5.20, 11.1, 11.2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155"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4.16, 5.16, 5.17, 15.1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1.7, 5.15, 5.21, 5.22, 5.23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1.7, 5.6, 5.19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5.6, 11.8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FBFBF"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color="auto" w:fill="929292" w:val="clear"/>
            <w:tcMar>
              <w:right w:w="113" w:type="dxa"/>
            </w:tcMar>
            <w:textDirection w:val="tbRl"/>
          </w:tcPr>
          <w:p>
            <w:pPr>
              <w:pStyle w:val="Normal"/>
              <w:ind w:left="113" w:right="113" w:hanging="0"/>
              <w:jc w:val="both"/>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851"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850"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849"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15, 169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1.7, 5.21, 5.23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5.19, 10.6, 16.2, 16.3, 16.4, 16.5, 16.8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1, 17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5.5, 5.18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trPr/>
              <w:tc>
                <w:tcPr>
                  <w:tcW w:w="2410" w:type="dxa"/>
                  <w:tcBorders>
                    <w:top w:val="nil"/>
                    <w:left w:val="nil"/>
                    <w:bottom w:val="single" w:sz="4" w:space="0" w:color="7F7F7F"/>
                    <w:right w:val="nil"/>
                  </w:tcBorders>
                  <w:shd w:color="auto" w:fill="BFBFBF" w:val="clear"/>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5.15, 5.22, 5.23, 5.24, 5.25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5.10, 5.11, 5.12, 5.13, 5.14, 5.16, 5.21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19-20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95B3D7" w:themeColor="accent1"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Você inventou um novo ataque contra a Autenticação e Gerenciamento de Credenciais</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47, 52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2.12, 8.4, 8.10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2.2, 2.17, 2.24, 8.7, 9.1, 9.4, 9.5, 9.9, 9.11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Sebastien pode identificar facilmente nomes de usuários ou consegue elencar quem eles são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2.18, 2.28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383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595959" w:themeColor="text1" w:themeTint="a6"/>
                      <w:sz w:val="12"/>
                      <w:szCs w:val="12"/>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2.7, 2.20, 2.23, 2.25, 2.27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8CCE4"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55-56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2.1, 2.9, 2.26, 2.31, 4.15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1.7, 2.30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Olga consegue influenciar ou alterar o código ou a rotina de autenticação e com isto ignorar a autenticação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b/>
                <w:b/>
                <w:sz w:val="20"/>
                <w:szCs w:val="20"/>
              </w:rPr>
            </w:pPr>
            <w:r>
              <w:rPr>
                <w:rFonts w:ascii="Garamond" w:hAnsi="Garamond"/>
                <w:b/>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C2D69B" w:themeColor="accent3" w:themeTint="99"/>
                <w:sz w:val="48"/>
                <w:szCs w:val="48"/>
              </w:rPr>
            </w:pPr>
            <w:r>
              <w:rPr>
                <w:rFonts w:ascii="Garamond" w:hAnsi="Garamond"/>
                <w:b/>
                <w:color w:val="C2D69B" w:themeColor="accent3" w:themeTint="99"/>
                <w:sz w:val="48"/>
                <w:szCs w:val="48"/>
              </w:rPr>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Você inventou um novo ataque contra o Gerenciamento de Sessões</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William tem o controle sobre a geração de identificadores de sessão</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Ryan consegue usar uma única conta em paralelo, pois as sessões simultâneas são permitidas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58-59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59, 61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3.2, 3.7, 3.11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64-65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3.3, 3.4, 3.16, 3.17, 3.18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62-63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6E3BC"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3.6, 8.7, 10.3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27"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73-74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62, 111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58, 60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E0DE92"/>
                <w:sz w:val="48"/>
                <w:szCs w:val="48"/>
              </w:rPr>
            </w:pPr>
            <w:r>
              <w:rPr>
                <w:rFonts w:ascii="Garamond" w:hAnsi="Garamond"/>
                <w:b/>
                <w:color w:val="E0DE92"/>
                <w:sz w:val="48"/>
                <w:szCs w:val="48"/>
              </w:rPr>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Você inventou um novo ataque contra Controle de Acessos</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4.1, 4.16, 16.1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8.2, 9.1-9.6, 9.11, 16.6-16.7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69, 213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79-80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4.1, 4.4, 4.9, 19.3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E8E697"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4.10, 4.15, 4.16, 8.13, 15.1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10-12</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1.7, 4.11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Christopher consegue injetar um comando que a aplicação vai executar no mais alto nível de privilégio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Ryan consegue influenciar ou alterar controles de acesso e permissões e consegue ignora-los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4.9, 4.10, 13.2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7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Você inventou um novo ataque contra Práticas de Criptografia</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8.11, 11.7, 13.2, 19.5, 19.6, 19.7, 19.8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01" w:leader="none"/>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7.12, 9.2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185-187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7.2, 10.3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2.16, 9.2, 9.11, 10.3, 19.2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10.1, 10.5, 10.10, 10.11, 10.12, 10.13, 10.14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31, 216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3CBDE"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2.13, 7.7, 7.8, 9.2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7.6, 7.7, 7.8, 7.15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Randolph consegue acessar ou prever os dados mestres de criptografia</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35, 102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7.8, 7.9, 7.11, 7.13, 7.14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31, 101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Você inventou um novo ataque de qualquer tipo</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(Nenhum Cartão)</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Keith consegue realizar uma ação e isto não é atribuído a ele</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8.2, 8.4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16"/>
                <w:szCs w:val="16"/>
              </w:rPr>
            </w:pPr>
            <w:r>
              <w:rPr>
                <w:rFonts w:ascii="Garamond" w:hAnsi="Garamond"/>
                <w:sz w:val="16"/>
                <w:szCs w:val="16"/>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C6D9F1" w:themeFill="text2" w:themeFillTint="33"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19.5, 19.9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Joker</w:t>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Joker</w:t>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Jim pode realizar ações mal-intencionadas, não normais, sem detecção e resposta em tempo real pela aplicação</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Gareth pode utilizar o aplicativo para negar o serviço a alguns ou a todos os usuários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Alice consegue utilizar a aplicação para realizar ataques a dados e usuários do sistema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4.14, 9.8, 15.1, 15.2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(All)</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
        </w:tc>
      </w:tr>
    </w:tbl>
    <w:p>
      <w:pPr>
        <w:pStyle w:val="Normal"/>
        <w:rPr>
          <w:rFonts w:ascii="Garamond" w:hAnsi="Garamond"/>
          <w:sz w:val="20"/>
          <w:szCs w:val="20"/>
        </w:rPr>
      </w:pPr>
      <w:r>
        <w:rPr>
          <w:rFonts w:ascii="Garamond" w:hAnsi="Garamond"/>
          <w:sz w:val="20"/>
          <w:szCs w:val="20"/>
        </w:rPr>
      </w:r>
      <w:r>
        <w:br w:type="page"/>
      </w:r>
    </w:p>
    <w:tbl>
      <w:tblPr>
        <w:tblStyle w:val="TableGrid"/>
        <w:tblW w:w="14889" w:type="dxa"/>
        <w:jc w:val="left"/>
        <w:tblInd w:w="0" w:type="dxa"/>
        <w:tblCellMar>
          <w:top w:w="0" w:type="dxa"/>
          <w:left w:w="0" w:type="dxa"/>
          <w:bottom w:w="57" w:type="dxa"/>
          <w:right w:w="57" w:type="dxa"/>
        </w:tblCellMar>
        <w:tblLook w:val="04a0" w:noHBand="0" w:noVBand="1" w:firstColumn="1" w:lastRow="0" w:lastColumn="0" w:firstRow="1"/>
      </w:tblPr>
      <w:tblGrid>
        <w:gridCol w:w="856"/>
        <w:gridCol w:w="3061"/>
        <w:gridCol w:w="341"/>
        <w:gridCol w:w="3061"/>
        <w:gridCol w:w="341"/>
        <w:gridCol w:w="3063"/>
        <w:gridCol w:w="339"/>
        <w:gridCol w:w="3063"/>
        <w:gridCol w:w="762"/>
      </w:tblGrid>
      <w:tr>
        <w:trPr>
          <w:trHeight w:val="340" w:hRule="atLeast"/>
        </w:trPr>
        <w:tc>
          <w:tcPr>
            <w:tcW w:w="856" w:type="dxa"/>
            <w:tcBorders>
              <w:top w:val="nil"/>
              <w:left w:val="nil"/>
              <w:bottom w:val="dashed" w:sz="4" w:space="0" w:color="000000"/>
              <w:right w:val="dashed" w:sz="4" w:space="0" w:color="000000"/>
            </w:tcBorders>
            <w:shd w:color="auto" w:fill="auto" w:val="clear"/>
            <w:vAlign w:val="bottom"/>
          </w:tcPr>
          <w:p>
            <w:pPr>
              <w:pStyle w:val="Normal"/>
              <w:pageBreakBefore/>
              <w:jc w:val="right"/>
              <w:rPr>
                <w:rFonts w:ascii="Garamond" w:hAnsi="Garamond"/>
                <w:sz w:val="16"/>
                <w:szCs w:val="16"/>
              </w:rPr>
            </w:pPr>
            <w:r>
              <w:rPr>
                <w:rFonts w:ascii="Garamond" w:hAnsi="Garamond"/>
                <w:sz w:val="16"/>
                <w:szCs w:val="16"/>
              </w:rPr>
              <w:t>Cut here</w:t>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0"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39"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762" w:type="dxa"/>
            <w:tcBorders>
              <w:top w:val="nil"/>
              <w:left w:val="dashed" w:sz="4" w:space="0" w:color="000000"/>
              <w:bottom w:val="dashed" w:sz="4" w:space="0" w:color="000000"/>
              <w:right w:val="nil"/>
            </w:tcBorders>
            <w:tcMar>
              <w:bottom w:w="0" w:type="dxa"/>
              <w:right w:w="5" w:type="dxa"/>
            </w:tcMar>
          </w:tcPr>
          <w:p>
            <w:pPr>
              <w:pStyle w:val="Normal"/>
              <w:rPr>
                <w:rFonts w:ascii="Garamond" w:hAnsi="Garamond"/>
                <w:sz w:val="20"/>
                <w:szCs w:val="20"/>
              </w:rPr>
            </w:pPr>
            <w:r>
              <w:rPr>
                <w:rFonts w:ascii="Garamond" w:hAnsi="Garamond"/>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nil"/>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nil"/>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drawing>
          <wp:inline distT="0" distB="0" distL="0" distR="0">
            <wp:extent cx="9612630" cy="68389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5"/>
                    <a:stretch>
                      <a:fillRect/>
                    </a:stretch>
                  </pic:blipFill>
                  <pic:spPr bwMode="auto">
                    <a:xfrm>
                      <a:off x="0" y="0"/>
                      <a:ext cx="9612630" cy="6838950"/>
                    </a:xfrm>
                    <a:prstGeom prst="rect">
                      <a:avLst/>
                    </a:prstGeom>
                  </pic:spPr>
                </pic:pic>
              </a:graphicData>
            </a:graphic>
          </wp:inline>
        </w:drawing>
      </w:r>
    </w:p>
    <w:p>
      <w:pPr>
        <w:pStyle w:val="Normal"/>
        <w:rPr>
          <w:rFonts w:ascii="Garamond" w:hAnsi="Garamond"/>
          <w:sz w:val="20"/>
          <w:szCs w:val="20"/>
        </w:rPr>
      </w:pPr>
      <w:r>
        <w:rPr>
          <w:rFonts w:ascii="Garamond" w:hAnsi="Garamond"/>
          <w:sz w:val="20"/>
          <w:szCs w:val="20"/>
        </w:rPr>
      </w:r>
    </w:p>
    <w:p>
      <w:pPr>
        <w:pStyle w:val="CHeadTop"/>
        <w:rPr/>
      </w:pPr>
      <w:r>
        <w:rPr/>
        <w:t>Change Log</w:t>
      </w:r>
    </w:p>
    <w:tbl>
      <w:tblPr>
        <w:tblStyle w:val="TableGrid"/>
        <w:tblW w:w="14940" w:type="dxa"/>
        <w:jc w:val="left"/>
        <w:tblInd w:w="-51" w:type="dxa"/>
        <w:tblCellMar>
          <w:top w:w="0" w:type="dxa"/>
          <w:left w:w="57" w:type="dxa"/>
          <w:bottom w:w="0" w:type="dxa"/>
          <w:right w:w="57" w:type="dxa"/>
        </w:tblCellMar>
        <w:tblLook w:val="04a0" w:noHBand="0" w:noVBand="1" w:firstColumn="1" w:lastRow="0" w:lastColumn="0" w:firstRow="1"/>
      </w:tblPr>
      <w:tblGrid>
        <w:gridCol w:w="1900"/>
        <w:gridCol w:w="2552"/>
        <w:gridCol w:w="10488"/>
      </w:tblGrid>
      <w:tr>
        <w:trPr>
          <w:tblHeader w:val="true"/>
        </w:trPr>
        <w:tc>
          <w:tcPr>
            <w:tcW w:w="4452" w:type="dxa"/>
            <w:gridSpan w:val="2"/>
            <w:tcBorders/>
            <w:shd w:color="auto" w:fill="17365D" w:themeFill="text2" w:themeFillShade="bf" w:val="clear"/>
          </w:tcPr>
          <w:p>
            <w:pPr>
              <w:pStyle w:val="Normal"/>
              <w:rPr>
                <w:rFonts w:ascii="Garamond" w:hAnsi="Garamond"/>
                <w:sz w:val="20"/>
                <w:szCs w:val="20"/>
              </w:rPr>
            </w:pPr>
            <w:r>
              <w:rPr>
                <w:rFonts w:ascii="Garamond" w:hAnsi="Garamond"/>
                <w:sz w:val="20"/>
                <w:szCs w:val="20"/>
              </w:rPr>
              <w:t>Version / Date</w:t>
            </w:r>
          </w:p>
        </w:tc>
        <w:tc>
          <w:tcPr>
            <w:tcW w:w="10488" w:type="dxa"/>
            <w:tcBorders/>
            <w:shd w:color="auto" w:fill="17365D" w:themeFill="text2" w:themeFillShade="bf" w:val="clear"/>
          </w:tcPr>
          <w:p>
            <w:pPr>
              <w:pStyle w:val="Normal"/>
              <w:rPr>
                <w:rFonts w:ascii="Garamond" w:hAnsi="Garamond"/>
                <w:sz w:val="20"/>
                <w:szCs w:val="20"/>
              </w:rPr>
            </w:pPr>
            <w:r>
              <w:rPr>
                <w:rFonts w:ascii="Garamond" w:hAnsi="Garamond"/>
                <w:sz w:val="20"/>
                <w:szCs w:val="20"/>
              </w:rPr>
              <w:t>Comments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30 Jul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Original Draft</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reviewed and updated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15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announced OWASP SCP mailing list for comment.</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Release.</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 Jun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14 Aug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1.03</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18 Sep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 Feb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1.05</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21 Mar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 Mar 2015</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29 Jun 2016</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bl>
    <w:p>
      <w:pPr>
        <w:pStyle w:val="Normal"/>
        <w:rPr/>
      </w:pPr>
      <w:r>
        <w:rPr/>
      </w:r>
    </w:p>
    <w:p>
      <w:pPr>
        <w:pStyle w:val="Normal"/>
        <w:rPr/>
      </w:pPr>
      <w:r>
        <w:rPr/>
      </w:r>
    </w:p>
    <w:p>
      <w:pPr>
        <w:pStyle w:val="Normal"/>
        <w:rPr/>
      </w:pPr>
      <w:r>
        <w:rPr/>
      </w:r>
      <w:r>
        <w:br w:type="page"/>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977"/>
        <w:gridCol w:w="7376"/>
      </w:tblGrid>
      <w:tr>
        <w:trPr/>
        <w:tc>
          <w:tcPr>
            <w:tcW w:w="7977" w:type="dxa"/>
            <w:tcBorders>
              <w:top w:val="nil"/>
              <w:left w:val="nil"/>
              <w:bottom w:val="nil"/>
              <w:right w:val="nil"/>
            </w:tcBorders>
          </w:tcPr>
          <w:p>
            <w:pPr>
              <w:pStyle w:val="CHeadTop"/>
              <w:pageBreakBefore/>
              <w:rPr/>
            </w:pPr>
            <w:r>
              <w:rPr/>
              <w:t>Project contributors</w:t>
            </w:r>
          </w:p>
          <w:p>
            <w:pPr>
              <w:pStyle w:val="CHeadTop"/>
              <w:rPr>
                <w:b w:val="false"/>
                <w:b w:val="false"/>
                <w:sz w:val="20"/>
                <w:szCs w:val="20"/>
              </w:rPr>
            </w:pPr>
            <w:r>
              <w:rPr>
                <w:b w:val="false"/>
                <w:sz w:val="20"/>
                <w:szCs w:val="20"/>
              </w:rPr>
              <w:t xml:space="preserve">All OWASP projects rely on the voluntary efforts of people in the software development and information security sectors. </w:t>
            </w:r>
          </w:p>
          <w:p>
            <w:pPr>
              <w:pStyle w:val="CHeadTop"/>
              <w:rPr>
                <w:b w:val="false"/>
                <w:b w:val="false"/>
                <w:sz w:val="20"/>
                <w:szCs w:val="20"/>
              </w:rPr>
            </w:pPr>
            <w:r>
              <w:rPr>
                <w:b w:val="false"/>
                <w:sz w:val="20"/>
                <w:szCs w:val="20"/>
              </w:rPr>
              <w:t xml:space="preserve">They have contributed their time and energy to make suggestions, provide feedback, write, review and edit documentation, give encouragement, trial the game, and promote the concept. </w:t>
            </w:r>
          </w:p>
          <w:p>
            <w:pPr>
              <w:pStyle w:val="CHeadTop"/>
              <w:rPr>
                <w:b w:val="false"/>
                <w:b w:val="false"/>
                <w:sz w:val="20"/>
                <w:szCs w:val="20"/>
              </w:rPr>
            </w:pPr>
            <w:r>
              <w:rPr>
                <w:b w:val="false"/>
                <w:sz w:val="20"/>
                <w:szCs w:val="20"/>
              </w:rPr>
              <w:t xml:space="preserve">Without all their efforts, the project would not have progressed to this point. </w:t>
            </w:r>
          </w:p>
          <w:p>
            <w:pPr>
              <w:pStyle w:val="CHeadTop"/>
              <w:rPr>
                <w:b w:val="false"/>
                <w:b w:val="false"/>
                <w:sz w:val="20"/>
                <w:szCs w:val="20"/>
              </w:rPr>
            </w:pPr>
            <w:r>
              <w:rPr>
                <w:b w:val="false"/>
                <w:sz w:val="20"/>
                <w:szCs w:val="20"/>
              </w:rPr>
              <w:t>Please contact the mailing list or project leaders directly, if anyone is missing from the below lists.</w:t>
            </w:r>
          </w:p>
          <w:p>
            <w:pPr>
              <w:pStyle w:val="CHeadTop"/>
              <w:rPr>
                <w:sz w:val="20"/>
                <w:szCs w:val="20"/>
              </w:rPr>
            </w:pPr>
            <w:r>
              <w:rPr>
                <w:sz w:val="20"/>
                <w:szCs w:val="20"/>
              </w:rPr>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87"/>
              <w:gridCol w:w="2587"/>
              <w:gridCol w:w="2587"/>
            </w:tblGrid>
            <w:tr>
              <w:trPr/>
              <w:tc>
                <w:tcPr>
                  <w:tcW w:w="2587" w:type="dxa"/>
                  <w:tcBorders>
                    <w:top w:val="nil"/>
                    <w:left w:val="nil"/>
                    <w:bottom w:val="nil"/>
                    <w:right w:val="nil"/>
                  </w:tcBorders>
                </w:tcPr>
                <w:p>
                  <w:pPr>
                    <w:pStyle w:val="CHeadTop"/>
                    <w:numPr>
                      <w:ilvl w:val="0"/>
                      <w:numId w:val="4"/>
                    </w:numPr>
                    <w:spacing w:before="0" w:after="40"/>
                    <w:ind w:left="714" w:hanging="357"/>
                    <w:rPr>
                      <w:rFonts w:eastAsia="ＭＳ ゴシック" w:cs="" w:cstheme="majorBidi" w:eastAsiaTheme="majorEastAsia"/>
                      <w:b w:val="false"/>
                      <w:b w:val="false"/>
                      <w:bCs/>
                      <w:color w:val="243F60" w:themeColor="accent1" w:themeShade="7f"/>
                      <w:sz w:val="20"/>
                      <w:szCs w:val="20"/>
                    </w:rPr>
                  </w:pPr>
                  <w:r>
                    <w:rPr>
                      <w:b w:val="false"/>
                      <w:sz w:val="20"/>
                      <w:szCs w:val="20"/>
                    </w:rPr>
                    <w:t>Simon Bennetts</w:t>
                  </w:r>
                </w:p>
                <w:p>
                  <w:pPr>
                    <w:pStyle w:val="CHeadTop"/>
                    <w:numPr>
                      <w:ilvl w:val="0"/>
                      <w:numId w:val="4"/>
                    </w:numPr>
                    <w:spacing w:before="0" w:after="40"/>
                    <w:ind w:left="714" w:hanging="357"/>
                    <w:rPr>
                      <w:sz w:val="20"/>
                      <w:szCs w:val="20"/>
                    </w:rPr>
                  </w:pPr>
                  <w:r>
                    <w:rPr>
                      <w:b w:val="false"/>
                      <w:sz w:val="20"/>
                      <w:szCs w:val="20"/>
                    </w:rPr>
                    <w:t>Tom Brennan</w:t>
                  </w:r>
                </w:p>
                <w:p>
                  <w:pPr>
                    <w:pStyle w:val="CHeadTop"/>
                    <w:numPr>
                      <w:ilvl w:val="0"/>
                      <w:numId w:val="4"/>
                    </w:numPr>
                    <w:spacing w:before="0" w:after="40"/>
                    <w:ind w:left="714" w:hanging="357"/>
                    <w:rPr>
                      <w:b w:val="false"/>
                      <w:b w:val="false"/>
                      <w:sz w:val="20"/>
                      <w:szCs w:val="20"/>
                    </w:rPr>
                  </w:pPr>
                  <w:r>
                    <w:rPr>
                      <w:b w:val="false"/>
                      <w:sz w:val="20"/>
                      <w:szCs w:val="20"/>
                    </w:rPr>
                    <w:t>Fabio Cerullo</w:t>
                  </w:r>
                </w:p>
                <w:p>
                  <w:pPr>
                    <w:pStyle w:val="CHeadTop"/>
                    <w:numPr>
                      <w:ilvl w:val="0"/>
                      <w:numId w:val="4"/>
                    </w:numPr>
                    <w:spacing w:before="0" w:after="40"/>
                    <w:ind w:left="714" w:hanging="357"/>
                    <w:rPr>
                      <w:b w:val="false"/>
                      <w:b w:val="false"/>
                      <w:sz w:val="20"/>
                      <w:szCs w:val="20"/>
                    </w:rPr>
                  </w:pPr>
                  <w:r>
                    <w:rPr>
                      <w:b w:val="false"/>
                      <w:sz w:val="20"/>
                      <w:szCs w:val="20"/>
                    </w:rPr>
                    <w:t>Oana Cornea</w:t>
                  </w:r>
                </w:p>
                <w:p>
                  <w:pPr>
                    <w:pStyle w:val="CHeadTop"/>
                    <w:numPr>
                      <w:ilvl w:val="0"/>
                      <w:numId w:val="4"/>
                    </w:numPr>
                    <w:spacing w:before="0" w:after="40"/>
                    <w:ind w:left="714" w:hanging="357"/>
                    <w:rPr>
                      <w:b w:val="false"/>
                      <w:b w:val="false"/>
                      <w:sz w:val="20"/>
                      <w:szCs w:val="20"/>
                    </w:rPr>
                  </w:pPr>
                  <w:r>
                    <w:rPr>
                      <w:b w:val="false"/>
                      <w:sz w:val="20"/>
                      <w:szCs w:val="20"/>
                    </w:rPr>
                    <w:t>Johanna Curiel</w:t>
                  </w:r>
                </w:p>
                <w:p>
                  <w:pPr>
                    <w:pStyle w:val="CHeadTop"/>
                    <w:numPr>
                      <w:ilvl w:val="0"/>
                      <w:numId w:val="4"/>
                    </w:numPr>
                    <w:spacing w:before="0" w:after="40"/>
                    <w:ind w:left="714" w:hanging="357"/>
                    <w:rPr>
                      <w:b w:val="false"/>
                      <w:b w:val="false"/>
                      <w:sz w:val="20"/>
                      <w:szCs w:val="20"/>
                    </w:rPr>
                  </w:pPr>
                  <w:r>
                    <w:rPr>
                      <w:b w:val="false"/>
                      <w:sz w:val="20"/>
                      <w:szCs w:val="20"/>
                    </w:rPr>
                    <w:t>Todd Dahl</w:t>
                  </w:r>
                </w:p>
                <w:p>
                  <w:pPr>
                    <w:pStyle w:val="CHeadTop"/>
                    <w:numPr>
                      <w:ilvl w:val="0"/>
                      <w:numId w:val="4"/>
                    </w:numPr>
                    <w:spacing w:before="0" w:after="40"/>
                    <w:ind w:left="714" w:hanging="357"/>
                    <w:rPr>
                      <w:b w:val="false"/>
                      <w:b w:val="false"/>
                      <w:sz w:val="20"/>
                      <w:szCs w:val="20"/>
                    </w:rPr>
                  </w:pPr>
                  <w:r>
                    <w:rPr>
                      <w:b w:val="false"/>
                      <w:sz w:val="20"/>
                      <w:szCs w:val="20"/>
                    </w:rPr>
                    <w:t>Luis Enriquez</w:t>
                  </w:r>
                </w:p>
                <w:p>
                  <w:pPr>
                    <w:pStyle w:val="CHeadTop"/>
                    <w:numPr>
                      <w:ilvl w:val="0"/>
                      <w:numId w:val="4"/>
                    </w:numPr>
                    <w:spacing w:before="0" w:after="40"/>
                    <w:ind w:left="714" w:hanging="357"/>
                    <w:rPr>
                      <w:b w:val="false"/>
                      <w:b w:val="false"/>
                      <w:sz w:val="20"/>
                      <w:szCs w:val="20"/>
                    </w:rPr>
                  </w:pPr>
                  <w:r>
                    <w:rPr>
                      <w:b w:val="false"/>
                      <w:sz w:val="20"/>
                      <w:szCs w:val="20"/>
                    </w:rPr>
                    <w:t>Ken Ferris</w:t>
                  </w:r>
                </w:p>
                <w:p>
                  <w:pPr>
                    <w:pStyle w:val="CHeadTop"/>
                    <w:numPr>
                      <w:ilvl w:val="0"/>
                      <w:numId w:val="4"/>
                    </w:numPr>
                    <w:spacing w:before="0" w:after="40"/>
                    <w:ind w:left="714" w:hanging="357"/>
                    <w:rPr>
                      <w:b w:val="false"/>
                      <w:b w:val="false"/>
                      <w:sz w:val="20"/>
                      <w:szCs w:val="20"/>
                    </w:rPr>
                  </w:pPr>
                  <w:r>
                    <w:rPr>
                      <w:b w:val="false"/>
                      <w:sz w:val="20"/>
                      <w:szCs w:val="20"/>
                      <w:lang w:val="en-US"/>
                    </w:rPr>
                    <w:t>Darío De Filippis</w:t>
                  </w:r>
                </w:p>
              </w:tc>
              <w:tc>
                <w:tcPr>
                  <w:tcW w:w="2587" w:type="dxa"/>
                  <w:tcBorders>
                    <w:top w:val="nil"/>
                    <w:left w:val="nil"/>
                    <w:bottom w:val="nil"/>
                    <w:right w:val="nil"/>
                  </w:tcBorders>
                </w:tcPr>
                <w:p>
                  <w:pPr>
                    <w:pStyle w:val="CHeadTop"/>
                    <w:numPr>
                      <w:ilvl w:val="0"/>
                      <w:numId w:val="4"/>
                    </w:numPr>
                    <w:spacing w:before="0" w:after="40"/>
                    <w:ind w:left="527" w:hanging="357"/>
                    <w:rPr>
                      <w:b w:val="false"/>
                      <w:b w:val="false"/>
                      <w:sz w:val="20"/>
                      <w:szCs w:val="20"/>
                    </w:rPr>
                  </w:pPr>
                  <w:r>
                    <w:rPr>
                      <w:b w:val="false"/>
                      <w:sz w:val="20"/>
                      <w:szCs w:val="20"/>
                    </w:rPr>
                    <w:t>Sebastien Gioria</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Tobias Gondrom</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Timo Goosen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 xml:space="preserve">Anthony Harrison </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John Herrlin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Jerry Hoff</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Marios Kourtesis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Antonis Manaras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Jim Manico</w:t>
                  </w:r>
                </w:p>
              </w:tc>
              <w:tc>
                <w:tcPr>
                  <w:tcW w:w="2587" w:type="dxa"/>
                  <w:tcBorders>
                    <w:top w:val="nil"/>
                    <w:left w:val="nil"/>
                    <w:bottom w:val="nil"/>
                    <w:right w:val="nil"/>
                  </w:tcBorders>
                </w:tcPr>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Mark Miller</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Cam Morris</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lang w:val="en-US"/>
                    </w:rPr>
                    <w:t>Susana Romaniz</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Ravishankar Sahadevan</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Tao Sauvage</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Stephen de Vries</w:t>
                  </w:r>
                </w:p>
                <w:p>
                  <w:pPr>
                    <w:pStyle w:val="CHeadTop"/>
                    <w:numPr>
                      <w:ilvl w:val="0"/>
                      <w:numId w:val="4"/>
                    </w:numPr>
                    <w:spacing w:before="0" w:after="60"/>
                    <w:ind w:left="494" w:hanging="357"/>
                    <w:rPr>
                      <w:b w:val="false"/>
                      <w:b w:val="false"/>
                      <w:sz w:val="20"/>
                      <w:szCs w:val="20"/>
                    </w:rPr>
                  </w:pPr>
                  <w:r>
                    <w:rPr>
                      <w:b w:val="false"/>
                      <w:sz w:val="20"/>
                      <w:szCs w:val="20"/>
                    </w:rPr>
                    <w:t>Colin Watson</w:t>
                  </w:r>
                </w:p>
              </w:tc>
            </w:tr>
          </w:tbl>
          <w:p>
            <w:pPr>
              <w:pStyle w:val="CHeadTop"/>
              <w:rPr>
                <w:b w:val="false"/>
                <w:b w:val="false"/>
                <w:sz w:val="20"/>
                <w:szCs w:val="20"/>
              </w:rPr>
            </w:pPr>
            <w:r>
              <w:rPr>
                <w:b w:val="false"/>
                <w:sz w:val="20"/>
                <w:szCs w:val="20"/>
              </w:rPr>
            </w:r>
          </w:p>
          <w:p>
            <w:pPr>
              <w:pStyle w:val="CHeadTop"/>
              <w:numPr>
                <w:ilvl w:val="0"/>
                <w:numId w:val="5"/>
              </w:numPr>
              <w:rPr>
                <w:b w:val="false"/>
                <w:b w:val="false"/>
                <w:sz w:val="20"/>
                <w:szCs w:val="20"/>
              </w:rPr>
            </w:pPr>
            <w:r>
              <w:rPr>
                <w:b w:val="false"/>
                <w:sz w:val="20"/>
                <w:szCs w:val="20"/>
              </w:rPr>
              <w:t>•OWASP’s hard-working employees, especially Kate Hartmann</w:t>
            </w:r>
          </w:p>
          <w:p>
            <w:pPr>
              <w:pStyle w:val="CHeadTop"/>
              <w:numPr>
                <w:ilvl w:val="0"/>
                <w:numId w:val="5"/>
              </w:numPr>
              <w:rPr>
                <w:b w:val="false"/>
                <w:b w:val="false"/>
                <w:sz w:val="20"/>
                <w:szCs w:val="20"/>
              </w:rPr>
            </w:pPr>
            <w:r>
              <w:rPr>
                <w:b w:val="false"/>
                <w:sz w:val="20"/>
                <w:szCs w:val="20"/>
              </w:rPr>
              <w:t>•Attendees at OWASP London, OWASP Manchester, OWASP Netherlands and OWASP Scotland chapter meetings, and the London Gamification meetup, who made helpful suggestions and asked challenging questions</w:t>
            </w:r>
          </w:p>
          <w:p>
            <w:pPr>
              <w:pStyle w:val="CHeadTop"/>
              <w:numPr>
                <w:ilvl w:val="0"/>
                <w:numId w:val="5"/>
              </w:numPr>
              <w:rPr>
                <w:b w:val="false"/>
                <w:b w:val="false"/>
                <w:sz w:val="20"/>
                <w:szCs w:val="20"/>
              </w:rPr>
            </w:pPr>
            <w:r>
              <w:rPr>
                <w:b w:val="false"/>
                <w:sz w:val="20"/>
                <w:szCs w:val="20"/>
              </w:rPr>
              <w:t>•Blackfoot UK Limited for gifting print-ready design files and hundreds of professionally printed card decks for distribution by post and at OWASP chapter meetings</w:t>
            </w:r>
          </w:p>
          <w:p>
            <w:pPr>
              <w:pStyle w:val="CHeadTop"/>
              <w:numPr>
                <w:ilvl w:val="0"/>
                <w:numId w:val="5"/>
              </w:numPr>
              <w:rPr>
                <w:b w:val="false"/>
                <w:b w:val="false"/>
                <w:sz w:val="20"/>
                <w:szCs w:val="20"/>
              </w:rPr>
            </w:pPr>
            <w:r>
              <w:rPr>
                <w:b w:val="false"/>
                <w:sz w:val="20"/>
                <w:szCs w:val="20"/>
              </w:rPr>
              <w:t>•OWASP NYC for creating an OWASP box design and distributing packs at AppSec USA 2014.</w:t>
            </w:r>
          </w:p>
          <w:p>
            <w:pPr>
              <w:pStyle w:val="CHeadMiddle"/>
              <w:rPr/>
            </w:pPr>
            <w:r>
              <w:rPr/>
              <w:t>Podcasts and videos</w:t>
            </w:r>
          </w:p>
          <w:p>
            <w:pPr>
              <w:pStyle w:val="Normal"/>
              <w:rPr>
                <w:rFonts w:ascii="Garamond" w:hAnsi="Garamond"/>
                <w:sz w:val="20"/>
                <w:szCs w:val="20"/>
              </w:rPr>
            </w:pPr>
            <w:r>
              <w:rPr>
                <w:rFonts w:ascii="Garamond" w:hAnsi="Garamond"/>
                <w:sz w:val="20"/>
                <w:szCs w:val="20"/>
              </w:rPr>
              <w:t>The following supporting OWASP Cornucopia resources are available online:</w:t>
              <w:br/>
            </w:r>
          </w:p>
          <w:p>
            <w:pPr>
              <w:pStyle w:val="CHeadMiddle"/>
              <w:numPr>
                <w:ilvl w:val="0"/>
                <w:numId w:val="6"/>
              </w:numPr>
              <w:spacing w:before="0" w:after="120"/>
              <w:ind w:left="714" w:hanging="357"/>
              <w:rPr>
                <w:b w:val="false"/>
                <w:b w:val="false"/>
                <w:sz w:val="20"/>
                <w:szCs w:val="20"/>
              </w:rPr>
            </w:pPr>
            <w:r>
              <w:rPr>
                <w:b w:val="false"/>
                <w:sz w:val="20"/>
                <w:szCs w:val="20"/>
              </w:rPr>
              <w:tab/>
              <w:t>Video - Using the cards, created during AppSec EU 2015 project summit, 20th May 2015</w:t>
              <w:br/>
            </w:r>
            <w:hyperlink r:id="rId16">
              <w:r>
                <w:rPr>
                  <w:rStyle w:val="InternetLink"/>
                  <w:b w:val="false"/>
                  <w:sz w:val="20"/>
                  <w:szCs w:val="20"/>
                </w:rPr>
                <w:t>https://www.youtube.com/watch?v=i5Y0akWj31k</w:t>
              </w:r>
            </w:hyperlink>
          </w:p>
          <w:p>
            <w:pPr>
              <w:pStyle w:val="CHeadMiddle"/>
              <w:numPr>
                <w:ilvl w:val="0"/>
                <w:numId w:val="6"/>
              </w:numPr>
              <w:spacing w:before="0" w:after="120"/>
              <w:ind w:left="714" w:hanging="357"/>
              <w:rPr>
                <w:b w:val="false"/>
                <w:b w:val="false"/>
                <w:sz w:val="20"/>
                <w:szCs w:val="20"/>
              </w:rPr>
            </w:pPr>
            <w:r>
              <w:rPr>
                <w:b w:val="false"/>
                <w:sz w:val="20"/>
                <w:szCs w:val="20"/>
              </w:rPr>
              <w:tab/>
              <w:t>Podcast interview, OWASP 24/7 Podcast channel, 21st March 2014</w:t>
              <w:br/>
            </w:r>
            <w:hyperlink r:id="rId17">
              <w:r>
                <w:rPr>
                  <w:rStyle w:val="InternetLink"/>
                  <w:b w:val="false"/>
                  <w:sz w:val="20"/>
                  <w:szCs w:val="20"/>
                </w:rPr>
                <w:t>http://trustedsoftwarealliance.com/2014/03/21/the-owasp-cornucopia-project-with-colin-watson/</w:t>
              </w:r>
            </w:hyperlink>
          </w:p>
          <w:p>
            <w:pPr>
              <w:pStyle w:val="CHeadMiddle"/>
              <w:numPr>
                <w:ilvl w:val="0"/>
                <w:numId w:val="6"/>
              </w:numPr>
              <w:spacing w:before="0" w:after="120"/>
              <w:ind w:left="714" w:hanging="357"/>
              <w:rPr>
                <w:b w:val="false"/>
                <w:b w:val="false"/>
                <w:sz w:val="20"/>
                <w:szCs w:val="20"/>
              </w:rPr>
            </w:pPr>
            <w:r>
              <w:rPr>
                <w:b w:val="false"/>
                <w:sz w:val="20"/>
                <w:szCs w:val="20"/>
              </w:rPr>
              <w:t>Video of presentation, OWASP EU Tour 2013 London, 3rd June 2013</w:t>
              <w:br/>
            </w:r>
            <w:hyperlink r:id="rId18">
              <w:r>
                <w:rPr>
                  <w:rStyle w:val="InternetLink"/>
                  <w:b w:val="false"/>
                  <w:sz w:val="20"/>
                  <w:szCs w:val="20"/>
                </w:rPr>
                <w:t>https://www.youtube.com/watch?v=Q_LE-8xNXVk</w:t>
              </w:r>
            </w:hyperlink>
          </w:p>
          <w:p>
            <w:pPr>
              <w:pStyle w:val="CHeadMiddle"/>
              <w:spacing w:before="0" w:after="120"/>
              <w:rPr>
                <w:b w:val="false"/>
                <w:b w:val="false"/>
                <w:sz w:val="20"/>
                <w:szCs w:val="20"/>
              </w:rPr>
            </w:pPr>
            <w:r>
              <w:rPr>
                <w:b w:val="false"/>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8500" cy="66198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9"/>
                          <a:stretch>
                            <a:fillRect/>
                          </a:stretch>
                        </pic:blipFill>
                        <pic:spPr bwMode="auto">
                          <a:xfrm>
                            <a:off x="0" y="0"/>
                            <a:ext cx="4508500" cy="6619875"/>
                          </a:xfrm>
                          <a:prstGeom prst="rect">
                            <a:avLst/>
                          </a:prstGeom>
                        </pic:spPr>
                      </pic:pic>
                    </a:graphicData>
                  </a:graphic>
                </wp:inline>
              </w:drawing>
            </w:r>
          </w:p>
        </w:tc>
      </w:tr>
    </w:tbl>
    <w:p>
      <w:pPr>
        <w:pStyle w:val="Normal"/>
        <w:rPr>
          <w:rFonts w:ascii="Garamond" w:hAnsi="Garamond"/>
          <w:sz w:val="20"/>
          <w:szCs w:val="20"/>
        </w:rPr>
      </w:pPr>
      <w:r>
        <w:rPr/>
      </w:r>
    </w:p>
    <w:sectPr>
      <w:headerReference w:type="default" r:id="rId20"/>
      <w:type w:val="nextPage"/>
      <w:pgSz w:orient="landscape" w:w="16838" w:h="11906"/>
      <w:pgMar w:left="851" w:right="851" w:header="227" w:top="567" w:footer="0" w:bottom="28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 w:name="Garamond">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5352"/>
      <w:gridCol w:w="2693"/>
      <w:gridCol w:w="7309"/>
    </w:tblGrid>
    <w:tr>
      <w:trPr/>
      <w:tc>
        <w:tcPr>
          <w:tcW w:w="5352" w:type="dxa"/>
          <w:tcBorders>
            <w:top w:val="nil"/>
            <w:left w:val="nil"/>
            <w:bottom w:val="nil"/>
            <w:right w:val="nil"/>
          </w:tcBorders>
        </w:tcPr>
        <w:p>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sz w:val="16"/>
              <w:szCs w:val="16"/>
              <w:rFonts w:ascii="Garamond" w:hAnsi="Garamond"/>
              <w:color w:val="BFBFBF"/>
            </w:rPr>
            <w:instrText> TITLE </w:instrText>
          </w:r>
          <w:r>
            <w:rPr>
              <w:sz w:val="16"/>
              <w:szCs w:val="16"/>
              <w:rFonts w:ascii="Garamond" w:hAnsi="Garamond"/>
              <w:color w:val="BFBFBF"/>
            </w:rPr>
            <w:fldChar w:fldCharType="separate"/>
          </w:r>
          <w:r>
            <w:rPr>
              <w:sz w:val="16"/>
              <w:szCs w:val="16"/>
              <w:rFonts w:ascii="Garamond" w:hAnsi="Garamond"/>
              <w:color w:val="BFBFBF"/>
            </w:rPr>
            <w:t>OWASP Cornucopia Ecommerce Website Edition</w:t>
          </w:r>
          <w:r>
            <w:rPr>
              <w:sz w:val="16"/>
              <w:szCs w:val="16"/>
              <w:rFonts w:ascii="Garamond" w:hAnsi="Garamond"/>
              <w:color w:val="BFBFBF"/>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sz w:val="16"/>
              <w:szCs w:val="16"/>
              <w:rFonts w:ascii="Garamond" w:hAnsi="Garamond"/>
              <w:color w:val="BFBFBF"/>
            </w:rPr>
            <w:instrText> SUBJECT </w:instrText>
          </w:r>
          <w:r>
            <w:rPr>
              <w:sz w:val="16"/>
              <w:szCs w:val="16"/>
              <w:rFonts w:ascii="Garamond" w:hAnsi="Garamond"/>
              <w:color w:val="BFBFBF"/>
            </w:rPr>
            <w:fldChar w:fldCharType="separate"/>
          </w:r>
          <w:r>
            <w:rPr>
              <w:sz w:val="16"/>
              <w:szCs w:val="16"/>
              <w:rFonts w:ascii="Garamond" w:hAnsi="Garamond"/>
              <w:color w:val="BFBFBF"/>
            </w:rPr>
            <w:t>v1.20-EN</w:t>
          </w:r>
          <w:r>
            <w:rPr>
              <w:sz w:val="16"/>
              <w:szCs w:val="16"/>
              <w:rFonts w:ascii="Garamond" w:hAnsi="Garamond"/>
              <w:color w:val="BFBFBF"/>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sz w:val="16"/>
              <w:szCs w:val="16"/>
              <w:rFonts w:ascii="Garamond" w:hAnsi="Garamond"/>
              <w:color w:val="BFBFBF"/>
            </w:rPr>
            <w:instrText> PAGE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sz w:val="16"/>
              <w:szCs w:val="16"/>
              <w:rFonts w:ascii="Garamond" w:hAnsi="Garamond"/>
              <w:color w:val="BFBFBF"/>
            </w:rPr>
            <w:instrText> NUMPAGES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p>
      </w:tc>
      <w:tc>
        <w:tcPr>
          <w:tcW w:w="2693" w:type="dxa"/>
          <w:tcBorders>
            <w:top w:val="nil"/>
            <w:left w:val="nil"/>
            <w:bottom w:val="nil"/>
            <w:right w:val="nil"/>
          </w:tcBorders>
        </w:tcPr>
        <w:p>
          <w:pPr>
            <w:pStyle w:val="Header"/>
            <w:jc w:val="center"/>
            <w:rPr>
              <w:rFonts w:ascii="Garamond" w:hAnsi="Garamond"/>
              <w:sz w:val="16"/>
              <w:szCs w:val="16"/>
            </w:rPr>
          </w:pPr>
          <w:r>
            <w:rPr>
              <w:rFonts w:ascii="Garamond" w:hAnsi="Garamond"/>
              <w:sz w:val="16"/>
              <w:szCs w:val="16"/>
            </w:rPr>
          </w:r>
        </w:p>
      </w:tc>
      <w:tc>
        <w:tcPr>
          <w:tcW w:w="7309" w:type="dxa"/>
          <w:tcBorders>
            <w:top w:val="nil"/>
            <w:left w:val="nil"/>
            <w:bottom w:val="nil"/>
            <w:right w:val="nil"/>
          </w:tcBorders>
        </w:tcPr>
        <w:p>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pPr>
      <w:pStyle w:val="Header"/>
      <w:rPr>
        <w:rFonts w:ascii="Garamond" w:hAnsi="Garamond"/>
        <w:sz w:val="16"/>
        <w:szCs w:val="16"/>
      </w:rPr>
    </w:pPr>
    <w:r>
      <w:rPr>
        <w:rFonts w:ascii="Garamond" w:hAnsi="Garamond"/>
        <w:sz w:val="16"/>
        <w:szCs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42d9"/>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76fdb"/>
    <w:rPr/>
  </w:style>
  <w:style w:type="character" w:styleId="FooterChar" w:customStyle="1">
    <w:name w:val="Footer Char"/>
    <w:basedOn w:val="DefaultParagraphFont"/>
    <w:link w:val="Footer"/>
    <w:uiPriority w:val="99"/>
    <w:qFormat/>
    <w:rsid w:val="00f76fdb"/>
    <w:rPr/>
  </w:style>
  <w:style w:type="character" w:styleId="BalloonTextChar" w:customStyle="1">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InternetLink">
    <w:name w:val="Hyperlink"/>
    <w:basedOn w:val="DefaultParagraphFont"/>
    <w:uiPriority w:val="99"/>
    <w:unhideWhenUsed/>
    <w:rsid w:val="00346594"/>
    <w:rPr>
      <w:color w:val="0000FF" w:themeColor="hyperlink"/>
      <w:u w:val="single"/>
    </w:rPr>
  </w:style>
  <w:style w:type="character" w:styleId="VisitedInternet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76fdb"/>
    <w:pPr>
      <w:tabs>
        <w:tab w:val="clear" w:pos="720"/>
        <w:tab w:val="center" w:pos="4320" w:leader="none"/>
        <w:tab w:val="right" w:pos="8640" w:leader="none"/>
      </w:tabs>
    </w:pPr>
    <w:rPr/>
  </w:style>
  <w:style w:type="paragraph" w:styleId="Footer">
    <w:name w:val="Footer"/>
    <w:basedOn w:val="Normal"/>
    <w:link w:val="FooterChar"/>
    <w:uiPriority w:val="99"/>
    <w:unhideWhenUsed/>
    <w:rsid w:val="00f76fdb"/>
    <w:pPr>
      <w:tabs>
        <w:tab w:val="clear" w:pos="720"/>
        <w:tab w:val="center" w:pos="4320" w:leader="none"/>
        <w:tab w:val="right" w:pos="8640" w:leader="none"/>
      </w:tabs>
    </w:pPr>
    <w:rPr/>
  </w:style>
  <w:style w:type="paragraph" w:styleId="ListParagraph">
    <w:name w:val="List Paragraph"/>
    <w:basedOn w:val="Normal"/>
    <w:uiPriority w:val="34"/>
    <w:qFormat/>
    <w:rsid w:val="009c6edd"/>
    <w:pPr>
      <w:spacing w:before="0" w:after="0"/>
      <w:ind w:left="720" w:hanging="0"/>
      <w:contextualSpacing/>
    </w:pPr>
    <w:rPr/>
  </w:style>
  <w:style w:type="paragraph" w:styleId="BalloonText">
    <w:name w:val="Balloon Text"/>
    <w:basedOn w:val="Normal"/>
    <w:link w:val="BalloonTextChar"/>
    <w:uiPriority w:val="99"/>
    <w:semiHidden/>
    <w:unhideWhenUsed/>
    <w:qFormat/>
    <w:rsid w:val="00777036"/>
    <w:pPr/>
    <w:rPr>
      <w:rFonts w:ascii="Lucida Grande" w:hAnsi="Lucida Grande" w:cs="Lucida Grande"/>
      <w:sz w:val="18"/>
      <w:szCs w:val="18"/>
    </w:rPr>
  </w:style>
  <w:style w:type="paragraph" w:styleId="CHeadTop" w:customStyle="1">
    <w:name w:val="C-Head-Top"/>
    <w:basedOn w:val="Normal"/>
    <w:qFormat/>
    <w:rsid w:val="006a59cd"/>
    <w:pPr>
      <w:spacing w:before="0" w:after="60"/>
    </w:pPr>
    <w:rPr>
      <w:rFonts w:ascii="Garamond" w:hAnsi="Garamond"/>
      <w:b/>
      <w:sz w:val="22"/>
      <w:szCs w:val="22"/>
    </w:rPr>
  </w:style>
  <w:style w:type="paragraph" w:styleId="CHeadMiddle" w:customStyle="1">
    <w:name w:val="C-Head-Middle"/>
    <w:basedOn w:val="CHeadTop"/>
    <w:qFormat/>
    <w:rsid w:val="00505c26"/>
    <w:pPr>
      <w:spacing w:before="240" w:after="60"/>
    </w:pPr>
    <w:rPr/>
  </w:style>
  <w:style w:type="paragraph" w:styleId="Revision">
    <w:name w:val="Revision"/>
    <w:uiPriority w:val="99"/>
    <w:semiHidden/>
    <w:qFormat/>
    <w:rsid w:val="00d6005f"/>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90c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hyperlink" Target="https://lists.owasp.org/mailman/listinfo/owasp_cornucopia" TargetMode="External"/><Relationship Id="rId5" Type="http://schemas.openxmlformats.org/officeDocument/2006/relationships/hyperlink" Target="https://www.owasp.org/index.php/OWASP_Cornucopia" TargetMode="External"/><Relationship Id="rId6" Type="http://schemas.openxmlformats.org/officeDocument/2006/relationships/hyperlink" Target="https://wiki.owasp.org/index.php/Cornucopia_-_Ecommerce_Website_Edition_-_Wiki_Deck" TargetMode="External"/><Relationship Id="rId7" Type="http://schemas.openxmlformats.org/officeDocument/2006/relationships/hyperlink" Target="https://www.owasp.org/index.php/File:OWASP_SCP_Quick_Reference_Guide_v2.pdf" TargetMode="External"/><Relationship Id="rId8" Type="http://schemas.openxmlformats.org/officeDocument/2006/relationships/hyperlink" Target="https://www.owasp.org/images/3/33/OWASP_Application_Security_Verification_Standard_3.0.1.pdf" TargetMode="External"/><Relationship Id="rId9" Type="http://schemas.openxmlformats.org/officeDocument/2006/relationships/hyperlink" Target="https://www.owasp.org/index.php/AppSensor_DetectionPoints" TargetMode="External"/><Relationship Id="rId10" Type="http://schemas.openxmlformats.org/officeDocument/2006/relationships/hyperlink" Target="http://capec.mitre.org/data/archive/capec_v2.8.zip"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s://youtu.be/i5Y0akWj31k" TargetMode="External"/><Relationship Id="rId13" Type="http://schemas.openxmlformats.org/officeDocument/2006/relationships/hyperlink" Target="https://www.owasp.org/index.php/File:Cornucopia-scoresheet.pdf" TargetMode="External"/><Relationship Id="rId14" Type="http://schemas.openxmlformats.org/officeDocument/2006/relationships/hyperlink" Target="https://www.owasp.org/index.php/Cornucopia_-_Ecommerce_Website_Edition_-_Wiki_Deck" TargetMode="External"/><Relationship Id="rId15" Type="http://schemas.openxmlformats.org/officeDocument/2006/relationships/image" Target="media/image3.png"/><Relationship Id="rId16" Type="http://schemas.openxmlformats.org/officeDocument/2006/relationships/hyperlink" Target="https://www.youtube.com/watch?v=i5Y0akWj31k" TargetMode="External"/><Relationship Id="rId17" Type="http://schemas.openxmlformats.org/officeDocument/2006/relationships/hyperlink" Target="http://trustedsoftwarealliance.com/2014/03/21/the-owasp-cornucopia-project-with-colin-watson/" TargetMode="External"/><Relationship Id="rId18" Type="http://schemas.openxmlformats.org/officeDocument/2006/relationships/hyperlink" Target="https://www.youtube.com/watch?v=Q_LE-8xNXVk" TargetMode="External"/><Relationship Id="rId19" Type="http://schemas.openxmlformats.org/officeDocument/2006/relationships/image" Target="media/image4.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1186</TotalTime>
  <Application>LibreOffice/6.4.7.2$Linux_X86_64 LibreOffice_project/40$Build-2</Application>
  <Pages>25</Pages>
  <Words>2110</Words>
  <Characters>22189</Characters>
  <CharactersWithSpaces>24054</CharactersWithSpaces>
  <Paragraphs>1291</Paragraphs>
  <Company>OWASP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2016-06-29T14:34:00Z</dcterms:created>
  <dc:creator>Colin Watson</dc:creator>
  <dc:description>This document is licensed under the Creative Commons Attribution-ShareAlike 3.0 license</dc:description>
  <cp:keywords>ecommerce website security requirements threats attacks</cp:keywords>
  <dc:language>en-GB</dc:language>
  <cp:lastModifiedBy/>
  <cp:lastPrinted>2015-03-31T16:57:00Z</cp:lastPrinted>
  <dcterms:modified xsi:type="dcterms:W3CDTF">2022-07-29T12:50:01Z</dcterms:modified>
  <cp:revision>110</cp:revision>
  <dc:subject>v1.20-EN</dc:subject>
  <dc:title>OWASP Cornucopia Ecommerce Website Edition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