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Forschungsfragen. FF1: Was bewirkt die digitale Erfassung für Geschwindigkeit und Personaleinsatz der Auszählung? FF2: Was bewirkt sie für die Auszählungsqualität, gemessen an den amtlichen Berichtigungen der Wahlniederschriften? FF3: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Verfahren, deren wesentliche Schritte Bürgerinnen und Bürger nicht ohne besondere Sachkenntnis nachvollziehen können.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den Kerneinwand des Wahlcomputer-Urteils nicht, wohl aber jede betriebliche Frage nach Zuverlässigkeit, Bedienbarkeit und Prozessintegration. Zwei Klarstellungen zur Reichweite: Eine abschließende wahl- und verfassungsrechtliche Würdigung des Verfahrens leistet dieser Beitrag nicht; die Einordnung hier ist funktional, nicht dogmatisch. Die verbleibenden Fragen sind empirisch, und ihnen gilt die Untersuchung.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da die Grundgesamtheit der Eingeladenen im verfügbaren Material nicht ausgewiesen ist, lässt sich für diese Befragung keine Rücklaufquote beziffern.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4f38187e5e0ef3eb5dd8defe21e7382149163d5"/>
    <w:p>
      <w:pPr>
        <w:pStyle w:val="Heading3"/>
      </w:pPr>
      <w:r>
        <w:t xml:space="preserve">5.1 Effizienz (FF1):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7f0a56cbf19c518918f6f80024e0fa2f2c09044"/>
    <w:p>
      <w:pPr>
        <w:pStyle w:val="Heading3"/>
      </w:pPr>
      <w:r>
        <w:t xml:space="preserve">5.2 Qualität (FF2):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acfd54bd7064138dcec68cf8c6d78f57216668d"/>
    <w:p>
      <w:pPr>
        <w:pStyle w:val="Heading3"/>
      </w:pPr>
      <w:r>
        <w:t xml:space="preserve">5.3 Akzeptanz und Schulung (FF3):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beantworten die drei Befundblöcke die Forschungsfragen mit einer spezifischen, begrenzten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Eine eigenständige IT-sicherheitstechnische Prüfung des Systems und seiner Übertragungskette fand im Rahmen der Evaluation nicht statt; die Sicherheitsarchitektur (verschlüsselter Ergebnistransfer, Papier als maßgebliches und nachzählbares Dokument) wird hier beschrieben, nicht auditiert.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 Schließlich fehlt eine Kostenseite: Der Pilot erhob keine belastbaren Daten zu Beschaffungs-, Lizenz- und Bereitstellungskosten, sodass die Effizienzbefunde Zeit-, nicht Wirtschaftlichkeitsaussagen sind; eine Wirtschaftlichkeitsbetrachtung steht aus und wird auch von der städtischen Evaluation als offener Punkt benannt.</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Die Governance von Zwischenergebnissen braucht definierte Veröffentlichungsregeln, bevor die neue Fähigkeit zur Improvisation verführt. Und jeder Skalierungsentscheidung sollte eine Wirtschaftlichkeitsbetrachtung vorausgehen, die der Pilot nicht liefern konnte.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2026-07-18T17:40:08Z</dcterms:created>
  <dcterms:modified xsi:type="dcterms:W3CDTF">2026-07-18T17:40:08Z</dcterms:modified>
</cp:coreProperties>
</file>

<file path=docProps/custom.xml><?xml version="1.0" encoding="utf-8"?>
<Properties xmlns="http://schemas.openxmlformats.org/officeDocument/2006/custom-properties" xmlns:vt="http://schemas.openxmlformats.org/officeDocument/2006/docPropsVTypes"/>
</file>