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Ausprobieren schafft Akzeptanz. Vertrauen muss die Verwaltung selbst aufbauen.</w:t>
      </w:r>
    </w:p>
    <w:p>
      <w:pPr>
        <w:pStyle w:val="Heading2"/>
      </w:pPr>
      <w:r>
        <w:t>Was die erste digitale U18-Wahl in Bayern über den Weg zur Online-Stimmabgabe lehrt</w:t>
      </w:r>
    </w:p>
    <w:p>
      <w:pPr>
        <w:jc w:val="both"/>
      </w:pPr>
      <w:r>
        <w:rPr>
          <w:i/>
        </w:rPr>
        <w:t>Von Stephanie Wißmann, Universität der Bundeswehr München</w:t>
      </w:r>
    </w:p>
    <w:p>
      <w:pPr>
        <w:jc w:val="both"/>
      </w:pPr>
      <w:r>
        <w:t>Im Februar 2026 haben 2.981 bayerische Jugendliche etwas getan, das es in Deutschland so noch nicht gab: Sie haben ihre Stimme in einer offiziell organisierten Wahl online abgegeben, von zu Hause, auf dem eigenen Gerät. Möglich machte das die U18-Wahl zur bayerischen Kommunalwahl, getragen vom Bayerischen Jugendring, für den digitalen Teil in Zusammenarbeit mit dem Bayerischen Staatsministerium für Digitales. In zehn Pilot-Kommunen, darunter Augsburg, Donauwörth und der Landkreis Regensburg, erhielten alle 14- bis 17-Jährigen eine persönliche Wahlbenachrichtigung per Post; 17.850 Briefe gingen hinaus. Überall sonst in Bayern wählten Jugendliche wie gewohnt auf Papier im U18-Wahllokal.</w:t>
      </w:r>
    </w:p>
    <w:p>
      <w:pPr>
        <w:jc w:val="both"/>
      </w:pPr>
      <w:r>
        <w:t>Für die Verwaltungspraxis interessant ist an dieser Wahl weniger das Ergebnis als eine Nebenwirkung ihrer Organisation. Ob ein Jugendlicher digital oder auf Papier wählte, entschied allein der Wohnort. Niemand konnte sich den Wahlkanal aussuchen, niemand wechseln. Damit ist ein Problem ausgeschaltet, das fast alle bisherigen Studien zur Online-Wahl plagt: Wer freiwillig digital wählt, war meist vorher schon überzeugt. Hier dagegen lassen sich zwei Gruppen vergleichen, die sich nicht selbst sortiert haben. Beide beantworteten unmittelbar nach der Stimmabgabe denselben Fragebogen, die eine über ein System, das sie gerade real benutzt hatten, die andere über ein digitales Wahlsystem, das sie sich nur vorstellen konnten. 511 Jugendliche antworteten, 390 vollständige Fragebögen bilden die Auswertungsbasis.</w:t>
      </w:r>
    </w:p>
    <w:p>
      <w:pPr>
        <w:pStyle w:val="Heading3"/>
      </w:pPr>
      <w:r>
        <w:t>Der Pilot-Effekt ist groß</w:t>
      </w:r>
    </w:p>
    <w:p>
      <w:pPr>
        <w:jc w:val="both"/>
      </w:pPr>
      <w:r>
        <w:t>Der erste Befund fällt deutlich aus. Jugendliche, die digital gewählt hatten, bewerteten das digitale Wählen massiv positiver als Jugendliche, die es sich nur vorstellten: nützlicher, einfacher, sozial akzeptierter, und sie wollten es deutlich häufiger wieder tun. Auch nach statistischer Kontrolle von Schulform, Technikkompetenz und der Vor-Einstellung zum digitalen Wählen bleibt ein Unterschied von rund einer dreiviertel Standardabweichung. Übersetzt: Der Abstand zwischen beiden Gruppen entspricht dem Unterschied zwischen einer skeptischen und einer zustimmenden Antwort auf derselben Skala. Kein realistisches Informationsangebot bewegt Einstellungen in dieser Größenordnung.</w:t>
      </w:r>
    </w:p>
    <w:p>
      <w:pPr>
        <w:jc w:val="both"/>
      </w:pPr>
      <w:r>
        <w:t>Das bestätigt, was die Innovationsforschung seit langem nahelegt und was sich in Estland über Jahre beobachten ließ: Nicht die Broschüre überzeugt, sondern die Erfahrung. Wer den Vorgang einmal durchlaufen hat, zwei Minuten, Wahlbenachrichtigung, Anmeldung, Klick, bewertet keine abstrakte Risikokategorie „Online-Wahl" mehr, sondern einen konkreten, funktionierenden Ablauf. Für Kommunen und Länder, die über digitale Beteiligungsformate nachdenken, ist das die gute Nachricht: Pilotprojekte sind das wirksamste Akzeptanzinstrument, das die Verwaltung besitzt.</w:t>
      </w:r>
    </w:p>
    <w:p>
      <w:pPr>
        <w:pStyle w:val="Heading3"/>
      </w:pPr>
      <w:r>
        <w:t>Aber das Vertrauen zieht nicht mit</w:t>
      </w:r>
    </w:p>
    <w:p>
      <w:pPr>
        <w:jc w:val="both"/>
      </w:pPr>
      <w:r>
        <w:t>Die zweite Botschaft der Daten ist unbequemer, und sie ist der eigentliche Kern der Studie. Der Fragebogen unterschied bewusst zwischen Akzeptanz (ist das nützlich, einfach, angenehm?) und Vertrauen, gemessen auf drei Ebenen: Vertrauen in die Technik, Vertrauen in die verantwortlichen Institutionen und Vertrauen in das Verfahren digitaler Wahlen insgesamt. Statistisch sind das nachweislich zwei getrennte Urteile, keine zwei Wörter für dasselbe.</w:t>
      </w:r>
    </w:p>
    <w:p>
      <w:pPr>
        <w:jc w:val="both"/>
      </w:pPr>
      <w:r>
        <w:t>Und diese zwei Urteile reagieren völlig unterschiedlich auf die Erfahrung. Während die Akzeptanz um eine dreiviertel Standardabweichung stieg, bewegte sich das Vertrauen nur um etwa eine viertel Standardabweichung. Beim Technikvertrauen blieb nach Kontrolle der Vor-Einstellung kein belastbarer Effekt übrig. Am deutlichsten zeigt es ein einzelnes Item: Die Aussage, das System sei „schwer zu manipulieren", erhielt in beiden Gruppen exakt denselben, eher skeptischen Wert. Die reale Nutzung hat an dieser Einschätzung nichts geändert. Wer mit Skepsis in die Wahl hineinging, kam mit Skepsis wieder heraus; die Vor-Einstellung erwies sich als der stärkste Anker des Vertrauens, deutlich stärker als das Erlebnis selbst.</w:t>
      </w:r>
    </w:p>
    <w:p>
      <w:pPr>
        <w:jc w:val="both"/>
      </w:pPr>
      <w:r>
        <w:t>Die Erklärung ist ernüchternd plausibel. Eine reibungslose Stimmabgabe beweist dem Nutzer, dass das System bequem ist. Sie beweist ihm nicht, dass im Rechenzentrum niemand mitliest und niemand umzählt. Genau darüber urteilt aber das Vertrauen. Jugendliche, auch Vierzehnjährige, unterscheiden das offenbar sehr genau.</w:t>
      </w:r>
    </w:p>
    <w:p>
      <w:pPr>
        <w:pStyle w:val="Heading3"/>
      </w:pPr>
      <w:r>
        <w:t>Verifizieren können heißt nicht verstehen</w:t>
      </w:r>
    </w:p>
    <w:p>
      <w:pPr>
        <w:jc w:val="both"/>
      </w:pPr>
      <w:r>
        <w:t>Das digitale System bot eine Besonderheit, die in der Debatte um Online-Wahlen als Vertrauensanker gilt: Jede Wählerin konnte nach der Stimmabgabe per Code prüfen, ob die eigene Stimme in der digitalen Wahlurne angekommen ist. Rund 570 Jugendliche taten das, fast jeder fünfte digitale Wähler. Die Funktion wurde also angenommen.</w:t>
      </w:r>
    </w:p>
    <w:p>
      <w:pPr>
        <w:jc w:val="both"/>
      </w:pPr>
      <w:r>
        <w:t>Nur: Messbar gewirkt hat sie nicht. Das Verständnis dafür, was nach der Stimmabgabe mit der eigenen Stimme geschieht, lag in der Digital-Gruppe nicht verlässlich höher als in der Papier-Gruppe. Und der Wunsch, selbst zu prüfen, hing mit dem Verständnis des Systems praktisch gar nicht zusammen. Wer verifizieren wollte, verstand das System deshalb nicht besser, und wer es verstand, wollte deshalb nicht häufiger prüfen.</w:t>
      </w:r>
    </w:p>
    <w:p>
      <w:pPr>
        <w:jc w:val="both"/>
      </w:pPr>
      <w:r>
        <w:t>Für die deutsche Diskussion hat dieser Befund Gewicht. Das Bundesverfassungsgericht verlangt seit dem Wahlcomputer-Urteil von 2009, dass die wesentlichen Schritte von Wahlhandlung und Ergebnisermittlung ohne besondere Sachkenntnis nachvollziehbar sein müssen. Die U18-Daten zeigen im Feld, was Laborstudien schon andeuteten: Eine kryptographische Verifikationsfunktion einzubauen genügt dafür nicht. Zwischen mathematischer Überprüfbarkeit und bürgerlicher Nachvollziehbarkeit liegt eine Übersetzungsschicht, die institutionell gebaut werden muss: unabhängige Audits, öffentliche Schlüsselzeremonien, verständliche Prüf-Oberflächen, formalisierte Einspruchswege. Verifizierbarkeit ist notwendig. Hinreichend ist sie nicht.</w:t>
      </w:r>
    </w:p>
    <w:p>
      <w:pPr>
        <w:pStyle w:val="Heading3"/>
      </w:pPr>
      <w:r>
        <w:t>Die Reihenfolge macht den Unterschied</w:t>
      </w:r>
    </w:p>
    <w:p>
      <w:pPr>
        <w:jc w:val="both"/>
      </w:pPr>
      <w:r>
        <w:t>Aus den drei Befunden ergibt sich für die Verwaltungspraxis keine Entweder-oder-Entscheidung zwischen Pilotprojekt und Aufklärungskampagne, sondern eine Reihenfolge.</w:t>
      </w:r>
    </w:p>
    <w:p>
      <w:pPr>
        <w:jc w:val="both"/>
      </w:pPr>
      <w:r>
        <w:t>Zuerst kommt die Vertrauensarbeit: institutionelle Glaubwürdigkeit, Audit-Transparenz, unabhängige Aufsicht. Sie muss vor dem Piloten stehen, weil der Pilot sie nachweislich nicht erzeugt und weil die Vor-Einstellung, an der das Vertrauen hängt, gebildet ist, bevor sich jemand zum ersten Mal einloggt. Dann kommt der Pilot, als das, was er ist: das stärkste verfügbare Akzeptanzinstrument. Danach die Kampagne, gerichtet an jene, die der Pilot nicht erreicht. Und am Ende die gezielte Arbeit mit den Skeptikern, die sich in den Daten am wenigsten bewegt haben; sie erreicht man nicht mit besserer Nutzererfahrung, sondern mit adressierbarer Manipulationssicherheit, etwa öffentlichen Prüfverfahren und beobachtbaren Nachzählungen.</w:t>
      </w:r>
    </w:p>
    <w:p>
      <w:pPr>
        <w:jc w:val="both"/>
      </w:pPr>
      <w:r>
        <w:t>Wer die Reihenfolge umdreht und hofft, Vertrauen entstehe schon durch Nutzung, wird von genau dem Muster enttäuscht werden, das diese Studie dokumentiert.</w:t>
      </w:r>
    </w:p>
    <w:p>
      <w:pPr>
        <w:pStyle w:val="Heading3"/>
      </w:pPr>
      <w:r>
        <w:t>Was die Studie kann und was nicht</w:t>
      </w:r>
    </w:p>
    <w:p>
      <w:pPr>
        <w:jc w:val="both"/>
      </w:pPr>
      <w:r>
        <w:t>Zur Ehrlichkeit gehört der Hinweis auf die Grenzen. Die Zuteilung der Wahlform erfolgte über Kommunen, nicht per Los; Digital- und Papier-Kommunen unterscheiden sich in ihrer Stadt-Land-Struktur, die Gruppen in Schulform und politischem Interesse. Die Papierwahl fand zudem oft als betreutes Gruppenereignis in der Schule statt, die digitale Wahl allein zu Hause; auch der Weg zum Fragebogen unterschied sich. Eine Befragung vor der Wahl war aus wahlrechtlichen Gründen nicht zulässig, die Vor-Einstellung wurde deshalb rückblickend erhoben. Alle Ergebnisse sind daher als statistisch bereinigte Zusammenhänge zu lesen, nicht als Beweis im Sinne eines randomisierten Experiments. Dass die zentrale Asymmetrie, Akzeptanz bewegt sich stark, Vertrauen kaum, sämtliche Robustheitsprüfungen übersteht und sich gerade nicht durch die technikaffinere Zusammensetzung der Digital-Gruppe erklären lässt, macht sie gleichwohl zur derzeit am besten belegten Aussage über reale digitale Wahlerfahrung in Deutschland.</w:t>
      </w:r>
    </w:p>
    <w:p>
      <w:pPr>
        <w:pStyle w:val="Heading3"/>
      </w:pPr>
      <w:r>
        <w:t>Wie es weitergeht</w:t>
      </w:r>
    </w:p>
    <w:p>
      <w:pPr>
        <w:jc w:val="both"/>
      </w:pPr>
      <w:r>
        <w:t>Die nächsten Schritte sind konkret. In München wird die Zusammenarbeit mit der Landeshauptstadt fortgesetzt: Bei Personalratswahlen trifft das Instrumentarium auf eine erwachsene Belegschaft, vom IT-Referat bis zu Beschäftigten ohne jeden Bildschirmarbeitsplatz, und bei der Wahl zum Migrationsbeirat auf ein Gremium, dessen chronisch niedrige Wahlbeteiligung die größte Hoffnung auf den digitalen Kanal begründet. Dort wird es erstmals drei parallele Wege geben: Urne, Brief, digital. Damit lässt sich die Frage untersuchen, die nach der U18-Wahl offenbleiben musste: Wer wählt welchen Kanal, wenn alle offenstehen?</w:t>
      </w:r>
    </w:p>
    <w:p>
      <w:pPr>
        <w:jc w:val="both"/>
      </w:pPr>
      <w:r>
        <w:t>Die Lehre aus Bayern lässt sich bis dahin in zwei Sätzen zusammenfassen. Ausprobieren überzeugt, und zwar in einer Größenordnung, die keine Kampagne erreicht. Aber Vertrauen entsteht nicht im Wahlvorgang, sondern in den Institutionen davor, und diese Arbeit kann der Verwaltung kein noch so gelungener Pilot abnehmen.</w:t>
      </w:r>
    </w:p>
    <w:p>
      <w:pPr>
        <w:jc w:val="both"/>
      </w:pPr>
      <w:r>
        <w:rPr>
          <w:i/>
        </w:rPr>
        <w:t>Die Studie entstand an der Universität der Bundeswehr München im Rahmen von dtec.bw. Datengrundlage: 511 Befragte der U18-Wahl zur bayerischen Kommunalwahl 2026, davon 390 vollständige Fragebögen (266 digital, 124 Papier). Kontakt: [Kontaktdaten einfügen].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