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pPr>
        <w:pStyle w:val="FirstParagraph"/>
      </w:pPr>
      <w:r>
        <w:rPr>
          <w:bCs/>
          <w:b/>
        </w:rPr>
        <w:t xml:space="preserve">Arbeitsfassung für Zeitschrifteneinreichung, v0.2 (deutsch)</w:t>
      </w:r>
    </w:p>
    <w:p>
      <w:pPr>
        <w:pStyle w:val="BodyText"/>
      </w:pPr>
      <w:r>
        <w:rPr>
          <w:iCs/>
          <w:i/>
        </w:rPr>
        <w:t xml:space="preserve">Zielformat: Abhandlung, dms – der moderne staat. Autorenangaben, Danksagung und Interessenerklärung folgen; offene Entscheidungen in</w:t>
      </w:r>
      <w:r>
        <w:rPr>
          <w:iCs/>
          <w:i/>
        </w:rPr>
        <w:t xml:space="preserve"> </w:t>
      </w:r>
      <w:r>
        <w:rPr>
          <w:rStyle w:val="VerbatimChar"/>
          <w:iCs/>
          <w:i/>
        </w:rPr>
        <w:t xml:space="preserve">submission-notes.md</w:t>
      </w:r>
      <w:r>
        <w:rPr>
          <w:iCs/>
          <w:i/>
        </w:rPr>
        <w:t xml:space="preserve">.</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in 23 Briefwahlbezirken der Kommunalwahl 2026, nach unserem Kenntnisstand der erste systematisch evaluierte rechtsverbindliche Einsatz dieser Verfahrensvariante. Die Untersuchung trianguliert administrative Prozessdaten, die amtliche Berichtigungsstatistik aller 690 Briefwahlbezirke und zwei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in vielen Demokratien ein chronisches Problem der Wahlorganisation (Burden/Milyo 2015; Czapiewski 2025),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Forschungsfragen. FF1: Was bewirkt die digitale Erfassung für Geschwindigkeit und Personaleinsatz der Auszählung? FF2: Was bewirkt sie für die Auszählungsqualität, gemessen an den amtlichen Berichtigungen der Wahlniederschriften? FF3: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dazu auf gesondertem Stimmzettel weitere Stimmen für den Bezirksausschuss des jeweiligen Stadtbezirks (insgesamt 25 Gremien).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Verfahren, deren wesentliche Schritte Bürgerinnen und Bürger nicht ohne besondere Sachkenntnis nachvollziehen können.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den Kerneinwand des Wahlcomputer-Urteils nicht, wohl aber jede betriebliche Frage nach Zuverlässigkeit, Bedienbarkeit und Prozessintegration. Zwei Klarstellungen zur Reichweite: Eine abschließende wahl- und verfassungsrechtliche Würdigung des Verfahrens leistet dieser Beitrag nicht; die Einordnung hier ist funktional, nicht dogmatisch. Die verbleibenden Fragen sind empirisch, und ihnen gilt die Untersuchung.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dms-einreichung/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behandelt handmarkierte und von Hand gezählte Papierstimmzettel als Sicherheitsanker der Wahl, so prominent bei Appel et al. (2020), und unterstellt damit implizit,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Zu den am besten dokumentierten europäischen Einsätzen von Auszählungstechnik gehören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zum Integritätskonzept Norris 2014).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Die Digitalisierungsforschung zu dieser Arbeitsform zeigt, dass Informationssysteme Ermessen nicht einfach beseitigen, sondern zwischen Sachbearbeitung und Systemgestaltung umverteilen (Bovens/Zouridis 2002) und dass Ausmaß und Richtung dieser Verschiebung von der konkreten Technik abhängen (Buffat 2015); die Auszählung ist dafür ein bislang unbeachteter Anwendungsfall.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da die Grundgesamtheit der Eingeladenen im verfügbaren Material nicht ausgewiesen ist, lässt sich für diese Befragung keine Rücklaufquote beziffern.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(Brown/Cai/DasGupta 2001).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4f38187e5e0ef3eb5dd8defe21e7382149163d5"/>
    <w:p>
      <w:pPr>
        <w:pStyle w:val="Heading3"/>
      </w:pPr>
      <w:r>
        <w:t xml:space="preserve">5.1 Effizienz (FF1):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7f0a56cbf19c518918f6f80024e0fa2f2c09044"/>
    <w:p>
      <w:pPr>
        <w:pStyle w:val="Heading3"/>
      </w:pPr>
      <w:r>
        <w:t xml:space="preserve">5.2 Qualität (FF2):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nach Einschätzung des Wahlamts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Die schärfste faire Vergleichsebene ist der gemeinsame Auszählungsstandort: Die WES-Bezirke wurden am Standort mit der höchsten konventionellen Berichtigungsquote ausgezählt (9,7 Prozent), und gegen diese lokale Basisrate gerechnet, hätte ein Null-Ergebnis unter der Nullhypothese nur noch eine Wahrscheinlichkeit von rund zehn Prozent (Binomialnäherung, da die Bezirkszahlen je Standort nicht ausgewiesen sind). Auch die strengste verfügbare Vergleichsebene liefert damit ein konsistentes, aber kein konventionell signifikantes Signal.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acfd54bd7064138dcec68cf8c6d78f57216668d"/>
    <w:p>
      <w:pPr>
        <w:pStyle w:val="Heading3"/>
      </w:pPr>
      <w:r>
        <w:t xml:space="preserve">5.3 Akzeptanz und Schulung (FF3):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aussagekräftige Zwischenergebnisse bereits rund 30 Minuten nach Auszählungsbeginn vorlagen und die vollständigen ungeprüften Ergebnisse, wie in Abschnitt 5.2 berichtet, um höchstens 0,3 Prozentpunkte vom amtlichen Endergebnis abwichen.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beantworten die drei Befundblöcke die Forschungsfragen mit einer spezifischen, begrenzten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Geltungsbedingungen dieser Aussage sind eng und benennbar: hohe Auszählungskomplexität, zentrale Auszählung, ehrenamtliche Bedienung nach kurzer Schulung und ein Papierdokument, das maßgeblich und nachzählbar bleibt. Außerhalb dieser Bedingungen beansprucht der Befund nichts. Die Konfiguration, die diese Ergebnisse hervorbrachte, ist zugleich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gelten als besonders schwer zu besetzen (Burden/Milyo 2015; Czapiewski 2025),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Beobachtungsartefakten im Sinne des Hawthorne-Effekts vereinbar (McCambridge et al. 2014).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Eine eigenständige IT-sicherheitstechnische Prüfung des Systems und seiner Übertragungskette fand im Rahmen der Evaluation nicht statt; die Sicherheitsarchitektur (verschlüsselter Ergebnistransfer, Papier als maßgebliches und nachzählbares Dokument) wird hier beschrieben, nicht auditiert.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vier 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 Schließlich fehlt eine Kostenseite: Der Pilot erhob keine belastbaren Daten zu Beschaffungs-, Lizenz- und Bereitstellungskosten, sodass die Effizienzbefunde Zeit-, nicht Wirtschaftlichkeitsaussagen sind; eine Wirtschaftlichkeitsbetrachtung steht aus und wird auch von der städtischen Evaluation als offener Punkt benannt.</w:t>
      </w:r>
    </w:p>
    <w:bookmarkEnd w:id="48"/>
    <w:bookmarkStart w:id="49" w:name="folgerungen-für-praxis-und-forschung"/>
    <w:p>
      <w:pPr>
        <w:pStyle w:val="Heading3"/>
      </w:pPr>
      <w:r>
        <w:t xml:space="preserve">6.4 Folgerungen für Praxis und Forschung</w:t>
      </w:r>
    </w:p>
    <w:p>
      <w:pPr>
        <w:pStyle w:val="FirstParagraph"/>
      </w:pPr>
      <w:r>
        <w:t xml:space="preserve">Für Wahlbehörden ist die wichtigste Lehre eine Prioritätenfrage. Nicht die Erfassungsoberfläche braucht Investitionen, mit ihr kamen selbst Ungeschulte zurecht, sondern die Integrationskette aus Bereitstellung, Zusammenführung und Übergabe: Dort entstanden sämtliche ernsten Störungen des Piloten, und dort entschied sich, dass Ergebnisse zwei Tage statt Stunden brauchten. Wer skaliert, ohne diese Kette neu zu bauen, skaliert den Engpass mit. Dahinter rangieren drei kleinere, aber konkrete Stellhebel: eine schlankere, praxiszentrierte Schulung, eine an der Gremiengröße bemessene Geräteausstattung, damit der Personalgewinn nicht in Leerlauf zerrinnt, und definierte Veröffentlichungsregeln für Zwischenergebnisse, bevor die neue Fähigkeit zur Improvisation verführt. Jeder Skalierungsentscheidung sollte zudem eine Wirtschaftlichkeitsbetrachtung vorausgehen, die der Pilot nicht liefern konnte.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für die kommunale Umsetzungsebene Kuhlmann/Heuberger 2023),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Bovens/Zouridis 2002; Buffat 2015).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Bovens, M./Zouridis, S. (2002): From Street-Level to System-Level Bureaucracies. How Information and Communication Technology is Transforming Administrative Discretion and Constitutional Control. In: Public Administration Review 62, H. 2, S. 174–184.</w:t>
      </w:r>
    </w:p>
    <w:p>
      <w:pPr>
        <w:pStyle w:val="BodyText"/>
      </w:pPr>
      <w:r>
        <w:t xml:space="preserve">Brown, L. D./Cai, T. T./DasGupta, A. (2001): Interval Estimation for a Binomial Proportion. In: Statistical Science 16, H. 2, S. 101–133.</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Buffat, A. (2015): Street-Level Bureaucracy and E-Government. In: Public Management Review 17, H. 1, S. 149–161.</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Czapiewski, T. (2025): Poll Workers and the Challenges of Election Management at the Ground Level. In: Polish Political Science Yearbook 54, H. 2.</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Kuhlmann, S./Heuberger, M. (2023): Digital Transformation Going Local. Implementation, Impacts and Constraints from a German Perspective. In: Public Money &amp; Management 43, H. 2, S. 147–155.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McCambridge, J./Witton, J./Elbourne, D. R. (2014): Systematic Review of the Hawthorne Effect. New Concepts Are Needed to Study Research Participation Effects. In: Journal of Clinical Epidemiology 67, H. 3, S. 267–277.</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Norris, P. (2014): Why Electoral Integrity Matters. New York.</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2026-07-19T19:39:32Z</dcterms:created>
  <dcterms:modified xsi:type="dcterms:W3CDTF">2026-07-19T19:39:32Z</dcterms:modified>
</cp:coreProperties>
</file>

<file path=docProps/custom.xml><?xml version="1.0" encoding="utf-8"?>
<Properties xmlns="http://schemas.openxmlformats.org/officeDocument/2006/custom-properties" xmlns:vt="http://schemas.openxmlformats.org/officeDocument/2006/docPropsVTypes"/>
</file>