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a36ca00089a3c6248ddd1c2889dfac7a017415"/>
    <w:p>
      <w:pPr>
        <w:pStyle w:val="Heading1"/>
      </w:pPr>
      <w:r>
        <w:t xml:space="preserve">Den Zählvorgang digitalisieren, nicht die Stimmabgabe: Die erste systematische Evaluation eines rechtsverbindlichen Einsatzes digitaler Stimmzettelerfassung bei der Kommunalwahl 2026 in München</w:t>
      </w:r>
    </w:p>
    <w:p>
      <w:pPr>
        <w:pStyle w:val="FirstParagraph"/>
      </w:pPr>
      <w:r>
        <w:rPr>
          <w:bCs/>
          <w:b/>
        </w:rPr>
        <w:t xml:space="preserve">Arbeitsfassung für Zeitschrifteneinreichung, v0.2 (deutsch)</w:t>
      </w:r>
    </w:p>
    <w:p>
      <w:pPr>
        <w:pStyle w:val="BodyText"/>
      </w:pPr>
      <w:r>
        <w:rPr>
          <w:iCs/>
          <w:i/>
        </w:rPr>
        <w:t xml:space="preserve">Zielformat: Abhandlung, dms – der moderne staat. Autorenangaben, Danksagung und Interessenerklärung folgen; offene Entscheidungen in</w:t>
      </w:r>
      <w:r>
        <w:rPr>
          <w:iCs/>
          <w:i/>
        </w:rPr>
        <w:t xml:space="preserve"> </w:t>
      </w:r>
      <w:r>
        <w:rPr>
          <w:rStyle w:val="VerbatimChar"/>
          <w:iCs/>
          <w:i/>
        </w:rPr>
        <w:t xml:space="preserve">submission-notes.md</w:t>
      </w:r>
      <w:r>
        <w:rPr>
          <w:iCs/>
          <w:i/>
        </w:rPr>
        <w:t xml:space="preserve">.</w:t>
      </w:r>
    </w:p>
    <w:p>
      <w:r>
        <w:pict>
          <v:rect style="width:0;height:1.5pt" o:hralign="center" o:hrstd="t" o:hr="t"/>
        </w:pict>
      </w:r>
    </w:p>
    <w:bookmarkStart w:id="20" w:name="zusammenfassung"/>
    <w:p>
      <w:pPr>
        <w:pStyle w:val="Heading2"/>
      </w:pPr>
      <w:r>
        <w:t xml:space="preserve">Zusammenfassung</w:t>
      </w:r>
    </w:p>
    <w:p>
      <w:pPr>
        <w:pStyle w:val="FirstParagraph"/>
      </w:pPr>
      <w:r>
        <w:t xml:space="preserve">Komplexe Kommunalwahlrechte mit Kumulieren und Panaschieren machen die Handauszählung zum aufwendigsten und fehleranfälligsten Schritt der Wahl, während elektronische Stimmabgabe in Deutschland verfassungsrechtlich ausscheidet. Der Beitrag evaluiert eine dritte, empirisch kaum untersuchte Anordnung: die digitale Stimmzettelerfassung, bei der Wahlhelfende Papierstimmzettel öffentlich auslesen und softwaregestützt verbuchen, während das Papier maßgeblich bleibt. Untersucht wird der Münchner Proof of Concept (23 Briefwahlbezirke der Kommunalwahl 2026), nach unserem Kenntnisstand der erste rechtsverbindliche Einsatz dieser Verfahrensvariante, der systematisch wissenschaftlich evaluiert wurde, durch Triangulation administrativer Prozessdaten, der amtlichen Berichtigungsstatistik aller 690 Briefwahlbezirke und zweier Wahlhelfendenbefragungen (n = 102; n = 3.198). Die Erfassungszeit pro Stadtratsstimmzettel sank um rund zwei Drittel. Kein digital ausgezählter Bezirk benötigte eine Niederschriftsberichtigung, gegenüber 5,2 Prozent der konventionellen Bezirke; diese Differenz ist richtungskonsistent, bei 23 Pilotbezirken jedoch nicht signifikant. Die Akzeptanz war nahezu einhellig, ungeschulte Helfende bewältigten das System annähernd so gut wie geschulte. Engpass war die Offline-Integrationskette, nicht die Erfassung. Digitale Stimmzettelerfassung verdient verwaltungswissenschaftlich und regulatorisch eine eigenständige Behandlung jenseits der E-Voting-Debatte.</w:t>
      </w:r>
    </w:p>
    <w:p>
      <w:pPr>
        <w:pStyle w:val="BodyText"/>
      </w:pPr>
      <w:r>
        <w:rPr>
          <w:bCs/>
          <w:b/>
        </w:rPr>
        <w:t xml:space="preserve">Schlagwörter:</w:t>
      </w:r>
      <w:r>
        <w:t xml:space="preserve"> </w:t>
      </w:r>
      <w:r>
        <w:t xml:space="preserve">Wahlorganisation; Verwaltungsdigitalisierung; Stimmenauszählung; Wahlhelfende; Kommunalwahlen; Technikakzeptanz</w:t>
      </w:r>
    </w:p>
    <w:bookmarkEnd w:id="20"/>
    <w:bookmarkStart w:id="21" w:name="abstract"/>
    <w:p>
      <w:pPr>
        <w:pStyle w:val="Heading2"/>
      </w:pPr>
      <w:r>
        <w:t xml:space="preserve">Abstract</w:t>
      </w:r>
    </w:p>
    <w:p>
      <w:pPr>
        <w:pStyle w:val="FirstParagraph"/>
      </w:pPr>
      <w:r>
        <w:rPr>
          <w:iCs/>
          <w:i/>
        </w:rPr>
        <w:t xml:space="preserve">Digitising the count, not the vote: The first systematic evaluation of a legally binding deployment of digital ballot capture in the 2026 Munich municipal election.</w:t>
      </w:r>
      <w:r>
        <w:t xml:space="preserve"> </w:t>
      </w:r>
      <w:r>
        <w:t xml:space="preserve">Complex municipal electoral rules with cumulative voting and panachage make hand counting the most laborious and error-prone step of local elections, while electronic voting is constitutionally foreclosed in Germany. This article evaluates a third, empirically neglected arrangement: digital ballot capture, in which poll workers publicly read paper ballots and record votes in software while the paper remains authoritative. We provide, to our knowledge, the first systematic evaluation of a legally binding deployment (23 postal-voting districts of the 2026 Munich municipal election), triangulating administrative process data, the official correction statistics of all 690 postal-voting districts, and two poll worker surveys (n = 102; n = 3,198). Recording time per city council ballot fell by roughly two thirds. No digitally counted district required a certificate correction, against 5.2 percent of conventional districts; this difference is directionally consistent but not statistically significant given 23 pilot districts. Poll worker acceptance was near-unanimous, and untrained workers coped almost as well as trained ones. The bottleneck was the offline integration chain, not capture. Digital ballot capture deserves scholarly and regulatory treatment in its own right, apart from the e-voting debate.</w:t>
      </w:r>
    </w:p>
    <w:p>
      <w:pPr>
        <w:pStyle w:val="BodyText"/>
      </w:pPr>
      <w:r>
        <w:rPr>
          <w:bCs/>
          <w:b/>
        </w:rPr>
        <w:t xml:space="preserve">Keywords:</w:t>
      </w:r>
      <w:r>
        <w:t xml:space="preserve"> </w:t>
      </w:r>
      <w:r>
        <w:t xml:space="preserve">election administration; digital government; vote counting; poll workers; local elections; technology acceptance</w:t>
      </w:r>
    </w:p>
    <w:p>
      <w:r>
        <w:pict>
          <v:rect style="width:0;height:1.5pt" o:hralign="center" o:hrstd="t" o:hr="t"/>
        </w:pict>
      </w:r>
    </w:p>
    <w:bookmarkEnd w:id="21"/>
    <w:bookmarkStart w:id="22" w:name="einleitung"/>
    <w:p>
      <w:pPr>
        <w:pStyle w:val="Heading2"/>
      </w:pPr>
      <w:r>
        <w:t xml:space="preserve">1. Einleitung</w:t>
      </w:r>
    </w:p>
    <w:p>
      <w:pPr>
        <w:pStyle w:val="FirstParagraph"/>
      </w:pPr>
      <w:r>
        <w:t xml:space="preserve">Am Abend einer bayerischen Kommunalwahl trägt ein einzelner Stimmzettel mehr Einzelentscheidungen als der Stimmzettel einer ganzen Bundestagswahl. Wer in München den Stadtrat wählt, verfügt über 80 Stimmen, darf bis zu drei davon auf eine einzelne Person häufeln und über Listengrenzen hinweg verteilen. Jede dieser Markierungen muss von ehrenamtlichen Wahlhelfenden erkannt, rechtlich bewertet und kandidatenscharf verbucht werden. Die Auszählung zieht sich regelmäßig bis in den Folgetag; der Personalbedarf ist erheblich, und die Rekrutierung von Wahlhelfenden ist gerade für Kommunalwahlen schwierig, weil der Auszählungsaufwand bekannt ist. Die Handauszählung ist unter diesen Regeln keine Formalie am Ende des Wahltags, sondern der arbeitsintensivste und fehleranfälligste Schritt des gesamten Wahlverfahrens.</w:t>
      </w:r>
    </w:p>
    <w:p>
      <w:pPr>
        <w:pStyle w:val="BodyText"/>
      </w:pPr>
      <w:r>
        <w:t xml:space="preserve">Die wissenschaftliche und regulatorische Debatte über Technik in Wahlen war über weite Strecken eine Debatte über Wahlcomputer und Internetwahlen, und sie hat begründete Skepsis hervorgebracht. Elektronische Wahlgeräte scheiterten in Deutschland an der Verfassung (BVerfG, Urteil vom 3.3.2009, 2 BvC 3/07 u. 4/07; Taylor 2010), wurden in den Niederlanden abgeschafft (Jacobs/Pieters 2009), und für Ballot-Marking-Devices in den USA ist gezeigt, dass sie die Prüfkette zwischen Wählerwillen und gespeicherter Stimme unterbrechen (Appel et al. 2020). Ländervergleichende Evidenz verbindet elektronische Ergebnisfeststellung mit niedrigerer, nicht höherer Wahlintegrität (Haque/Carroll 2020). Das Karlsruher Urteil erhob den Grundsatz der Öffentlichkeit der Wahl zum Maßstab: Alle wesentlichen Schritte der Wahl müssen für Bürgerinnen und Bürger ohne besondere Sachkenntnis nachvollziehbar sein. Elektronische Stimmabgabe wird in Deutschland seither politisch nicht mehr ernsthaft verfolgt (Fitzpatrick/Jöst 2022).</w:t>
      </w:r>
    </w:p>
    <w:p>
      <w:pPr>
        <w:pStyle w:val="BodyText"/>
      </w:pPr>
      <w:r>
        <w:t xml:space="preserve">Diese Debatte verdeckt jedoch einen Kategorienunterschied. Zwischen Handauszählung und Wahlcomputer liegt eine dritte Verfahrensvariante: Wahlhelfende zählen Papierstimmzettel wie bisher in öffentlicher Sitzung aus, tragen die ausgelesenen Stimmen aber in eine Software ein statt in Zähllisten. Der Papierstimmzettel bleibt das maßgebliche Dokument und jederzeit nachzählbar; digitalisiert wird allein die Verbuchungs- und Rechenebene. Die deutsche Forschung hat diese Anordnung früh antizipiert und argumentiert, dass elektronische Unterstützung der</w:t>
      </w:r>
      <w:r>
        <w:t xml:space="preserve"> </w:t>
      </w:r>
      <w:r>
        <w:rPr>
          <w:iCs/>
          <w:i/>
        </w:rPr>
        <w:t xml:space="preserve">Auszählung</w:t>
      </w:r>
      <w:r>
        <w:t xml:space="preserve"> </w:t>
      </w:r>
      <w:r>
        <w:t xml:space="preserve">dem Öffentlichkeitsgrundsatz genügen kann, an dem die elektronische</w:t>
      </w:r>
      <w:r>
        <w:t xml:space="preserve"> </w:t>
      </w:r>
      <w:r>
        <w:rPr>
          <w:iCs/>
          <w:i/>
        </w:rPr>
        <w:t xml:space="preserve">Stimmabgabe</w:t>
      </w:r>
      <w:r>
        <w:t xml:space="preserve"> </w:t>
      </w:r>
      <w:r>
        <w:t xml:space="preserve">scheitert (Volkamer 2010; Neumann et al. 2013; Budurushi et al. 2014). Die empirische Basis dieses Mittelwegs ist gleichwohl dünn. Budurushi et al. (2014) evaluierten einen Prototyp bei einer Hochschulwahl; die britischen E-Counting-Einsätze von 2007 arbeiteten mit Scannern statt menschlicher Erfassung und sind vor allem als Beschaffungs- und Transparenzdebakel dokumentiert (Kitcat/Brown 2008; Lock et al. 2008). Rechtsverbindliche Praxiseinsätze menschlich bedienter Erfassung existieren durchaus, namentlich in Bremen, wo das hier untersuchte System vor dem Münchner Einsatz bereits im Realbetrieb stand; eine veröffentlichte systematische Auswertung dieser Einsätze mit administrativen Ergebnisdaten und Wahlhelfendenbefragung liegt jedoch nach unserem Kenntnisstand nicht vor. Genau diese Evaluationslücke schließt der vorliegende Beitrag.</w:t>
      </w:r>
    </w:p>
    <w:p>
      <w:pPr>
        <w:pStyle w:val="BodyText"/>
      </w:pPr>
      <w:r>
        <w:t xml:space="preserve">Bei der Kommunalwahl im März 2026 setzte die Landeshauptstadt München ein digitales Stimmzettelerfassungssystem (Wahllokalerfassungssystem, WES) als Proof of Concept in 23 von 690 Briefwahlbezirken ein; erfasst wurden Stadtrats- und Bezirksausschusswahl, während die Oberbürgermeisterwahl konventionell ausgezählt wurde. Wir stellen drei Fragen. Erstens: Was bewirkt die digitale Erfassung für Geschwindigkeit und Personaleinsatz der Auszählung? Zweitens: Was bewirkt sie für die Auszählungsqualität, gemessen an den amtlichen Berichtigungen der Wahlniederschriften? Drittens: Akzeptieren die ehrenamtlichen Wahlhelfenden, die ein solches System bedienen müssen, die neue Arbeitsweise, und wie viel Schulung benötigen sie dafür?</w:t>
      </w:r>
    </w:p>
    <w:p>
      <w:pPr>
        <w:pStyle w:val="BodyText"/>
      </w:pPr>
      <w:r>
        <w:t xml:space="preserve">Beantwortet werden diese Fragen mit drei Datenquellen: den Prozess- und Ergebnisdaten der städtischen Begleitevaluation, der amtlichen Berichtigungsstatistik aller 690 Briefwahlbezirke und zwei nach der Wahl durchgeführten standardisierten Online-Befragungen (n = 102 WES-Wahlhelfende; n = 3.198 Wahlhelfende insgesamt). Das Design ist beobachtend, die Pilotbezirke wurden nicht zufällig ausgewählt; alle Gruppenvergleiche werden deshalb deskriptiv geführt. Wo die Fallzahlen einen Test erlauben, berichten wir ihn, auch dort, wo er das prägnanteste Ergebnis relativiert: Die Null-Berichtigungs-Bilanz der WES-Bezirke gegenüber 5,2 Prozent der konventionellen Bezirke erreicht bei 23 Pilotbezirken keine statistische Signifikanz (exakter Fisher-Test, p = 0,30). Die Effizienz- und Akzeptanzbefunde hängen nicht an Gruppenvergleichen und sind entsprechend belastbarer: Die Erfassungszeit pro Stimmzettel sank um rund zwei Drittel, und das 95-Prozent-Konfidenzintervall der Wiedereinsatz-Zustimmung reicht von 96 bis 100 Prozent.</w:t>
      </w:r>
    </w:p>
    <w:p>
      <w:pPr>
        <w:pStyle w:val="BodyText"/>
      </w:pPr>
      <w:r>
        <w:t xml:space="preserve">Der Beitrag leistet zweierlei. Empirisch liefert er die nach unserem Kenntnisstand erste systematische Ergebnisevaluation rechtsverbindlicher digitaler Stimmzettelerfassung in Deutschland, und zwar auf allen drei Dimensionen, die für Einführungsentscheidungen zählen: Effizienz, Qualität und Akzeptanz der Helfendenschaft. Konzeptionell argumentiert er, dass digitale Stimmzettelerfassung ein eigenständiger Untersuchungsgegenstand ist, den der E-Voting-Rahmen der Literatur systematisch verfehlt. Die Risiken, die Wahlcomputer zu Fall brachten, nämlich die für Laien unüberprüfbare Verbindung zwischen Wahlhandlung und gespeicherter Stimme, sind strukturell abwesend, wenn der Papierstimmzettel maßgeblich bleibt und die Erfassung öffentlich erfolgt. Die verbleibenden Risiken, etwa Bereitstellungslogistik, Datenintegration und Eingabefehler unter Zeitdruck, sind anderer Natur: betrieblich statt verfassungsrechtlich. Unsere Befunde zeigen, dass genau sie in der Praxis die bindende Restriktion bilden.</w:t>
      </w:r>
    </w:p>
    <w:p>
      <w:pPr>
        <w:pStyle w:val="BodyText"/>
      </w:pPr>
      <w:r>
        <w:t xml:space="preserve">Der Gang der Untersuchung: Abschnitt 2 beschreibt den institutionellen Rahmen, das bayerische Kommunalwahlrecht, die verfassungsrechtlichen Vorgaben und das erprobte System. Abschnitt 3 verortet die Studie im Forschungsstand und entwickelt den analytischen Rahmen. Abschnitt 4 legt Design, Daten und Methode offen, einschließlich der Begründung des Erhebungsinstruments. Abschnitt 5 berichtet die Befunde, Abschnitt 6 diskutiert Reichweite und Grenzen, Abschnitt 7 zieht das Fazit.</w:t>
      </w:r>
    </w:p>
    <w:bookmarkEnd w:id="22"/>
    <w:bookmarkStart w:id="29" w:name="X842827670dd13c27a05dd81191173b8f021557a"/>
    <w:p>
      <w:pPr>
        <w:pStyle w:val="Heading2"/>
      </w:pPr>
      <w:r>
        <w:t xml:space="preserve">2. Untersuchungsgegenstand: Auszählung komplexer Stimmzettel unter strengem Verfassungsrahmen</w:t>
      </w:r>
    </w:p>
    <w:bookmarkStart w:id="23" w:name="Xabeccb7b3abe26d1f969cbff67b9a7ef2fb7aac"/>
    <w:p>
      <w:pPr>
        <w:pStyle w:val="Heading3"/>
      </w:pPr>
      <w:r>
        <w:t xml:space="preserve">2.1 Das Auszählungsproblem bayerischer Kommunalwahlen</w:t>
      </w:r>
    </w:p>
    <w:p>
      <w:pPr>
        <w:pStyle w:val="FirstParagraph"/>
      </w:pPr>
      <w:r>
        <w:t xml:space="preserve">Das bayerische Kommunalwahlrecht (GLKrWG) gewährt Wählenden so viele Stimmen, wie Sitze zu vergeben sind: 80 für den Münchner Stadtrat, weitere Stimmen für die 25 Bezirksausschüsse auf gesonderten Stimmzetteln. Zulässig sind das Häufeln von bis zu drei Stimmen auf eine Person (Kumulieren) und die Verteilung von Stimmen über Listengrenzen hinweg (Panaschieren); ein Listenkreuz weist die nicht einzeln vergebenen Stimmen den Listenkandidaturen in Reihenfolge zu. Ein einzelner gültiger Stadtratsstimmzettel kann somit Dutzende einzeln zuzuordnende Kandidatenstimmen in idiosynkratischen Kombinationen kodieren.</w:t>
      </w:r>
    </w:p>
    <w:p>
      <w:pPr>
        <w:pStyle w:val="BodyText"/>
      </w:pPr>
      <w:r>
        <w:t xml:space="preserve">Die manuelle Auszählung verlangt, jeden Stimmzettel vorzulesen, rechtlich zu würdigen, kandidatenscharf zu verbuchen und gegenzuprüfen. Das Münchner Wahlamt veranschlagt für das konventionelle Verfahren rund drei Minuten Bearbeitungszeit pro Stadtratsstimmzettel; die Auszählung erstreckt sich regelmäßig in den Folgetag. Die Größe der Fehlerfläche folgt aus derselben Komplexität: Wird bei der amtlichen Prüfung einer Wahlniederschrift ein Rechen- oder Übertragungsfehler festgestellt, muss das Bezirksergebnis förmlich berichtigt werden. Diese Berichtigungen werden protokolliert und liefern ein seltenes administratives Maß der Auszählungsqualität, auf das Abschnitt 5.2 zurückkommt.</w:t>
      </w:r>
    </w:p>
    <w:bookmarkEnd w:id="23"/>
    <w:bookmarkStart w:id="24" w:name="Xe792c2cc7e4068b3b658cc4bb9ba91b655e5f80"/>
    <w:p>
      <w:pPr>
        <w:pStyle w:val="Heading3"/>
      </w:pPr>
      <w:r>
        <w:t xml:space="preserve">2.2 Der verfassungsrechtliche Rahmen: Öffentlichkeit, nicht Papiernostalgie</w:t>
      </w:r>
    </w:p>
    <w:p>
      <w:pPr>
        <w:pStyle w:val="FirstParagraph"/>
      </w:pPr>
      <w:r>
        <w:t xml:space="preserve">Das Bundesverfassungsgericht leitete 2009 aus Art. 38 in Verbindung mit Art. 20 Abs. 1 und 2 GG den Grundsatz der Öffentlichkeit der Wahl ab: Alle wesentlichen Schritte der Wahl unterliegen öffentlicher Überprüfbarkeit, ohne dass besondere technische Kenntnisse vorausgesetzt werden dürfen (BVerfG 2009; Taylor 2010). Die bei der Bundestagswahl 2005 eingesetzten Nedap-Geräte scheiterten an diesem Maßstab, weil die entscheidenden Vorgänge, Speicherung und Zählung der Stimmen, unsichtbar im Gerätespeicher abliefen. Das Urteil verbannte nicht Technik aus der Wahl; es verbannte Anordnungen, in denen das maßgebliche Stimmendokument der Laienkontrolle entzogen ist. Die sicherheitstechnische Wahlforschung in Deutschland hat das Urteil früh so gelesen, dass elektronische Unterstützung der Auszählung von Papierstimmzetteln zulässig bleibt, gerade weil das Papier das überprüfbare, maßgebliche Dokument bleibt (Volkamer 2010; Neumann et al. 2013; Budurushi et al. 2014).</w:t>
      </w:r>
    </w:p>
    <w:p>
      <w:pPr>
        <w:pStyle w:val="BodyText"/>
      </w:pPr>
      <w:r>
        <w:t xml:space="preserve">Digitale Stimmzettelerfassung setzt diese Lesart um. In der von München erprobten Konfiguration zählt der bestellte Wahlvorstand in öffentlicher Sitzung aus, wie es das Wahlrecht verlangt. Zwei Wahlhelfende bearbeiten jeden Stimmzettel: Eine Person liest die Markierungen laut vor, die zweite trägt sie in die Erfassungssoftware ein, die den Eintrag in Echtzeit gegen die Wahlregeln prüft (Stimmenbudget, Kumulationsgrenze, Listenzuweisung). Aus den erfassten Daten wird die Wahlniederschrift erzeugt; die Papierstimmzettel werden versiegelt aufbewahrt. Jeder Zweifel am elektronischen Ergebnis ist durch Nachzählung des Papiers auflösbar, und anwesende Bürgerinnen und Bürger beobachten dieselbe öffentliche Stimmzettellesung wie bei der Handauszählung. Die Anordnung erbt damit nicht den verfassungsrechtlichen Defekt der Wahlcomputer, wohl aber jede betriebliche Frage nach Zuverlässigkeit, Bedienbarkeit und Prozessintegration. Diese Fragen sind empirisch, und ihnen gilt dieser Beitrag.</w:t>
      </w:r>
    </w:p>
    <w:bookmarkEnd w:id="24"/>
    <w:bookmarkStart w:id="28" w:name="der-münchner-pilot"/>
    <w:p>
      <w:pPr>
        <w:pStyle w:val="Heading3"/>
      </w:pPr>
      <w:r>
        <w:t xml:space="preserve">2.3 Der Münchner Pilot</w:t>
      </w:r>
    </w:p>
    <w:p>
      <w:pPr>
        <w:pStyle w:val="FirstParagraph"/>
      </w:pPr>
      <w:r>
        <w:t xml:space="preserve">Das erprobte System (Wahllokalerfassungssystem, WES, eines deutschen Anbieters, zuvor in Bremen und Nürnberg im Einsatz) wurde bewusst in einer eng begrenzten Konfiguration eingeführt. Die Stadt wählte 23 ihrer 690 Briefwahlbezirke aus, sämtlich zentral an einem Standort ausgezählt. Jeder Wahlvorstand aus acht bis neun Mitgliedern arbeitete mit drei Laptops, die WES von bootfähigen USB-Sticks vollständig offline ausführten; 108 Sticks wurden manuell vorbereitet (92 für den Einsatz, 16 als Reserve). Die Erfassungsstände der drei Laptops wurden per USB-Stick zusammengeführt, das Ergebnis auf einem verschlüsselten Stick an das zentrale Wahlabwicklungssystem übergeben, die Wahlniederschrift aus den zusammengeführten Daten erzeugt. Die parallel konventionell ausgezählte Oberbürgermeisterwahl hielt in jedem Gremium einen konventionellen Ankerprozess aufrecht.</w:t>
      </w:r>
    </w:p>
    <w:p>
      <w:pPr>
        <w:pStyle w:val="BodyText"/>
      </w:pPr>
      <w:r>
        <w:t xml:space="preserve">Im Vorfeld schulte die Stadt 203 Wahlhelfende in 18 Terminen zu je 3,5 Stunden, durchgeführt von zehn Trainerinnen und Trainern; der Praxisteil arbeitete mit 150 Übungsstimmzetteln statt der in konventionellen Schulungen üblichen 50. Erfahrene Unterstützungskräfte aus Bremen begleiteten den Einsatz vor Ort. Erklärte Ziele des Piloten waren die Prüfung von technischer Machbarkeit, Effizienzgewinnen, Fehlerquoten, Rechtssicherheit und Nutzerakzeptanz. Abbildung 1 stellt beide Auszählungsverfahren mit den zentralen Prozess- und Ergebniskennzahlen gegenüber.</w:t>
      </w:r>
    </w:p>
    <w:p>
      <w:pPr>
        <w:pStyle w:val="CaptionedFigure"/>
      </w:pPr>
      <w:r>
        <w:drawing>
          <wp:inline>
            <wp:extent cx="5334000" cy="2457235"/>
            <wp:effectExtent b="0" l="0" r="0" t="0"/>
            <wp:docPr descr="Abbildung 1: Konventionelle und digital unterstützte Auszählung im Vergleich (Prozessschritte, Richtwerte des Piloten, Berichtigungsquoten). Quelle: eigene Darstellung auf Basis der Begleitevaluation." title="" id="26" name="Picture"/>
            <a:graphic>
              <a:graphicData uri="http://schemas.openxmlformats.org/drawingml/2006/picture">
                <pic:pic>
                  <pic:nvPicPr>
                    <pic:cNvPr descr="dms-einreichung/abbildung1-prozessvergleich.png" id="27" name="Picture"/>
                    <pic:cNvPicPr>
                      <a:picLocks noChangeArrowheads="1" noChangeAspect="1"/>
                    </pic:cNvPicPr>
                  </pic:nvPicPr>
                  <pic:blipFill>
                    <a:blip r:embed="rId25"/>
                    <a:stretch>
                      <a:fillRect/>
                    </a:stretch>
                  </pic:blipFill>
                  <pic:spPr bwMode="auto">
                    <a:xfrm>
                      <a:off x="0" y="0"/>
                      <a:ext cx="5334000" cy="2457235"/>
                    </a:xfrm>
                    <a:prstGeom prst="rect">
                      <a:avLst/>
                    </a:prstGeom>
                    <a:noFill/>
                    <a:ln w="9525">
                      <a:noFill/>
                      <a:headEnd/>
                      <a:tailEnd/>
                    </a:ln>
                  </pic:spPr>
                </pic:pic>
              </a:graphicData>
            </a:graphic>
          </wp:inline>
        </w:drawing>
      </w:r>
    </w:p>
    <w:p>
      <w:pPr>
        <w:pStyle w:val="ImageCaption"/>
      </w:pPr>
      <w:r>
        <w:t xml:space="preserve">Abbildung 1: Konventionelle und digital unterstützte Auszählung im Vergleich (Prozessschritte, Richtwerte des Piloten, Berichtigungsquoten). Quelle: eigene Darstellung auf Basis der Begleitevaluation.</w:t>
      </w:r>
    </w:p>
    <w:bookmarkEnd w:id="28"/>
    <w:bookmarkEnd w:id="29"/>
    <w:bookmarkStart w:id="34" w:name="forschungsstand-und-analytischer-rahmen"/>
    <w:p>
      <w:pPr>
        <w:pStyle w:val="Heading2"/>
      </w:pPr>
      <w:r>
        <w:t xml:space="preserve">3. Forschungsstand und analytischer Rahmen</w:t>
      </w:r>
    </w:p>
    <w:bookmarkStart w:id="30" w:name="X2131bde1bf85b0eb5ab822d29346113c77e8646"/>
    <w:p>
      <w:pPr>
        <w:pStyle w:val="Heading3"/>
      </w:pPr>
      <w:r>
        <w:t xml:space="preserve">3.1 Handauszählung ist nicht der Goldstandard, als der sie behandelt wird</w:t>
      </w:r>
    </w:p>
    <w:p>
      <w:pPr>
        <w:pStyle w:val="FirstParagraph"/>
      </w:pPr>
      <w:r>
        <w:t xml:space="preserve">Die technikskeptische Position unterstellt häufig, Handauszählung sei genau und Technik bringe Fehler hinein. Die erste Hälfte dieser Annahme hält der Empirie nicht stand. In kontrollierten Experimenten zur Handauszählung traten selbst unter redundanten, explizit fehlersichernden Prozeduren erhebliche Fehlerraten auf, die mit Zählverfahren und Stimmzetteltyp variierten (Goggin et al. 2012). Recount-Studien aus den USA finden systematische Diskrepanzen zwischen Erst- und Nachauszählung schon bei einfachen Mehrheitswahl-Stimmzetteln (Ansolabehere et al. 2018). Diese Befunde betreffen Stimmzettel, die um Größenordnungen einfacher sind als ein bayerischer Kommunalwahl-Stimmzettel. Erzeugt schon die Auszählung von Ein-Stimmen-Zetteln messbare Fehler, vervielfacht ein Zettel mit 80 kumulier- und panaschierbaren Stimmen die Fehlergelegenheiten. Die Berichtigungsquote von 5,2 Prozent in Münchens konventionell ausgezählten Briefwahlbezirken fügt sich in dieses Bild.</w:t>
      </w:r>
    </w:p>
    <w:bookmarkEnd w:id="30"/>
    <w:bookmarkStart w:id="31" w:name="X81fe2731ce3b1213b76c1979714eb17ab99456c"/>
    <w:p>
      <w:pPr>
        <w:pStyle w:val="Heading3"/>
      </w:pPr>
      <w:r>
        <w:t xml:space="preserve">3.2 E-Counting-Einsätze: Warnungen aus einem anderen Design</w:t>
      </w:r>
    </w:p>
    <w:p>
      <w:pPr>
        <w:pStyle w:val="FirstParagraph"/>
      </w:pPr>
      <w:r>
        <w:t xml:space="preserve">Die bestdokumentierten europäischen Einsätze von Auszählungstechnik sind die schottischen und englischen E-Counting-Wahlen von 2007 auf Basis optischer Scanner. Die Evaluationen fallen ernüchternd aus: überhastete Beschaffung, unzureichende Tests, Gestaltungsfehler mit hohen Quoten verworfener Stimmzettel, in einem Fall ein Tabellenkalkulationsfehler mit ergebnisverändernder Wirkung (Kitcat/Brown 2008; Lock et al. 2008). Zwei Merkmale unterscheiden jene Einsätze von der hier untersuchten Anordnung. Erstens entfernt das Scannen die menschliche Lesung des Stimmzettels und damit die öffentliche Nachvollziehbarkeit des entscheidenden Interpretationsschritts; Beobachtende sehen Maschinen, keine Auszählung. Zweitens lagen die Fehler von 2007 überwiegend in Integration und Projektsteuerung, nicht im Zählkonzept. Beide Punkte informieren das Münchner Design: Menschliche Lesung mit softwaregestützter Verbuchung erhält die öffentliche Interpretation, und die bindende Restriktion des Piloten lag, wie in Schottland, in der Integrationslogistik und nicht in der Erfassung (Abschnitt 5.4). Die ländervergleichende Evidenz verschärft die Beweislast: Elektronische Ergebnisfeststellung korreliert über Länder hinweg mit niedrigerer expertenbewerteter Wahlintegrität (Haque/Carroll 2020). Eine positive Evaluation von Auszählungstechnik muss deshalb mehr zeigen als Geschwindigkeit; sie muss zeigen, dass Qualität und Überprüfbarkeit erhalten bleiben.</w:t>
      </w:r>
    </w:p>
    <w:bookmarkEnd w:id="31"/>
    <w:bookmarkStart w:id="32" w:name="Xa7fe0de6aba46d956a8663face6813510feb025"/>
    <w:p>
      <w:pPr>
        <w:pStyle w:val="Heading3"/>
      </w:pPr>
      <w:r>
        <w:t xml:space="preserve">3.3 Wahlhelfende als Street-Level Bureaucrats der Auszählung</w:t>
      </w:r>
    </w:p>
    <w:p>
      <w:pPr>
        <w:pStyle w:val="FirstParagraph"/>
      </w:pPr>
      <w:r>
        <w:t xml:space="preserve">Welche technischen Eigenschaften ein Auszählungssystem auch hat: Bedient wird es von ehrenamtlichen Wahlhelfenden. Eine breite Literatur zeigt, dass deren Leistung Wahlqualität und Wählervertrauen prägt (Hall et al. 2007, 2009; Burden/Milyo 2015), dass Schulungsgestaltung leistungsrelevant ist (Jerhov/Högström 2024; James et al. 2023) und dass Sorgen über die Technikferne älterer Wahlhelfender empirisch weitgehend unbegründet sind (DeMora et al. 2022). Wahlhelfende lassen sich als Street-Level Bureaucrats verstehen, die Wahlrecht mit erheblichen Ermessensspielräumen und geringer unmittelbarer Aufsicht implementieren (Lipsky 1980; Favreau/Hanks 2016; Hostetter/Atkeson 2025). Ihre Akzeptanz eines neuen Erfassungsinstruments ist deshalb keine weiche Ergebnisgröße, sondern eine harte Machbarkeitsbedingung: Kommunalwahlen hängen an Freiwilligen, die nicht wiederkommen müssen. Die Retentionsforschung zeigt, dass die Erfahrung eigener Wirksamkeit und guter Unterstützung die Bereitschaft zum erneuten Einsatz treibt (Stein et al. 2025). Eine Auszählungstechnik, die Freiwillige als Last erleben, trüge mithin versteckte Personalkosten selbst bei technischer Fehlerfreiheit; eine Technik, die sie als Entlastung erleben, könnte das Rekrutierungsproblem entschärfen, das komplexe Wahlen verschärfen.</w:t>
      </w:r>
    </w:p>
    <w:bookmarkEnd w:id="32"/>
    <w:bookmarkStart w:id="33" w:name="analytischer-rahmen-und-forschungslücke"/>
    <w:p>
      <w:pPr>
        <w:pStyle w:val="Heading3"/>
      </w:pPr>
      <w:r>
        <w:t xml:space="preserve">3.4 Analytischer Rahmen und Forschungslücke</w:t>
      </w:r>
    </w:p>
    <w:p>
      <w:pPr>
        <w:pStyle w:val="FirstParagraph"/>
      </w:pPr>
      <w:r>
        <w:t xml:space="preserve">Für die Akzeptanzanalyse greifen wir heuristisch auf die Technikakzeptanzforschung zurück. Das Technology Acceptance Model erklärt Nutzungsakzeptanz über wahrgenommene Nützlichkeit und wahrgenommene Bedienfreundlichkeit (Davis 1989); die UTAUT-Synthese ergänzt unter anderem erleichternde Rahmenbedingungen und soziale Einflüsse (Venkatesh et al. 2003); die Diffusionsforschung betont den relativen Vorteil gegenüber der abgelösten Praxis als Adoptionstreiber (Rogers 2003). Wir betonen den Status dieses Rahmens: Er dient der Ordnung und Interpretation der Befragungsdaten, nicht der Hypothesenprüfung, denn das verfügbare Erhebungsinstrument wurde, wie Abschnitt 4.3 offenlegt, nicht theoriegeleitet konstruiert.</w:t>
      </w:r>
    </w:p>
    <w:p>
      <w:pPr>
        <w:pStyle w:val="BodyText"/>
      </w:pPr>
      <w:r>
        <w:t xml:space="preserve">Der Forschungsstand bietet damit Prototyp-Evaluationen digitaler Erfassung für komplexe deutsche Stimmzettel in nicht bindenden Settings (Budurushi et al. 2014), Ergebnisevaluationen scannerbasierten E-Countings in vergleichsweise einfachen Settings (Kitcat/Brown 2008; Lock et al. 2008) und eine reichhaltige Wahlhelfendenliteratur, die Auszählungstechnik bislang kaum berührt. Es fehlt Evidenz aus einem rechtsverbindlichen Einsatz menschlich bedienter digitaler Erfassung unter maximal komplexen Wahlregeln, evaluiert auf Effizienz, Qualität und Akzeptanz zugleich. Der Münchner Pilot liefert exakt diese Konfiguration.</w:t>
      </w:r>
    </w:p>
    <w:bookmarkEnd w:id="33"/>
    <w:bookmarkEnd w:id="34"/>
    <w:bookmarkStart w:id="40" w:name="design-daten-und-methode"/>
    <w:p>
      <w:pPr>
        <w:pStyle w:val="Heading2"/>
      </w:pPr>
      <w:r>
        <w:t xml:space="preserve">4. Design, Daten und Methode</w:t>
      </w:r>
    </w:p>
    <w:bookmarkStart w:id="35" w:name="untersuchungsdesign-und-fallauswahl"/>
    <w:p>
      <w:pPr>
        <w:pStyle w:val="Heading3"/>
      </w:pPr>
      <w:r>
        <w:t xml:space="preserve">4.1 Untersuchungsdesign und Fallauswahl</w:t>
      </w:r>
    </w:p>
    <w:p>
      <w:pPr>
        <w:pStyle w:val="FirstParagraph"/>
      </w:pPr>
      <w:r>
        <w:t xml:space="preserve">Die Studie ist eine beobachtende Begleitevaluation eines nicht randomisierten Verwaltungspiloten, angelegt als Einzelfallstudie mit eingebetteten Vergleichseinheiten (23 Pilotbezirke, 667 konventionelle Bezirke). Die Stadt wählte die WES-Bezirke nach organisatorischen Kriterien aus; die Zuteilung der Wahlhelfenden zu WES-Gremien erfolgte teilweise nach Bereitschaft zur Systemschulung. Daraus folgen zwei Selektionsrisiken, die wir explizit führen: WES-Gremien können überdurchschnittlich motivierte oder technikaffine Helfende versammelt haben, und der Pilot erhielt atypische Aufmerksamkeit (erfahrene Unterstützungskräfte, dedizierte Standortkonfiguration). Alle Vergleiche zwischen WES- und konventionellen Bezirken werden deshalb deskriptiv geführt; die amtliche Berichtigungsstatistik dient als Kontext, nicht als kausale Kontrollgruppe. Inferenzstatistik setzen wir ausschließlich ein, um eigene Aussagen zu disziplinieren, nicht um Behandlungseffekte zu behaupten.</w:t>
      </w:r>
    </w:p>
    <w:bookmarkEnd w:id="35"/>
    <w:bookmarkStart w:id="36" w:name="datenquellen-und-triangulation"/>
    <w:p>
      <w:pPr>
        <w:pStyle w:val="Heading3"/>
      </w:pPr>
      <w:r>
        <w:t xml:space="preserve">4.2 Datenquellen und Triangulation</w:t>
      </w:r>
    </w:p>
    <w:p>
      <w:pPr>
        <w:pStyle w:val="FirstParagraph"/>
      </w:pPr>
      <w:r>
        <w:t xml:space="preserve">Die Untersuchung trianguliert drei Datenquellen unterschiedlicher Herkunft und Fehlerstruktur.</w:t>
      </w:r>
    </w:p>
    <w:p>
      <w:pPr>
        <w:pStyle w:val="BodyText"/>
      </w:pPr>
      <w:r>
        <w:rPr>
          <w:iCs/>
          <w:i/>
        </w:rPr>
        <w:t xml:space="preserve">Administrative Prozessdaten.</w:t>
      </w:r>
      <w:r>
        <w:t xml:space="preserve"> </w:t>
      </w:r>
      <w:r>
        <w:t xml:space="preserve">Die städtische Begleitevaluation protokollierte Bearbeitungszeiten je Prozessschritt (Erfassung, Zusammenführung, Niederschrift, Abschlussarbeiten), Personalkonfigurationen und den Zeitverlauf der Ergebnisverfügbarkeit. Diese Werte beruhen auf strukturierter Beobachtung während der Auszählung und auf dem Systemdurchsatz, nicht auf einer unabhängigen Zeitstudie; Abschnitt 6.3 benennt die Konsequenzen.</w:t>
      </w:r>
    </w:p>
    <w:p>
      <w:pPr>
        <w:pStyle w:val="BodyText"/>
      </w:pPr>
      <w:r>
        <w:rPr>
          <w:iCs/>
          <w:i/>
        </w:rPr>
        <w:t xml:space="preserve">Amtliche Berichtigungsstatistik.</w:t>
      </w:r>
      <w:r>
        <w:t xml:space="preserve"> </w:t>
      </w:r>
      <w:r>
        <w:t xml:space="preserve">Für jeden Briefwahlbezirk protokolliert das Wahlamt, ob die Wahlniederschrift bei der amtlichen Prüfung förmlich berichtigt werden musste. Vorliegend sind die Werte der 23 WES-Bezirke, eines vom selben Prüfteam bearbeiteten Vergleichsblocks von 27 konventionellen Bezirken (Nr. 1950–1999) sowie aller 667 konventionellen Briefwahlbezirke einschließlich einer Differenzierung nach Auszählstandort.</w:t>
      </w:r>
    </w:p>
    <w:p>
      <w:pPr>
        <w:pStyle w:val="BodyText"/>
      </w:pPr>
      <w:r>
        <w:rPr>
          <w:iCs/>
          <w:i/>
        </w:rPr>
        <w:t xml:space="preserve">Standardisierte Befragungen.</w:t>
      </w:r>
      <w:r>
        <w:t xml:space="preserve"> </w:t>
      </w:r>
      <w:r>
        <w:t xml:space="preserve">Nach der Wahl führte das Wahlamt zwei standardisierte Online-Befragungen über seine Wahlhelferverwaltung durch (LimeSurvey-Export). Die WES-Befragung richtete sich an alle auf WES-Gremien eingesetzten Wahlhelfenden; auswertbar sind 102 Antworten bei 203 geschulten Personen, ein Rücklauf von rund 50 Prozent (die exakte Grundgesamtheit der Eingesetzten weicht geringfügig von der der Geschulten ab). Die allgemeine Befragung aller Wahlhelfenden erbrachte 3.198 auswertbare Antworten. Beide Instrumente teilen mehrere Items im Wortlaut, was auf diesen Items direkte Vergleiche erlaubt. Die Item-Beantwortung variiert; alle Prozentwerte werden auf die antwortende Fallzahl je Item bezogen.</w:t>
      </w:r>
    </w:p>
    <w:bookmarkEnd w:id="36"/>
    <w:bookmarkStart w:id="37" w:name="Xd438929cb65515300e5d0c82766cd7f0f83c0b4"/>
    <w:p>
      <w:pPr>
        <w:pStyle w:val="Heading3"/>
      </w:pPr>
      <w:r>
        <w:t xml:space="preserve">4.3 Erhebungsinstrument: Aufbau, Begründung und Grenzen</w:t>
      </w:r>
    </w:p>
    <w:p>
      <w:pPr>
        <w:pStyle w:val="FirstParagraph"/>
      </w:pPr>
      <w:r>
        <w:t xml:space="preserve">Das WES-Instrument gliedert sich in sechs Blöcke: Rekrutierungswege und Motivation (Block A), Rolle und Vorerfahrung (B), Schulungsteilnahme und -material (C), Systemnutzung (D), Betreuung und Organisation (F) sowie offene Verbesserungsvorschläge (G). Geschlossene Items verwenden überwiegend vierstufige verbalisierte Ratingskalen (</w:t>
      </w:r>
      <w:r>
        <w:t xml:space="preserve">“</w:t>
      </w:r>
      <w:r>
        <w:t xml:space="preserve">sehr gut</w:t>
      </w:r>
      <w:r>
        <w:t xml:space="preserve">”</w:t>
      </w:r>
      <w:r>
        <w:t xml:space="preserve"> </w:t>
      </w:r>
      <w:r>
        <w:t xml:space="preserve">bis</w:t>
      </w:r>
      <w:r>
        <w:t xml:space="preserve"> </w:t>
      </w:r>
      <w:r>
        <w:t xml:space="preserve">“</w:t>
      </w:r>
      <w:r>
        <w:t xml:space="preserve">sehr schlecht</w:t>
      </w:r>
      <w:r>
        <w:t xml:space="preserve">”</w:t>
      </w:r>
      <w:r>
        <w:t xml:space="preserve"> </w:t>
      </w:r>
      <w:r>
        <w:t xml:space="preserve">bzw.</w:t>
      </w:r>
      <w:r>
        <w:t xml:space="preserve"> </w:t>
      </w:r>
      <w:r>
        <w:t xml:space="preserve">“</w:t>
      </w:r>
      <w:r>
        <w:t xml:space="preserve">sehr einfach</w:t>
      </w:r>
      <w:r>
        <w:t xml:space="preserve">”</w:t>
      </w:r>
      <w:r>
        <w:t xml:space="preserve"> </w:t>
      </w:r>
      <w:r>
        <w:t xml:space="preserve">bis</w:t>
      </w:r>
      <w:r>
        <w:t xml:space="preserve"> </w:t>
      </w:r>
      <w:r>
        <w:t xml:space="preserve">“</w:t>
      </w:r>
      <w:r>
        <w:t xml:space="preserve">sehr aufwendig</w:t>
      </w:r>
      <w:r>
        <w:t xml:space="preserve">”</w:t>
      </w:r>
      <w:r>
        <w:t xml:space="preserve">) sowie dichotome und teilweise dreistufige Formate; zentrale geschlossene Items sind mit offenen Begründungsfeldern gekoppelt.</w:t>
      </w:r>
    </w:p>
    <w:p>
      <w:pPr>
        <w:pStyle w:val="BodyText"/>
      </w:pPr>
      <w:r>
        <w:t xml:space="preserve">Für die Analyse ordnen wir die inhaltstragenden Items ex post den Konstrukten der Technikakzeptanzforschung zu (Tabelle 1). Die Zuordnung folgt der inhaltlichen Bedeutung der Itemformulierungen und beansprucht Inhaltsabdeckung, nicht Messäquivalenz zu den validierten Originalskalen.</w:t>
      </w:r>
    </w:p>
    <w:p>
      <w:pPr>
        <w:pStyle w:val="BodyText"/>
      </w:pPr>
      <w:r>
        <w:rPr>
          <w:bCs/>
          <w:b/>
        </w:rPr>
        <w:t xml:space="preserve">Tabelle 1: Ex-post-Zuordnung der Befragungsitems zu Akzeptanzkonstrukten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 (Wortlaut, gekürzt)</w:t>
            </w:r>
          </w:p>
        </w:tc>
        <w:tc>
          <w:tcPr/>
          <w:p>
            <w:pPr>
              <w:pStyle w:val="Compact"/>
              <w:jc w:val="left"/>
            </w:pPr>
            <w:r>
              <w:t xml:space="preserve">Konstrukt</w:t>
            </w:r>
          </w:p>
        </w:tc>
        <w:tc>
          <w:tcPr/>
          <w:p>
            <w:pPr>
              <w:pStyle w:val="Compact"/>
              <w:jc w:val="left"/>
            </w:pPr>
            <w:r>
              <w:t xml:space="preserve">Theoretische Referenz</w:t>
            </w:r>
          </w:p>
        </w:tc>
      </w:tr>
      <w:tr>
        <w:tc>
          <w:tcPr/>
          <w:p>
            <w:pPr>
              <w:pStyle w:val="Compact"/>
              <w:jc w:val="left"/>
            </w:pPr>
            <w:r>
              <w:t xml:space="preserve">D5:</w:t>
            </w:r>
            <w:r>
              <w:t xml:space="preserve"> </w:t>
            </w:r>
            <w:r>
              <w:t xml:space="preserve">“</w:t>
            </w:r>
            <w:r>
              <w:t xml:space="preserve">Wie bewerten Sie die Benutzerfreundlichkeit von WES?</w:t>
            </w:r>
            <w:r>
              <w:t xml:space="preserve">”</w:t>
            </w:r>
          </w:p>
        </w:tc>
        <w:tc>
          <w:tcPr/>
          <w:p>
            <w:pPr>
              <w:pStyle w:val="Compact"/>
              <w:jc w:val="left"/>
            </w:pPr>
            <w:r>
              <w:t xml:space="preserve">Wahrgenommene Bedienfreundlichkeit</w:t>
            </w:r>
          </w:p>
        </w:tc>
        <w:tc>
          <w:tcPr/>
          <w:p>
            <w:pPr>
              <w:pStyle w:val="Compact"/>
              <w:jc w:val="left"/>
            </w:pPr>
            <w:r>
              <w:t xml:space="preserve">Davis 1989</w:t>
            </w:r>
          </w:p>
        </w:tc>
      </w:tr>
      <w:tr>
        <w:tc>
          <w:tcPr/>
          <w:p>
            <w:pPr>
              <w:pStyle w:val="Compact"/>
              <w:jc w:val="left"/>
            </w:pPr>
            <w:r>
              <w:t xml:space="preserve">D1:</w:t>
            </w:r>
            <w:r>
              <w:t xml:space="preserve"> </w:t>
            </w:r>
            <w:r>
              <w:t xml:space="preserve">“</w:t>
            </w:r>
            <w:r>
              <w:t xml:space="preserve">Wie gut kamen Sie insgesamt mit WES zurecht?</w:t>
            </w:r>
            <w:r>
              <w:t xml:space="preserve">”</w:t>
            </w:r>
          </w:p>
        </w:tc>
        <w:tc>
          <w:tcPr/>
          <w:p>
            <w:pPr>
              <w:pStyle w:val="Compact"/>
              <w:jc w:val="left"/>
            </w:pPr>
            <w:r>
              <w:t xml:space="preserve">Selbstberichtete Nutzungsbewältigung</w:t>
            </w:r>
          </w:p>
        </w:tc>
        <w:tc>
          <w:tcPr/>
          <w:p>
            <w:pPr>
              <w:pStyle w:val="Compact"/>
              <w:jc w:val="left"/>
            </w:pPr>
            <w:r>
              <w:t xml:space="preserve">Davis 1989; Venkatesh et al. 2003</w:t>
            </w:r>
          </w:p>
        </w:tc>
      </w:tr>
      <w:tr>
        <w:tc>
          <w:tcPr/>
          <w:p>
            <w:pPr>
              <w:pStyle w:val="Compact"/>
              <w:jc w:val="left"/>
            </w:pPr>
            <w:r>
              <w:t xml:space="preserve">D6:</w:t>
            </w:r>
            <w:r>
              <w:t xml:space="preserve"> </w:t>
            </w:r>
            <w:r>
              <w:t xml:space="preserve">“</w:t>
            </w:r>
            <w:r>
              <w:t xml:space="preserve">Wie einfach war die Erstellung der Wahlniederschrift mit WES?</w:t>
            </w:r>
            <w:r>
              <w:t xml:space="preserve">”</w:t>
            </w:r>
          </w:p>
        </w:tc>
        <w:tc>
          <w:tcPr/>
          <w:p>
            <w:pPr>
              <w:pStyle w:val="Compact"/>
              <w:jc w:val="left"/>
            </w:pPr>
            <w:r>
              <w:t xml:space="preserve">Aufgabenbezogene Bedienfreundlichkeit (Teilaufgabe)</w:t>
            </w:r>
          </w:p>
        </w:tc>
        <w:tc>
          <w:tcPr/>
          <w:p>
            <w:pPr>
              <w:pStyle w:val="Compact"/>
              <w:jc w:val="left"/>
            </w:pPr>
            <w:r>
              <w:t xml:space="preserve">Davis 1989</w:t>
            </w:r>
          </w:p>
        </w:tc>
      </w:tr>
      <w:tr>
        <w:tc>
          <w:tcPr/>
          <w:p>
            <w:pPr>
              <w:pStyle w:val="Compact"/>
              <w:jc w:val="left"/>
            </w:pPr>
            <w:r>
              <w:t xml:space="preserve">D7:</w:t>
            </w:r>
            <w:r>
              <w:t xml:space="preserve"> </w:t>
            </w:r>
            <w:r>
              <w:t xml:space="preserve">“</w:t>
            </w:r>
            <w:r>
              <w:t xml:space="preserve">Würden Sie WES bei zukünftigen Kommunalwahlen wieder einsetzen wollen?</w:t>
            </w:r>
            <w:r>
              <w:t xml:space="preserve">”</w:t>
            </w:r>
          </w:p>
        </w:tc>
        <w:tc>
          <w:tcPr/>
          <w:p>
            <w:pPr>
              <w:pStyle w:val="Compact"/>
              <w:jc w:val="left"/>
            </w:pPr>
            <w:r>
              <w:t xml:space="preserve">Nutzungsintention</w:t>
            </w:r>
          </w:p>
        </w:tc>
        <w:tc>
          <w:tcPr/>
          <w:p>
            <w:pPr>
              <w:pStyle w:val="Compact"/>
              <w:jc w:val="left"/>
            </w:pPr>
            <w:r>
              <w:t xml:space="preserve">Davis 1989; Venkatesh et al. 2003</w:t>
            </w:r>
          </w:p>
        </w:tc>
      </w:tr>
      <w:tr>
        <w:tc>
          <w:tcPr/>
          <w:p>
            <w:pPr>
              <w:pStyle w:val="Compact"/>
              <w:jc w:val="left"/>
            </w:pPr>
            <w:r>
              <w:t xml:space="preserve">B33:</w:t>
            </w:r>
            <w:r>
              <w:t xml:space="preserve"> </w:t>
            </w:r>
            <w:r>
              <w:t xml:space="preserve">“</w:t>
            </w:r>
            <w:r>
              <w:t xml:space="preserve">Wie zufrieden waren Sie mit WES im Vergleich zur manuellen Stimmauszählung?</w:t>
            </w:r>
            <w:r>
              <w:t xml:space="preserve">”</w:t>
            </w:r>
            <w:r>
              <w:t xml:space="preserve"> </w:t>
            </w:r>
            <w:r>
              <w:t xml:space="preserve">(nur Erfahrene)</w:t>
            </w:r>
          </w:p>
        </w:tc>
        <w:tc>
          <w:tcPr/>
          <w:p>
            <w:pPr>
              <w:pStyle w:val="Compact"/>
              <w:jc w:val="left"/>
            </w:pPr>
            <w:r>
              <w:t xml:space="preserve">Relativer Vorteil</w:t>
            </w:r>
          </w:p>
        </w:tc>
        <w:tc>
          <w:tcPr/>
          <w:p>
            <w:pPr>
              <w:pStyle w:val="Compact"/>
              <w:jc w:val="left"/>
            </w:pPr>
            <w:r>
              <w:t xml:space="preserve">Rogers 2003</w:t>
            </w:r>
          </w:p>
        </w:tc>
      </w:tr>
      <w:tr>
        <w:tc>
          <w:tcPr/>
          <w:p>
            <w:pPr>
              <w:pStyle w:val="Compact"/>
              <w:jc w:val="left"/>
            </w:pPr>
            <w:r>
              <w:t xml:space="preserve">D2:</w:t>
            </w:r>
            <w:r>
              <w:t xml:space="preserve"> </w:t>
            </w:r>
            <w:r>
              <w:t xml:space="preserve">“</w:t>
            </w:r>
            <w:r>
              <w:t xml:space="preserve">Fühlten Sie sich durch die Schulung ausreichend vorbereitet?</w:t>
            </w:r>
            <w:r>
              <w:t xml:space="preserve">”</w:t>
            </w:r>
            <w:r>
              <w:t xml:space="preserve">; C2:</w:t>
            </w:r>
            <w:r>
              <w:t xml:space="preserve"> </w:t>
            </w:r>
            <w:r>
              <w:t xml:space="preserve">“</w:t>
            </w:r>
            <w:r>
              <w:t xml:space="preserve">Waren die Schulungsunterlagen hilfreich?</w:t>
            </w:r>
            <w:r>
              <w:t xml:space="preserve">”</w:t>
            </w:r>
          </w:p>
        </w:tc>
        <w:tc>
          <w:tcPr/>
          <w:p>
            <w:pPr>
              <w:pStyle w:val="Compact"/>
              <w:jc w:val="left"/>
            </w:pPr>
            <w:r>
              <w:t xml:space="preserve">Erleichternde Rahmenbedingungen: Qualifizierung</w:t>
            </w:r>
          </w:p>
        </w:tc>
        <w:tc>
          <w:tcPr/>
          <w:p>
            <w:pPr>
              <w:pStyle w:val="Compact"/>
              <w:jc w:val="left"/>
            </w:pPr>
            <w:r>
              <w:t xml:space="preserve">Venkatesh et al. 2003</w:t>
            </w:r>
          </w:p>
        </w:tc>
      </w:tr>
      <w:tr>
        <w:tc>
          <w:tcPr/>
          <w:p>
            <w:pPr>
              <w:pStyle w:val="Compact"/>
              <w:jc w:val="left"/>
            </w:pPr>
            <w:r>
              <w:t xml:space="preserve">F1:</w:t>
            </w:r>
            <w:r>
              <w:t xml:space="preserve"> </w:t>
            </w:r>
            <w:r>
              <w:t xml:space="preserve">“</w:t>
            </w:r>
            <w:r>
              <w:t xml:space="preserve">Konnte Ihnen das Briefwahlserviceteam bei Problemen weiterhelfen?</w:t>
            </w:r>
            <w:r>
              <w:t xml:space="preserve">”</w:t>
            </w:r>
            <w:r>
              <w:t xml:space="preserve">; F2:</w:t>
            </w:r>
            <w:r>
              <w:t xml:space="preserve"> </w:t>
            </w:r>
            <w:r>
              <w:t xml:space="preserve">“</w:t>
            </w:r>
            <w:r>
              <w:t xml:space="preserve">Wie bewerten Sie die Betreuung?</w:t>
            </w:r>
            <w:r>
              <w:t xml:space="preserve">”</w:t>
            </w:r>
          </w:p>
        </w:tc>
        <w:tc>
          <w:tcPr/>
          <w:p>
            <w:pPr>
              <w:pStyle w:val="Compact"/>
              <w:jc w:val="left"/>
            </w:pPr>
            <w:r>
              <w:t xml:space="preserve">Erleichternde Rahmenbedingungen: Support</w:t>
            </w:r>
          </w:p>
        </w:tc>
        <w:tc>
          <w:tcPr/>
          <w:p>
            <w:pPr>
              <w:pStyle w:val="Compact"/>
              <w:jc w:val="left"/>
            </w:pPr>
            <w:r>
              <w:t xml:space="preserve">Venkatesh et al. 2003</w:t>
            </w:r>
          </w:p>
        </w:tc>
      </w:tr>
      <w:tr>
        <w:tc>
          <w:tcPr/>
          <w:p>
            <w:pPr>
              <w:pStyle w:val="Compact"/>
              <w:jc w:val="left"/>
            </w:pPr>
            <w:r>
              <w:t xml:space="preserve">B2, B3, B32: Vorerfahrung als Wahlhelfende/in dieser Rolle/bei Kommunalwahl</w:t>
            </w:r>
          </w:p>
        </w:tc>
        <w:tc>
          <w:tcPr/>
          <w:p>
            <w:pPr>
              <w:pStyle w:val="Compact"/>
              <w:jc w:val="left"/>
            </w:pPr>
            <w:r>
              <w:t xml:space="preserve">Moderator Erfahrung; Abgrenzung der vergleichsfähigen Teilgruppe</w:t>
            </w:r>
          </w:p>
        </w:tc>
        <w:tc>
          <w:tcPr/>
          <w:p>
            <w:pPr>
              <w:pStyle w:val="Compact"/>
              <w:jc w:val="left"/>
            </w:pPr>
            <w:r>
              <w:t xml:space="preserve">Venkatesh et al. 2003</w:t>
            </w:r>
          </w:p>
        </w:tc>
      </w:tr>
      <w:tr>
        <w:tc>
          <w:tcPr/>
          <w:p>
            <w:pPr>
              <w:pStyle w:val="Compact"/>
              <w:jc w:val="left"/>
            </w:pPr>
            <w:r>
              <w:t xml:space="preserve">C1: Schulungsteilnahme (ja/nein)</w:t>
            </w:r>
          </w:p>
        </w:tc>
        <w:tc>
          <w:tcPr/>
          <w:p>
            <w:pPr>
              <w:pStyle w:val="Compact"/>
              <w:jc w:val="left"/>
            </w:pPr>
            <w:r>
              <w:t xml:space="preserve">Quasi-Kontrast geschult/ungeschult</w:t>
            </w:r>
          </w:p>
        </w:tc>
        <w:tc>
          <w:tcPr/>
          <w:p>
            <w:pPr>
              <w:pStyle w:val="Compact"/>
              <w:jc w:val="left"/>
            </w:pPr>
            <w:r>
              <w:t xml:space="preserve">–</w:t>
            </w:r>
          </w:p>
        </w:tc>
      </w:tr>
      <w:tr>
        <w:tc>
          <w:tcPr/>
          <w:p>
            <w:pPr>
              <w:pStyle w:val="Compact"/>
              <w:jc w:val="left"/>
            </w:pPr>
            <w:r>
              <w:t xml:space="preserve">Offene Felder (D3, D4, G1 u. a.)</w:t>
            </w:r>
          </w:p>
        </w:tc>
        <w:tc>
          <w:tcPr/>
          <w:p>
            <w:pPr>
              <w:pStyle w:val="Compact"/>
              <w:jc w:val="left"/>
            </w:pPr>
            <w:r>
              <w:t xml:space="preserve">Fehlermodi, Verbesserungsbedarfe, Adoptionsbegründungen</w:t>
            </w:r>
          </w:p>
        </w:tc>
        <w:tc>
          <w:tcPr/>
          <w:p>
            <w:pPr>
              <w:pStyle w:val="Compact"/>
              <w:jc w:val="left"/>
            </w:pPr>
            <w:r>
              <w:t xml:space="preserve">–</w:t>
            </w:r>
          </w:p>
        </w:tc>
      </w:tr>
    </w:tbl>
    <w:p>
      <w:pPr>
        <w:pStyle w:val="BodyText"/>
      </w:pPr>
      <w:r>
        <w:t xml:space="preserve">Diese Zuordnung ist eine analytische Rekonstruktion, keine Validierungsbehauptung, und wir benennen die Grenzen des Instruments ohne Beschönigung. Der Fragebogen wurde von der Wahlbehörde als Qualitätssicherungsinstrument entwickelt, nicht aus der Literatur abgeleitet; die Konstrukte sind durch Einzelitems statt durch validierte Multi-Item-Skalen vertreten; Reliabilitätsmaße sind daher nicht berechenbar; die verbalisierten Kategorien sind nicht äquidistant, weshalb wir ausschließlich Anteilswerte und keine Mittelwerte berichten; und die Items wurden vor der Wahl formuliert, ohne dass die Autorinnen und Autoren dieses Beitrags Einfluss auf die Instrumentenkonstruktion hatten. Diese Beschränkungen begründen die durchgängig deskriptive Auswertungsstrategie: Das Material trägt präzise Verteilungsaussagen über eine nahezu vollständig erfasste, seltene Population (die Bedienenden des ersten systematisch evaluierten rechtsverbindlichen Einsatzes), aber keine Messmodell- oder Strukturprüfung. Für Sekundäranalysen administrativer Erhebungen ist diese Lage typisch; der methodische Anspruch besteht darin, sie offenzulegen statt sie durch nachträgliche Skalenrhetorik zu verdecken.</w:t>
      </w:r>
    </w:p>
    <w:bookmarkEnd w:id="37"/>
    <w:bookmarkStart w:id="38" w:name="auswertungsstrategie"/>
    <w:p>
      <w:pPr>
        <w:pStyle w:val="Heading3"/>
      </w:pPr>
      <w:r>
        <w:t xml:space="preserve">4.4 Auswertungsstrategie</w:t>
      </w:r>
    </w:p>
    <w:p>
      <w:pPr>
        <w:pStyle w:val="FirstParagraph"/>
      </w:pPr>
      <w:r>
        <w:t xml:space="preserve">Die Auswertung ist der Datenlage entsprechend bewusst schlicht. Geschlossene Items berichten wir als exakte Anteile mit Fallzahlen; für zentrale Anteilswerte ergänzen wir 95-Prozent-Konfidenzintervalle nach Wilson, die bei Randanteilen nahe 100 Prozent angemessener sind als Normalapproximationen. Den Berichtigungsvergleich prüfen wir mit einseitigen exakten Fisher-Tests auf Bezirksebene, der stärksten Inferenz, die die Zählstruktur erlaubt. Die einseitige Testrichtung folgt der mechanismusbasierten Erwartung sinkender Berichtigungszahlen; sie ist zugleich die für unsere Schlussfolgerung strengere Wahl, denn der einseitige Test erreicht Signifikanz leichter als der zweiseitige, und verfehlt bereits er das Kriterium, gilt dies zweiseitig erst recht. Die offenen Antworten (u. a. 50 Nennungen zu hilfreichen Schulungsinhalten, 37 zu Schulungsverbesserungen, 31 allgemeine Verbesserungsvorschläge) wurden vollständig gelesen und informell thematisch verdichtet; sie dienen der Interpretation und Fehlermodus-Identifikation, nicht als eigenständige qualitative Studie mit Anspruch auf Intercoder-Reliabilität. Wo Bericht und Rohexport geringfügig abweichende Basiszahlen ausweisen, verwenden wir die aus dem Rohexport reproduzierbaren Werte.</w:t>
      </w:r>
    </w:p>
    <w:bookmarkEnd w:id="38"/>
    <w:bookmarkStart w:id="39" w:name="forschungsethik-und-datenzugang"/>
    <w:p>
      <w:pPr>
        <w:pStyle w:val="Heading3"/>
      </w:pPr>
      <w:r>
        <w:t xml:space="preserve">4.5 Forschungsethik und Datenzugang</w:t>
      </w:r>
    </w:p>
    <w:p>
      <w:pPr>
        <w:pStyle w:val="FirstParagraph"/>
      </w:pPr>
      <w:r>
        <w:t xml:space="preserve">Die Befragungen wurden von der Wahlbehörde bei ihren eigenen Wahlhelfenden zu Qualitätssicherungszwecken durchgeführt; die Teilnahme war freiwillig, der analysierte Export enthält keine identifizierenden Merkmale, und Freitextzitate werden so wiedergegeben, dass Rückschlüsse auf Einzelpersonen ausgeschlossen sind. [Vor Einreichung: Freigabe der Stadt für Nennung und Zahlen; Erklärung zu Datenverfügbarkeit und Interessenkonflikten ergänzen.]</w:t>
      </w:r>
    </w:p>
    <w:bookmarkEnd w:id="39"/>
    <w:bookmarkEnd w:id="40"/>
    <w:bookmarkStart w:id="45" w:name="befunde"/>
    <w:p>
      <w:pPr>
        <w:pStyle w:val="Heading2"/>
      </w:pPr>
      <w:r>
        <w:t xml:space="preserve">5. Befunde</w:t>
      </w:r>
    </w:p>
    <w:bookmarkStart w:id="41" w:name="X0b067c75fcd961d6a418c4c0e105da79b895417"/>
    <w:p>
      <w:pPr>
        <w:pStyle w:val="Heading3"/>
      </w:pPr>
      <w:r>
        <w:t xml:space="preserve">5.1 Effizienz: Die Auszählung komprimiert sich von Tagen auf einen Abend</w:t>
      </w:r>
    </w:p>
    <w:p>
      <w:pPr>
        <w:pStyle w:val="FirstParagraph"/>
      </w:pPr>
      <w:r>
        <w:t xml:space="preserve">Die Erfassung eines Stadtratsstimmzettels in WES dauerte etwa 60 Sekunden (bis zu 100 Sekunden bei Gremien ohne eingespielte Routine), gegenüber etwa drei Minuten im manuellen Verfahren: eine Reduktion des dominanten Kostentreibers der Auszählung um rund zwei Drittel. Ein Wahlvorstand aus acht bis neun Mitgliedern, organisiert in drei Zweierteams, verarbeitete rund 400 Stimmzettel in drei Stunden, ein Dauerdurchsatz von etwa 60 Stimmzetteln je Team und Stunde. Hinzu kamen fixe Prozesskosten: 13 bis 15 Minuten für die Zusammenführung der drei Laptop-Datenstände per USB-Stick, rund 30 Minuten für Abschlussarbeiten einschließlich der maschinell erzeugten Wahlniederschrift sowie rund 45 Minuten mengenunabhängige Vor- und Nacharbeit.</w:t>
      </w:r>
    </w:p>
    <w:p>
      <w:pPr>
        <w:pStyle w:val="BodyText"/>
      </w:pPr>
      <w:r>
        <w:t xml:space="preserve">Ihre Bedeutung entfaltet die Kompression auf Ebene der Gesamtauszählung. Die konventionelle Auszählung der Stadtratswahl reicht regelmäßig mit Unterbrechung in den Folgetag; die WES-Gremien schlossen ihre Bezirke realistisch am Wahlabend ab. Der Personaleinsatz sank moderat (acht bis neun statt rund zehn Personen je Gremium). Folgenreicher ist die Option, die die Technik eröffnet: entweder weniger Personal je Bezirk oder mehr Bezirke je Standort bei konstantem Personal. Für eine Stadt, die Wahlhelfende für Kommunalwahlen nur schwer gewinnt, ist die Wahl zwischen diesen Optionen ein Steuerungshebel, den die Handauszählung nicht bietet.</w:t>
      </w:r>
    </w:p>
    <w:p>
      <w:pPr>
        <w:pStyle w:val="BodyText"/>
      </w:pPr>
      <w:r>
        <w:t xml:space="preserve">Zwei Einschränkungen gehören unmittelbar neben diese Zahlen. Die Zeitwerte entstammen der strukturierten Selbstbeobachtung des Einsatzes, nicht einer unabhängigen Messung, und die Referenz von drei Minuten je Stimmzettel ist eine administrative Schätzung. Die fixen Kosten der USB-Architektur (Vorbereitung von 108 Sticks, physische Zusammenführung und Übergabe) sind im Stückwert nicht enthalten und waren erheblich (Abschnitt 5.4).</w:t>
      </w:r>
    </w:p>
    <w:bookmarkEnd w:id="41"/>
    <w:bookmarkStart w:id="42" w:name="Xbec2a0e57b8db2033a89e3464aee2640bddd937"/>
    <w:p>
      <w:pPr>
        <w:pStyle w:val="Heading3"/>
      </w:pPr>
      <w:r>
        <w:t xml:space="preserve">5.2 Qualität: null Berichtigungen, ehrlich gerahmt</w:t>
      </w:r>
    </w:p>
    <w:p>
      <w:pPr>
        <w:pStyle w:val="FirstParagraph"/>
      </w:pPr>
      <w:r>
        <w:t xml:space="preserve">Keiner der 23 WES-Bezirke benötigte bei der amtlichen Prüfung eine Berichtigung seiner Wahlniederschrift. Im Vergleichsblock von 27 konventionell ausgezählten, vom selben Team geprüften Bezirken trat eine Berichtigung auf (3,7 Prozent); über alle 667 konventionellen Briefwahlbezirke waren es 35 (5,2 Prozent), mit Standortwerten von 9,7 und 4,4 Prozent. Ergänzend wurden alle 307 beschlussbedürftigen Stimmzettel der WES-Bezirke bei der Prüfung ohne nachträgliche Korrektur bestätigt, und die ungeprüften WES-Ergebnisse wichen vom amtlichen Endergebnis um höchstens 0,3 Prozentpunkte ab.</w:t>
      </w:r>
    </w:p>
    <w:p>
      <w:pPr>
        <w:pStyle w:val="BodyText"/>
      </w:pPr>
      <w:r>
        <w:t xml:space="preserve">Das Muster entspricht exakt der Vorhersage aus dem Systemdesign. Niederschriftsberichtigungen entstehen überwiegend aus Rechen- und Übertragungsfehlern, und WES eliminiert die manuellen Rechen- und Übertragungsschritte, in denen diese Fehler wohnen; die Validierungslogik weist unmögliche Eingaben (überschrittenes Stimmenbudget, verletzte Kumulationsgrenze) bereits im Erfassungsmoment zurück. Der Anteil ungültiger Stimmzettel war in beiden Gruppen nahezu identisch, was gegen die Alternativerklärung spricht, WES-Gremien hätten substanziell anders über Stimmzettel geurteilt.</w:t>
      </w:r>
    </w:p>
    <w:p>
      <w:pPr>
        <w:pStyle w:val="BodyText"/>
      </w:pPr>
      <w:r>
        <w:t xml:space="preserve">Der Versuchung, die Differenz für statistisch erwiesen zu erklären, widerstehen wir gleichwohl. Bei 23 Pilotbezirken und einer Basisrate von 5,2 Prozent beträgt die erwartete Zahl von WES-Berichtigungen unter der Nullhypothese etwa 1,2; null Beobachtungen sind wenig überraschend (einseitiger exakter Fisher-Test gegen alle konventionellen Bezirke: p = 0,30; gegen den Vergleichsblock: p = 0,54). Der städtische Evaluierungsbericht spricht von einer signifikanten Qualitätsverbesserung; auf Basis der Bezirkszählungen ist diese Aussage nicht haltbar, und dieser Beitrag trifft sie nicht. Tragfähig ist eine bescheidenere und dennoch nützliche Aussage: ein mechanismuskonformes, über alle verfügbaren Qualitätsindikatoren (Berichtigungen, Beschlussfälle, Ergebnisstabilität) richtungsuniformes Qualitätssignal, dessen entscheidender Test einem größeren Einsatz vorbehalten bleibt. Für künftige Einsätze halten wir fest, dass eine stimmzettelbezogene Fehlermessung, etwa durch Doppelerfassung einer Stichprobe, weit mehr Teststärke lieferte als bezirksbezogene Berichtigungszählungen.</w:t>
      </w:r>
    </w:p>
    <w:bookmarkEnd w:id="42"/>
    <w:bookmarkStart w:id="43" w:name="X6f6129ddd3ccfb07da4794a5908e13a0356c840"/>
    <w:p>
      <w:pPr>
        <w:pStyle w:val="Heading3"/>
      </w:pPr>
      <w:r>
        <w:t xml:space="preserve">5.3 Akzeptanz und Schulung: nahezu einhellig, mit einer aufschlussreichen Nuance</w:t>
      </w:r>
    </w:p>
    <w:p>
      <w:pPr>
        <w:pStyle w:val="FirstParagraph"/>
      </w:pPr>
      <w:r>
        <w:t xml:space="preserve">Die Akzeptanz unter den bedienenden Wahlhelfenden fiel so hoch aus, wie ein Erhebungsinstrument dieser Art es abbilden kann. Von 92 Antwortenden auf das Bewältigungsitem gaben 82 an, sehr gut mit WES zurechtgekommen zu sein (89,1 Prozent; 95-Prozent-KI [81,1; 94,0]), die übrigen zehn</w:t>
      </w:r>
      <w:r>
        <w:t xml:space="preserve"> </w:t>
      </w:r>
      <w:r>
        <w:t xml:space="preserve">“</w:t>
      </w:r>
      <w:r>
        <w:t xml:space="preserve">eher gut</w:t>
      </w:r>
      <w:r>
        <w:t xml:space="preserve">”</w:t>
      </w:r>
      <w:r>
        <w:t xml:space="preserve">; keine Person wählte eine negative Kategorie. Die Benutzerfreundlichkeit bewerteten 77,2 Prozent mit</w:t>
      </w:r>
      <w:r>
        <w:t xml:space="preserve"> </w:t>
      </w:r>
      <w:r>
        <w:t xml:space="preserve">“</w:t>
      </w:r>
      <w:r>
        <w:t xml:space="preserve">sehr gut</w:t>
      </w:r>
      <w:r>
        <w:t xml:space="preserve">”</w:t>
      </w:r>
      <w:r>
        <w:t xml:space="preserve"> </w:t>
      </w:r>
      <w:r>
        <w:t xml:space="preserve">und 21,7 Prozent mit</w:t>
      </w:r>
      <w:r>
        <w:t xml:space="preserve"> </w:t>
      </w:r>
      <w:r>
        <w:t xml:space="preserve">“</w:t>
      </w:r>
      <w:r>
        <w:t xml:space="preserve">eher gut</w:t>
      </w:r>
      <w:r>
        <w:t xml:space="preserve">”</w:t>
      </w:r>
      <w:r>
        <w:t xml:space="preserve"> </w:t>
      </w:r>
      <w:r>
        <w:t xml:space="preserve">(eine negative Antwort, n = 92). Von den 42 Antwortenden mit eigener Erfahrung in der manuellen Kommunalwahl-Auszählung, der einzigen Teilgruppe mit Vergleichsmaßstab, bewerteten 41 WES im Vergleich mit</w:t>
      </w:r>
      <w:r>
        <w:t xml:space="preserve"> </w:t>
      </w:r>
      <w:r>
        <w:t xml:space="preserve">“</w:t>
      </w:r>
      <w:r>
        <w:t xml:space="preserve">sehr gut</w:t>
      </w:r>
      <w:r>
        <w:t xml:space="preserve">”</w:t>
      </w:r>
      <w:r>
        <w:t xml:space="preserve">. Sämtliche 92 Antwortenden der Wiedereinsatz-Frage befürworteten WES für künftige Kommunalwahlen (95-Prozent-KI [96; 100]). Die Erstellung der Wahlniederschrift, erfahrungsgemäß der gefürchtete Schlussakt der Auszählung, bewerteten 94 Prozent als</w:t>
      </w:r>
      <w:r>
        <w:t xml:space="preserve"> </w:t>
      </w:r>
      <w:r>
        <w:t xml:space="preserve">“</w:t>
      </w:r>
      <w:r>
        <w:t xml:space="preserve">sehr einfach</w:t>
      </w:r>
      <w:r>
        <w:t xml:space="preserve">”</w:t>
      </w:r>
      <w:r>
        <w:t xml:space="preserve"> </w:t>
      </w:r>
      <w:r>
        <w:t xml:space="preserve">oder</w:t>
      </w:r>
      <w:r>
        <w:t xml:space="preserve"> </w:t>
      </w:r>
      <w:r>
        <w:t xml:space="preserve">“</w:t>
      </w:r>
      <w:r>
        <w:t xml:space="preserve">einfach</w:t>
      </w:r>
      <w:r>
        <w:t xml:space="preserve">”</w:t>
      </w:r>
      <w:r>
        <w:t xml:space="preserve"> </w:t>
      </w:r>
      <w:r>
        <w:t xml:space="preserve">(81 von 86).</w:t>
      </w:r>
    </w:p>
    <w:p>
      <w:pPr>
        <w:pStyle w:val="BodyText"/>
      </w:pPr>
      <w:r>
        <w:rPr>
          <w:bCs/>
          <w:b/>
        </w:rPr>
        <w:t xml:space="preserve">Tabelle 2: Zentrale Akzeptanz- und Schulungsindikatoren der WES-Befragung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Indikator (Item)</w:t>
            </w:r>
          </w:p>
        </w:tc>
        <w:tc>
          <w:tcPr/>
          <w:p>
            <w:pPr>
              <w:pStyle w:val="Compact"/>
              <w:jc w:val="left"/>
            </w:pPr>
            <w:r>
              <w:t xml:space="preserve">Verteilung</w:t>
            </w:r>
          </w:p>
        </w:tc>
        <w:tc>
          <w:tcPr/>
          <w:p>
            <w:pPr>
              <w:pStyle w:val="Compact"/>
              <w:jc w:val="left"/>
            </w:pPr>
            <w:r>
              <w:t xml:space="preserve">n</w:t>
            </w:r>
          </w:p>
        </w:tc>
      </w:tr>
      <w:tr>
        <w:tc>
          <w:tcPr/>
          <w:p>
            <w:pPr>
              <w:pStyle w:val="Compact"/>
              <w:jc w:val="left"/>
            </w:pPr>
            <w:r>
              <w:t xml:space="preserve">Zurechtkommen mit WES (D1)</w:t>
            </w:r>
          </w:p>
        </w:tc>
        <w:tc>
          <w:tcPr/>
          <w:p>
            <w:pPr>
              <w:pStyle w:val="Compact"/>
              <w:jc w:val="left"/>
            </w:pPr>
            <w:r>
              <w:t xml:space="preserve">89,1 % sehr gut; 10,9 % eher gut; 0 % negativ</w:t>
            </w:r>
          </w:p>
        </w:tc>
        <w:tc>
          <w:tcPr/>
          <w:p>
            <w:pPr>
              <w:pStyle w:val="Compact"/>
              <w:jc w:val="left"/>
            </w:pPr>
            <w:r>
              <w:t xml:space="preserve">92</w:t>
            </w:r>
          </w:p>
        </w:tc>
      </w:tr>
      <w:tr>
        <w:tc>
          <w:tcPr/>
          <w:p>
            <w:pPr>
              <w:pStyle w:val="Compact"/>
              <w:jc w:val="left"/>
            </w:pPr>
            <w:r>
              <w:t xml:space="preserve">Benutzerfreundlichkeit (D5)</w:t>
            </w:r>
          </w:p>
        </w:tc>
        <w:tc>
          <w:tcPr/>
          <w:p>
            <w:pPr>
              <w:pStyle w:val="Compact"/>
              <w:jc w:val="left"/>
            </w:pPr>
            <w:r>
              <w:t xml:space="preserve">77,2 % sehr gut; 21,7 % eher gut; 1,1 % eher schlecht</w:t>
            </w:r>
          </w:p>
        </w:tc>
        <w:tc>
          <w:tcPr/>
          <w:p>
            <w:pPr>
              <w:pStyle w:val="Compact"/>
              <w:jc w:val="left"/>
            </w:pPr>
            <w:r>
              <w:t xml:space="preserve">92</w:t>
            </w:r>
          </w:p>
        </w:tc>
      </w:tr>
      <w:tr>
        <w:tc>
          <w:tcPr/>
          <w:p>
            <w:pPr>
              <w:pStyle w:val="Compact"/>
              <w:jc w:val="left"/>
            </w:pPr>
            <w:r>
              <w:t xml:space="preserve">Vergleich zur manuellen Auszählung (B33; nur Erfahrene)</w:t>
            </w:r>
          </w:p>
        </w:tc>
        <w:tc>
          <w:tcPr/>
          <w:p>
            <w:pPr>
              <w:pStyle w:val="Compact"/>
              <w:jc w:val="left"/>
            </w:pPr>
            <w:r>
              <w:t xml:space="preserve">97,6 % sehr gut; 2,4 % eher gut</w:t>
            </w:r>
          </w:p>
        </w:tc>
        <w:tc>
          <w:tcPr/>
          <w:p>
            <w:pPr>
              <w:pStyle w:val="Compact"/>
              <w:jc w:val="left"/>
            </w:pPr>
            <w:r>
              <w:t xml:space="preserve">42</w:t>
            </w:r>
          </w:p>
        </w:tc>
      </w:tr>
      <w:tr>
        <w:tc>
          <w:tcPr/>
          <w:p>
            <w:pPr>
              <w:pStyle w:val="Compact"/>
              <w:jc w:val="left"/>
            </w:pPr>
            <w:r>
              <w:t xml:space="preserve">Wiedereinsatz-Wunsch (D7)</w:t>
            </w:r>
          </w:p>
        </w:tc>
        <w:tc>
          <w:tcPr/>
          <w:p>
            <w:pPr>
              <w:pStyle w:val="Compact"/>
              <w:jc w:val="left"/>
            </w:pPr>
            <w:r>
              <w:t xml:space="preserve">100 % ja; 95-%-KI [96; 100]</w:t>
            </w:r>
          </w:p>
        </w:tc>
        <w:tc>
          <w:tcPr/>
          <w:p>
            <w:pPr>
              <w:pStyle w:val="Compact"/>
              <w:jc w:val="left"/>
            </w:pPr>
            <w:r>
              <w:t xml:space="preserve">92</w:t>
            </w:r>
          </w:p>
        </w:tc>
      </w:tr>
      <w:tr>
        <w:tc>
          <w:tcPr/>
          <w:p>
            <w:pPr>
              <w:pStyle w:val="Compact"/>
              <w:jc w:val="left"/>
            </w:pPr>
            <w:r>
              <w:t xml:space="preserve">Erstellung der Wahlniederschrift (D6)</w:t>
            </w:r>
          </w:p>
        </w:tc>
        <w:tc>
          <w:tcPr/>
          <w:p>
            <w:pPr>
              <w:pStyle w:val="Compact"/>
              <w:jc w:val="left"/>
            </w:pPr>
            <w:r>
              <w:t xml:space="preserve">51,2 % sehr einfach; 43,0 % einfach; 5,8 % (sehr) aufwendig</w:t>
            </w:r>
          </w:p>
        </w:tc>
        <w:tc>
          <w:tcPr/>
          <w:p>
            <w:pPr>
              <w:pStyle w:val="Compact"/>
              <w:jc w:val="left"/>
            </w:pPr>
            <w:r>
              <w:t xml:space="preserve">86</w:t>
            </w:r>
          </w:p>
        </w:tc>
      </w:tr>
      <w:tr>
        <w:tc>
          <w:tcPr/>
          <w:p>
            <w:pPr>
              <w:pStyle w:val="Compact"/>
              <w:jc w:val="left"/>
            </w:pPr>
            <w:r>
              <w:t xml:space="preserve">Schulungsvorbereitung (D2; nur Geschulte)</w:t>
            </w:r>
          </w:p>
        </w:tc>
        <w:tc>
          <w:tcPr/>
          <w:p>
            <w:pPr>
              <w:pStyle w:val="Compact"/>
              <w:jc w:val="left"/>
            </w:pPr>
            <w:r>
              <w:t xml:space="preserve">84,7 % sehr gut; 14,1 % eher gut; 1,2 % eher schlecht</w:t>
            </w:r>
          </w:p>
        </w:tc>
        <w:tc>
          <w:tcPr/>
          <w:p>
            <w:pPr>
              <w:pStyle w:val="Compact"/>
              <w:jc w:val="left"/>
            </w:pPr>
            <w:r>
              <w:t xml:space="preserve">85</w:t>
            </w:r>
          </w:p>
        </w:tc>
      </w:tr>
      <w:tr>
        <w:tc>
          <w:tcPr/>
          <w:p>
            <w:pPr>
              <w:pStyle w:val="Compact"/>
              <w:jc w:val="left"/>
            </w:pPr>
            <w:r>
              <w:t xml:space="preserve">Zurechtkommen ohne Schulung (D1, Teilgruppe C1 = nein)</w:t>
            </w:r>
          </w:p>
        </w:tc>
        <w:tc>
          <w:tcPr/>
          <w:p>
            <w:pPr>
              <w:pStyle w:val="Compact"/>
              <w:jc w:val="left"/>
            </w:pPr>
            <w:r>
              <w:t xml:space="preserve">6 von 7 sehr gut</w:t>
            </w:r>
          </w:p>
        </w:tc>
        <w:tc>
          <w:tcPr/>
          <w:p>
            <w:pPr>
              <w:pStyle w:val="Compact"/>
              <w:jc w:val="left"/>
            </w:pPr>
            <w:r>
              <w:t xml:space="preserve">7</w:t>
            </w:r>
          </w:p>
        </w:tc>
      </w:tr>
    </w:tbl>
    <w:p>
      <w:pPr>
        <w:pStyle w:val="BodyText"/>
      </w:pPr>
      <w:r>
        <w:rPr>
          <w:iCs/>
          <w:i/>
        </w:rPr>
        <w:t xml:space="preserve">Anteile bezogen auf die antwortende Fallzahl je Item; Quelle: WES-Wahlhelfendenbefragung, eigene Auswertung.</w:t>
      </w:r>
    </w:p>
    <w:p>
      <w:pPr>
        <w:pStyle w:val="BodyText"/>
      </w:pPr>
      <w:r>
        <w:t xml:space="preserve">Deckeneffekte dieser Stärke verlangen Skepsis, und zwei Eigenschaften der Daten begrenzen sie. Erstens lesen sich die offenen Antworten nicht wie Gefälligkeit: Dieselben Personen, die das System emphatisch befürworteten, protokollierten konkrete Defekte, darunter einen intermittierenden Eingabefehler, bei dem Stimmenzahlen unplausibel hochsprangen und nur mühsam zu korrigieren waren, fehleranfällige USB-Zusammenführungen mit unklar benannten Sticks und einen zeitraubenden Druckumweg bei der Niederschrift. Mehrere Antwortende verknüpften WES ausdrücklich mit ihrer Bereitschaft, bei künftigen Kommunalwahlen erneut zu helfen; eine Person benannte den Auszählungsaufwand als bekannten Rekrutierungshemmschuh. Zweitens ist das Beschwerdemuster informativ: Die Kritik konzentriert sich auf die Bereitstellungs- und Integrationshülle des Systems (USB-Sticks, Zusammenführung, Druck, der Wunsch nach einem vierten Laptop je Gremium, damit niemand beschäftigungslos bleibt), nicht auf das Erfassungskonzept. Die Helfenden haben das System nicht bloß hingenommen: Sie forderten mehr davon und verlangten zugleich, seine Kanten zu glätten.</w:t>
      </w:r>
    </w:p>
    <w:p>
      <w:pPr>
        <w:pStyle w:val="BodyText"/>
      </w:pPr>
      <w:r>
        <w:t xml:space="preserve">Die Schulungsbefunde tragen eine betrieblich bedeutsame Nuance. Die 3,5-stündige Schulung mit erweitertem Praxisblock bewerteten rund 99 Prozent der Geschulten als sehr gute oder eher gute Vorbereitung (84 von 85); als wertvollstes Element benannten die offenen Antworten fast durchgängig die praktische Übung am System, während sich die Kritik auf den Theorieteil richtete. Zugleich bewältigten die sieben Antwortenden ohne jede WES-Schulung das System annähernd so gut wie Geschulte (sechs von sieben</w:t>
      </w:r>
      <w:r>
        <w:t xml:space="preserve"> </w:t>
      </w:r>
      <w:r>
        <w:t xml:space="preserve">“</w:t>
      </w:r>
      <w:r>
        <w:t xml:space="preserve">sehr gut</w:t>
      </w:r>
      <w:r>
        <w:t xml:space="preserve">”</w:t>
      </w:r>
      <w:r>
        <w:t xml:space="preserve">), typischerweise gestützt auf die gedruckte Kurzübersicht. Das System erscheint mithin so selbsterklärend, dass Schulung eher Versicherung und Standardisierung ist als harte Einsatzvoraussetzung. Für die Skalierung ist das zentral: Ein stadtweiter Einsatz erforderte die Schulung tausender Helfender, und das Schulungsdesign am Rand (kürzer, praxiszentriert, mit Online-Anteilen, wie es Befragte selbst vorschlugen) kann offenbar schlanker ausfallen als das konservative Vollformat des Piloten. Der Befund bestätigt das konsistente Ergebnis der Wahlhelfendenforschung, dass praktische Formate Vortragsformaten überlegen sind (Jerhov/Högström 2024; DeMora et al. 2022), und erweitert es um ein Setting, in dem die Technik selbst einen Teil der Schulungslast übernimmt, indem sie Fehler bereits an der Eingabe abfängt.</w:t>
      </w:r>
    </w:p>
    <w:p>
      <w:pPr>
        <w:pStyle w:val="BodyText"/>
      </w:pPr>
      <w:r>
        <w:t xml:space="preserve">Die Unterstützungsstrukturen bewerteten WES-Helfende auf wortidentischen Items besser als die Gesamtpopulation: 100 Prozent</w:t>
      </w:r>
      <w:r>
        <w:t xml:space="preserve"> </w:t>
      </w:r>
      <w:r>
        <w:t xml:space="preserve">“</w:t>
      </w:r>
      <w:r>
        <w:t xml:space="preserve">sehr gut</w:t>
      </w:r>
      <w:r>
        <w:t xml:space="preserve">”</w:t>
      </w:r>
      <w:r>
        <w:t xml:space="preserve"> </w:t>
      </w:r>
      <w:r>
        <w:t xml:space="preserve">oder</w:t>
      </w:r>
      <w:r>
        <w:t xml:space="preserve"> </w:t>
      </w:r>
      <w:r>
        <w:t xml:space="preserve">“</w:t>
      </w:r>
      <w:r>
        <w:t xml:space="preserve">eher gut</w:t>
      </w:r>
      <w:r>
        <w:t xml:space="preserve">”</w:t>
      </w:r>
      <w:r>
        <w:t xml:space="preserve"> </w:t>
      </w:r>
      <w:r>
        <w:t xml:space="preserve">für das Betreuungsteam gegenüber 95,2 Prozent allgemein; kein WES-Antwortender berichtete ein ungelöstes Problem (allgemein: 1,1 Prozent). Wir lesen dies weniger als Eigenschaft von WES denn als Eigenschaft von Piloten: 23 Gremien an einem Standort mit dedizierten, erfahrenen Unterstützungskräften erzeugen eine Betreuungsdichte, die ein Flächenbetrieb nicht reproduzieren wird; die Diskussion kommt darauf zurück.</w:t>
      </w:r>
    </w:p>
    <w:bookmarkEnd w:id="43"/>
    <w:bookmarkStart w:id="44" w:name="Xab89c4d77b316f5f11a14439c48ba446443672b"/>
    <w:p>
      <w:pPr>
        <w:pStyle w:val="Heading3"/>
      </w:pPr>
      <w:r>
        <w:t xml:space="preserve">5.4 Betrieb: Der Engpass ist die Integration, nicht die Erfassung</w:t>
      </w:r>
    </w:p>
    <w:p>
      <w:pPr>
        <w:pStyle w:val="FirstParagraph"/>
      </w:pPr>
      <w:r>
        <w:t xml:space="preserve">Die Schwierigkeiten des Einsatzes ballen sich fast vollständig in der Offline-Bereitstellungsarchitektur. Die manuelle Vorbereitung von 108 bootfähigen USB-Sticks war aufwendig; Sticks verursachten vereinzelt Störungen mit Neustartbedarf; die Zusammenführung der drei Laptops über physisch getragene Sticks beschrieben Helfende als fehleranfälligsten und lästigsten Prozessschritt, einschließlich eines Gremiums, das nicht sicher war, auf welchem Stick seine Daten zusammengeführt worden waren. Am folgenreichsten: Die vollständigen Erfassungsdaten erreichten das zentrale Wahlabwicklungssystem erst am Dienstagabend, zwei Tage nach der Wahl, obwohl belastbare Zwischenergebnisse (höchstens 0,3 Prozentpunkte vom Endergebnis entfernt) bereits rund 30 Minuten nach Auszählungsbeginn vorlagen. Die Verzögerung entstand vollständig in der manuellen Übertragungs- und Integrationskette, nicht im Erfassungsdurchsatz. Die städtische Evaluation zieht die naheliegende Konsequenz einer online-basierten Bereitstellung für jeden skalierten Einsatz; eine offene Antwort lieferte die nötige Warnung vom Hallenboden, dass die Netzinfrastruktur des Auszählstandorts notorisch schwach sei. Die Designfrage der nächsten Iteration lautet deshalb nicht, ob der Offline-Betrieb aufzugeben ist (er trug erkennbar zur Robustheit und Unabhängigkeit von lokaler IT bei), sondern wo auf dem Spektrum zwischen offline und online Bereitstellung und Ergebnistransfer liegen sollten.</w:t>
      </w:r>
    </w:p>
    <w:p>
      <w:pPr>
        <w:pStyle w:val="BodyText"/>
      </w:pPr>
      <w:r>
        <w:t xml:space="preserve">Zwei weitere Betriebsbefunde verdienen Protokoll. Gremien mit zehn Mitgliedern und drei Laptops ließen Mitglieder zeitweise ohne Aufgabe, was als schlechte Nutzung der eigenen Zeit erlebt wurde; der modale konkrete Verbesserungsvorschlag war die vierte Erfassungsstation je Gremium. Und der von mehreren Gremien berichtete intermittierende Eingabefehler wurde in allen berichteten Fällen durch die Anzeigenplausibilität und das Vier-Augen-Verfahren abgefangen, gehört aber vor jeden skalierten Einsatz auf die Defektliste, denn im Flächenbetrieb trifft seltene Eingabekorruption auf sehr viel mehr Gelegenheiten.</w:t>
      </w:r>
    </w:p>
    <w:bookmarkEnd w:id="44"/>
    <w:bookmarkEnd w:id="45"/>
    <w:bookmarkStart w:id="50" w:name="diskussion"/>
    <w:p>
      <w:pPr>
        <w:pStyle w:val="Heading2"/>
      </w:pPr>
      <w:r>
        <w:t xml:space="preserve">6. Diskussion</w:t>
      </w:r>
    </w:p>
    <w:bookmarkStart w:id="46" w:name="was-der-pilot-zeigt"/>
    <w:p>
      <w:pPr>
        <w:pStyle w:val="Heading3"/>
      </w:pPr>
      <w:r>
        <w:t xml:space="preserve">6.1 Was der Pilot zeigt</w:t>
      </w:r>
    </w:p>
    <w:p>
      <w:pPr>
        <w:pStyle w:val="FirstParagraph"/>
      </w:pPr>
      <w:r>
        <w:t xml:space="preserve">Zusammengelesen stützen die drei Befundblöcke eine spezifische, begrenzte Aussage: Für Wahlen, deren Auszählungskomplexität die bindende Restriktion ist, kann menschlich bediente digitale Stimmzettelerfassung die Auszählung drastisch komprimieren, wird von der ehrenamtlichen Helfendenschaft nicht erduldet, sondern angenommen, und erzeugt ein durchgängig positives, wenn auch noch nicht statistisch entscheidbares Qualitätssignal. Die Konfiguration, die diese Ergebnisse hervorbrachte, ist nicht beiläufig. Die Erfassung erhielt die öffentliche, menschliche Lesung jedes Stimmzettels, was die Anordnung innerhalb des Verfassungsrahmens hält, an dem die Wahlcomputer scheiterten (Taylor 2010; Budurushi et al. 2014); die Papierstimmzettel blieben nachzählbar, was das Design von den Tabulationsanordnungen trennt, die ländervergleichend mit Integritätsproblemen einhergehen (Haque/Carroll 2020); und die Software fing Fehler am Eingabepunkt ab, also dort, wo die Komplexität kumulierbarer und panaschierbarer Stimmzettel unter Handauszählung ihren Schaden anrichtet (vgl. Goggin et al. 2012).</w:t>
      </w:r>
    </w:p>
    <w:p>
      <w:pPr>
        <w:pStyle w:val="BodyText"/>
      </w:pPr>
      <w:r>
        <w:t xml:space="preserve">In der Sprache des analytischen Rahmens: Sämtliche Akzeptanzindikatoren liegen am oberen Rand, der relative Vorteil gegenüber der abgelösten Praxis wird von der einzigen vergleichsfähigen Teilgruppe fast einstimmig bejaht, und die erleichternden Rahmenbedingungen (Schulung, Betreuung) wurden als wirksam erlebt. Die Akzeptanzbefunde reichen dabei über ihre Kopfzahlen hinaus, weil sie an die Personalökonomie komplexer Wahlen anschließen. Kommunalwahlen sind am schwersten zu besetzen, gerade weil Freiwillige den Auszählungsaufwand antizipieren. Verwandelt digitale Erfassung die Auszählung von einem gefürchteten Marathon in eine Tätigkeit, die Freiwillige aktiv bevorzugen, und unsere Befragten sagten dies in eigenen Worten, dann bemisst sich der Wert der Technik nicht nur in eingesparten Helferstunden, sondern in der Entspannung einer Rekrutierungsrestriktion, die die Literatur als chronisch beschreibt (Burden/Milyo 2015; Stein et al. 2025). Der Befund zu den Ungeschulten stützt dieselbe Schlussfolgerung von einer anderen Seite: Die betriebliche Eintrittshürde ist niedrig.</w:t>
      </w:r>
    </w:p>
    <w:bookmarkEnd w:id="46"/>
    <w:bookmarkStart w:id="47" w:name="was-der-pilot-nicht-zeigt"/>
    <w:p>
      <w:pPr>
        <w:pStyle w:val="Heading3"/>
      </w:pPr>
      <w:r>
        <w:t xml:space="preserve">6.2 Was der Pilot nicht zeigt</w:t>
      </w:r>
    </w:p>
    <w:p>
      <w:pPr>
        <w:pStyle w:val="FirstParagraph"/>
      </w:pPr>
      <w:r>
        <w:t xml:space="preserve">Das Design setzt Kausalsprache harte Grenzen, und wir benennen sie ohne Verzierung. Die Bezirke wurden nicht zufällig zugewiesen; die WES-Gremien besetzten sich teilweise aus schulungsbereiten Helfenden; der Pilot genoss eine Betreuungsdichte und Managementaufmerksamkeit, die ein Routinebetrieb nicht haben wird. Jede berichtete Gruppendifferenz (Berichtigungen, Betreuungsurteile, selbst der Durchsatz) ist deshalb mit Selektions- und Hawthorne-Anteilen vereinbar. Das Null-Berichtigungs-Ergebnis, die zitierfähigste Zahl des Piloten, ist genau die Art Ergebnis, die eine Stichprobe von 23 Bezirken durch Zufall hervorbringen kann, und es verfehlt konventionelle Signifikanz. Neuigkeitseffekte können die Akzeptanz überzeichnen; Systeme, die im Pilot begeistern, können im Routinebetrieb ermüden oder verärgern. Und die zweitägige Ergebnisverzögerung belegt, dass die pilotierte Architektur unskaliert die sichtbarste öffentliche Erwartung an eine moderne Auszählung verfehlen würde: zeitnahe Endergebnisse.</w:t>
      </w:r>
    </w:p>
    <w:p>
      <w:pPr>
        <w:pStyle w:val="BodyText"/>
      </w:pPr>
      <w:r>
        <w:t xml:space="preserve">Ebenso klar ist, was der Pilot gar nicht beobachten konnte. Er lief ausschließlich in zentral ausgezählten Briefwahlbezirken; dezentrale Auszählung in hunderten Wahllokalen stellt andere Bereitstellungs-, Betreuungs- und Konnektivitätsprobleme. Er umfasste einen Wahltyp, eine Stadt, ein System eines Anbieters. Und er maß administrative Qualität (Berichtigungen, Abweichungen), nicht öffentliche Wahrnehmung: Ob Beobachtende und unterlegene Kandidaturen einer digital unterstützten Auszählung so bereitwillig vertrauen wie einer manuellen, ist offen, und die Vertrauensforschung mahnt, diese Frage nicht wegzudefinieren (Hall et al. 2009; Shino/Smith 2025).</w:t>
      </w:r>
    </w:p>
    <w:bookmarkEnd w:id="47"/>
    <w:bookmarkStart w:id="48" w:name="grenzen-der-evaluation-selbst"/>
    <w:p>
      <w:pPr>
        <w:pStyle w:val="Heading3"/>
      </w:pPr>
      <w:r>
        <w:t xml:space="preserve">6.3 Grenzen der Evaluation selbst</w:t>
      </w:r>
    </w:p>
    <w:p>
      <w:pPr>
        <w:pStyle w:val="FirstParagraph"/>
      </w:pPr>
      <w:r>
        <w:t xml:space="preserve">Jenseits der Designgrenzen bestehen drei Messvorbehalte. Die Effizienzwerte entstammen der strukturierten Selbstbeobachtung des Einsatzes, und die manuelle Referenz von drei Minuten je Stimmzettel ist eine administrative Schätzung; eine unabhängige Zeitstudie fehlt. Die Befragungen sind selbstselektiv (Rücklauf rund 50 Prozent auf WES-Seite) mit variierender Item-Beantwortung; Richtung und Ausmaß der Teilnahmeverzerrung sind unbekannt, und das Instrument ist, wie in Abschnitt 4.3 dargelegt, ein administratives Einzelitem-Instrument ohne Validierungsgeschichte. Die Berichtigungsstatistik schließlich ist ein attraktiv amtlicher, aber grober bezirksbezogener Näherungswert für Auszählungsgenauigkeit: Sie erfasst Fehler erst ab Berichtigungsschwelle und übersieht stimmzettelbezogene Fehler, die sich ausgleichen oder darunter bleiben. Ein skalierter Einsatz sollte die stimmzettelbezogene Genauigkeitsmessung (Doppelerfassung einer Stichprobe gegen das Papier) von Beginn an in sein Design einbauen; sie machte die Qualitätsfrage von einer suggestiven zu einer entscheidbaren.</w:t>
      </w:r>
    </w:p>
    <w:bookmarkEnd w:id="48"/>
    <w:bookmarkStart w:id="49" w:name="folgerungen-für-praxis-und-forschung"/>
    <w:p>
      <w:pPr>
        <w:pStyle w:val="Heading3"/>
      </w:pPr>
      <w:r>
        <w:t xml:space="preserve">6.4 Folgerungen für Praxis und Forschung</w:t>
      </w:r>
    </w:p>
    <w:p>
      <w:pPr>
        <w:pStyle w:val="FirstParagraph"/>
      </w:pPr>
      <w:r>
        <w:t xml:space="preserve">Für Wahlbehörden sind die übertragbaren Lehren konkret. Das Erfassungskonzept funktioniert und wird von der Helfendenschaft getragen, die es bedienen muss. Die Investitionsprioritäten liegen in der Integrationskette (Bereitstellung, Zusammenführung, Übergabe), nicht in der Erfassungsoberfläche. Die Schulung kann voraussichtlich schlanker und praxiszentrierter ausfallen, als ein erster vorsichtiger Einsatz es ansetzt. Die Geräteausstattung je Gremiumsgröße entscheidet, ob der Personalgewinn realisiert wird oder in Leerlauf zerrinnt. Und die Governance von Zwischenergebnissen braucht definierte Veröffentlichungsregeln, bevor die neue Fähigkeit zur Improvisation verführt. Für Gebietskörperschaften mit einfacheren Stimmzetteln schwächt sich das Effizienzargument ab; die Argumente der Standardisierung, Fehlervermeidung und Prüfbarkeit behalten ihre Kraft, zu demselben Urteil kommt die städtische Evaluation.</w:t>
      </w:r>
    </w:p>
    <w:p>
      <w:pPr>
        <w:pStyle w:val="BodyText"/>
      </w:pPr>
      <w:r>
        <w:t xml:space="preserve">Für die Forschung zeigt der Münchner Pilot, dass digitale Stimmzettelerfassung empirisch bearbeitbar ist und eine eigene Evidenzbasis verdient statt einer Fußnote in der E-Voting-Debatte. Die nächstliegenden Studien sind eine teststarke Qualitätsevaluation in einem skalierten Einsatz, eine wähler- und beobachterseitige Vertrauensstudie sowie vergleichende Arbeiten über die deutschen Kommunen, die derzeit mit verwandten Systemen experimentieren und deren Wahlregeln Komplexität als messbaren Moderator anbieten. Für die Verwaltungsdigitalisierungsforschung, die Digitalisierung bislang überwiegend an Service- und Verwaltungsleistungen untersucht (Mergel et al. 2019), bietet die Wahlorganisation zudem einen Testfall für die Digitalisierung einer Kernfunktion demokratischer Staatlichkeit unter besonders strengen rechtlichen Randbedingungen. Auch die Verbindung zur Street-Level-Bureaucracy-Forschung bleibt unterausgeschöpft: Erfassungssysteme verlagern Ermessen von der Zähllistenarithmetik, wo Ermessen unerwünscht ist, zur Stimmzettelinterpretation, wo es rechtlich vorgesehen ist. Diese Umverteilung ist genau die Art technisch induzierter Umformung von Street-Level-Arbeit, für deren Analyse die Verwaltungswissenschaft das Werkzeug besitzt (Lipsky 1980; Favreau/Hanks 2016; Hostetter/Atkeson 2025).</w:t>
      </w:r>
    </w:p>
    <w:bookmarkEnd w:id="49"/>
    <w:bookmarkEnd w:id="50"/>
    <w:bookmarkStart w:id="51" w:name="schluss"/>
    <w:p>
      <w:pPr>
        <w:pStyle w:val="Heading2"/>
      </w:pPr>
      <w:r>
        <w:t xml:space="preserve">7. Schluss</w:t>
      </w:r>
    </w:p>
    <w:p>
      <w:pPr>
        <w:pStyle w:val="FirstParagraph"/>
      </w:pPr>
      <w:r>
        <w:t xml:space="preserve">Zwischen der Handauszählung, die unter komplexen Stimmzetteln einknickt, und den Wahlcomputern, die Verfassungsgerichte zu Recht gestoppt haben, liegt ein schmaler, aber realer Gestaltungsraum: Menschen lesen Papier in öffentlicher Sitzung, Software übernimmt Verbuchung und Arithmetik. Der hier evaluierte Münchner Einsatz komprimierte den dominanten Kostenfaktor einer maximal komplexen Auszählung um zwei Drittel, produzierte über 23 Bezirke keinen berichtigungspflichtigen Niederschriftsfehler und machte seine ehrenamtlichen Bedienenden zu Fürsprechern, während er mit gleicher Deutlichkeit offenlegte, dass seine Offline-Integrationskette nicht skalierungsreif ist und sein Qualitätsvorsprung auf einen Einsatz wartet, der groß genug ist, ihn zu beweisen. Beide Hälften dieses Befundes gehören gleichberechtigt ins Protokoll. Die digitale Stimmzettelerfassung hat sich den größeren Versuch verdient, der die Fragen entscheiden würde, die dieser Pilot erst öffnen konnte.</w:t>
      </w:r>
    </w:p>
    <w:p>
      <w:r>
        <w:pict>
          <v:rect style="width:0;height:1.5pt" o:hralign="center" o:hrstd="t" o:hr="t"/>
        </w:pict>
      </w:r>
    </w:p>
    <w:bookmarkEnd w:id="51"/>
    <w:bookmarkStart w:id="52" w:name="literatur"/>
    <w:p>
      <w:pPr>
        <w:pStyle w:val="Heading2"/>
      </w:pPr>
      <w:r>
        <w:t xml:space="preserve">Literatur</w:t>
      </w:r>
    </w:p>
    <w:p>
      <w:pPr>
        <w:pStyle w:val="FirstParagraph"/>
      </w:pPr>
      <w:r>
        <w:rPr>
          <w:iCs/>
          <w:i/>
        </w:rPr>
        <w:t xml:space="preserve">Alle Einträge wurden gegen Verlags- und Datenbankquellen verifiziert. Zitierweise wird an das Stylesheet der Zielzeitschrift angepasst.</w:t>
      </w:r>
    </w:p>
    <w:p>
      <w:pPr>
        <w:pStyle w:val="BodyText"/>
      </w:pPr>
      <w:r>
        <w:t xml:space="preserve">Ansolabehere, S./Burden, B. C./Mayer, K. R./Stewart, C. (2018): Learning from Recounts. In: Election Law Journal 17, H. 2, S. 100–116.</w:t>
      </w:r>
    </w:p>
    <w:p>
      <w:pPr>
        <w:pStyle w:val="BodyText"/>
      </w:pPr>
      <w:r>
        <w:t xml:space="preserve">Appel, A. W./DeMillo, R. A./Stark, P. B. (2020): Ballot-Marking Devices Cannot Ensure the Will of the Voters. In: Election Law Journal 19, H. 3, S. 432–450.</w:t>
      </w:r>
    </w:p>
    <w:p>
      <w:pPr>
        <w:pStyle w:val="BodyText"/>
      </w:pPr>
      <w:r>
        <w:t xml:space="preserve">Budurushi, J./Jöris, R./Volkamer, M. (2014): Implementing and Evaluating a Software-Independent Voting System for Polling Station Elections. In: Journal of Information Security and Applications 19, H. 2, S. 105–114.</w:t>
      </w:r>
    </w:p>
    <w:p>
      <w:pPr>
        <w:pStyle w:val="BodyText"/>
      </w:pPr>
      <w:r>
        <w:t xml:space="preserve">Burden, B. C./Milyo, J. (2015): The Quantities and Qualities of Poll Workers. In: Election Law Journal 14, H. 1, S. 38–46.</w:t>
      </w:r>
    </w:p>
    <w:p>
      <w:pPr>
        <w:pStyle w:val="BodyText"/>
      </w:pPr>
      <w:r>
        <w:t xml:space="preserve">BVerfG (2009): Urteil des Zweiten Senats vom 3. März 2009, 2 BvC 3/07, 2 BvC 4/07, BVerfGE 123, 39 (Wahlcomputer).</w:t>
      </w:r>
    </w:p>
    <w:p>
      <w:pPr>
        <w:pStyle w:val="BodyText"/>
      </w:pPr>
      <w:r>
        <w:t xml:space="preserve">Davis, F. D. (1989): Perceived Usefulness, Perceived Ease of Use, and User Acceptance of Information Technology. In: MIS Quarterly 13, H. 3, S. 319–340.</w:t>
      </w:r>
    </w:p>
    <w:p>
      <w:pPr>
        <w:pStyle w:val="BodyText"/>
      </w:pPr>
      <w:r>
        <w:t xml:space="preserve">DeMora, S. L./Michelson, M. R./Tran, D. S. (2022): Don’t Dismiss Digital Immigrants. Poll Workers and New Election Technologies. In: Election Law Journal 21, H. 3, S. 249–258.</w:t>
      </w:r>
    </w:p>
    <w:p>
      <w:pPr>
        <w:pStyle w:val="BodyText"/>
      </w:pPr>
      <w:r>
        <w:t xml:space="preserve">Favreau, J. M./Hanks, E. K. (2016): Improving Election Poll Worker Training. Reflections on Implementing New Ideas for Measurable Success. In: Administrative Theory &amp; Praxis 38, H. 1, S. 68–81.</w:t>
      </w:r>
    </w:p>
    <w:p>
      <w:pPr>
        <w:pStyle w:val="BodyText"/>
      </w:pPr>
      <w:r>
        <w:t xml:space="preserve">Fitzpatrick, J./Jöst, P. (2022):</w:t>
      </w:r>
      <w:r>
        <w:t xml:space="preserve"> </w:t>
      </w:r>
      <w:r>
        <w:t xml:space="preserve">“</w:t>
      </w:r>
      <w:r>
        <w:t xml:space="preserve">The High Mass of Democracy</w:t>
      </w:r>
      <w:r>
        <w:t xml:space="preserve">”</w:t>
      </w:r>
      <w:r>
        <w:t xml:space="preserve">. Why Germany Remains Aloof to the Idea of Electronic Voting. In: Frontiers in Political Science 4, Art. 876476.</w:t>
      </w:r>
    </w:p>
    <w:p>
      <w:pPr>
        <w:pStyle w:val="BodyText"/>
      </w:pPr>
      <w:r>
        <w:t xml:space="preserve">Goggin, S. N./Byrne, M. D./Gilbert, J. E. (2012): Post-Election Auditing. Effects of Procedure and Ballot Type on Manual Counting Accuracy, Efficiency, and Auditor Satisfaction and Confidence. In: Election Law Journal 11, H. 1, S. 36–51.</w:t>
      </w:r>
    </w:p>
    <w:p>
      <w:pPr>
        <w:pStyle w:val="BodyText"/>
      </w:pPr>
      <w:r>
        <w:t xml:space="preserve">Hall, T. E./Monson, J. Q./Patterson, K. D. (2007): Poll Workers and the Vitality of Democracy. An Early Assessment. In: PS: Political Science &amp; Politics 40, H. 4, S. 647–654.</w:t>
      </w:r>
    </w:p>
    <w:p>
      <w:pPr>
        <w:pStyle w:val="BodyText"/>
      </w:pPr>
      <w:r>
        <w:t xml:space="preserve">Hall, T. E./Monson, J. Q./Patterson, K. D. (2009): The Human Dimension of Elections. How Poll Workers Shape Public Confidence in Elections. In: Political Research Quarterly 62, H. 3, S. 507–522.</w:t>
      </w:r>
    </w:p>
    <w:p>
      <w:pPr>
        <w:pStyle w:val="BodyText"/>
      </w:pPr>
      <w:r>
        <w:t xml:space="preserve">Haque, Z./Carroll, D. (2020): Assessing the Impact of Information and Communication Technologies on Electoral Integrity. In: Election Law Journal 19, H. 2, S. 127–148.</w:t>
      </w:r>
    </w:p>
    <w:p>
      <w:pPr>
        <w:pStyle w:val="BodyText"/>
      </w:pPr>
      <w:r>
        <w:t xml:space="preserve">Hostetter, J. D./Atkeson, L. R. (2025): Poll Worker Experience and Polling Place Operations. In: American Politics Research (Online First).</w:t>
      </w:r>
    </w:p>
    <w:p>
      <w:pPr>
        <w:pStyle w:val="BodyText"/>
      </w:pPr>
      <w:r>
        <w:t xml:space="preserve">Jacobs, B./Pieters, W. (2009): Electronic Voting in the Netherlands. From Early Adoption to Early Abolishment. In: Foundations of Security Analysis and Design V (LNCS 5705). Berlin/Heidelberg, S. 121–144.</w:t>
      </w:r>
    </w:p>
    <w:p>
      <w:pPr>
        <w:pStyle w:val="BodyText"/>
      </w:pPr>
      <w:r>
        <w:t xml:space="preserve">James, T. S./Garnett, H. A./Asplund, E./Campion, S. (2023): Election Staff Training. Tracing Global Patterns of Institutionalisation. In: South African Journal of International Affairs 30, H. 3, S. 415–435.</w:t>
      </w:r>
    </w:p>
    <w:p>
      <w:pPr>
        <w:pStyle w:val="BodyText"/>
      </w:pPr>
      <w:r>
        <w:t xml:space="preserve">Jerhov, C./Högström, J. (2024): Poll Workers in Sweden. Characteristics, Training, and Performance. In: Election Law Journal 23, H. 1, S. 80–94.</w:t>
      </w:r>
    </w:p>
    <w:p>
      <w:pPr>
        <w:pStyle w:val="BodyText"/>
      </w:pPr>
      <w:r>
        <w:t xml:space="preserve">Kitcat, J./Brown, I. (2008): Observing the English and Scottish 2007 E-Elections. In: Parliamentary Affairs 61, H. 2, S. 380–395.</w:t>
      </w:r>
    </w:p>
    <w:p>
      <w:pPr>
        <w:pStyle w:val="BodyText"/>
      </w:pPr>
      <w:r>
        <w:t xml:space="preserve">Lipsky, M. (1980): Street-Level Bureaucracy. Dilemmas of the Individual in Public Services. New York.</w:t>
      </w:r>
    </w:p>
    <w:p>
      <w:pPr>
        <w:pStyle w:val="BodyText"/>
      </w:pPr>
      <w:r>
        <w:t xml:space="preserve">Lock, R./Storer, T./Harvey, N./Hughes, C./Sommerville, I. (2008): Observations of the Scottish Elections 2007. In: Transforming Government: People, Process and Policy 2, H. 2, S. 104–118.</w:t>
      </w:r>
    </w:p>
    <w:p>
      <w:pPr>
        <w:pStyle w:val="BodyText"/>
      </w:pPr>
      <w:r>
        <w:t xml:space="preserve">Mergel, I./Edelmann, N./Haug, N. (2019): Defining Digital Transformation. Results from Expert Interviews. In: Government Information Quarterly 36, H. 4, Art. 101385.</w:t>
      </w:r>
    </w:p>
    <w:p>
      <w:pPr>
        <w:pStyle w:val="BodyText"/>
      </w:pPr>
      <w:r>
        <w:t xml:space="preserve">Neumann, S./Kahlert, A./Henning, M./Richter, P./Jonker, H./Volkamer, M. (2013): Modeling the German Legal Latitude Principles. In: Electronic Participation (ePart 2013), LNCS 8075. Berlin/Heidelberg, S. 49–56.</w:t>
      </w:r>
    </w:p>
    <w:p>
      <w:pPr>
        <w:pStyle w:val="BodyText"/>
      </w:pPr>
      <w:r>
        <w:t xml:space="preserve">Rogers, E. M. (2003): Diffusion of Innovations. 5. Aufl., New York.</w:t>
      </w:r>
    </w:p>
    <w:p>
      <w:pPr>
        <w:pStyle w:val="BodyText"/>
      </w:pPr>
      <w:r>
        <w:t xml:space="preserve">Shino, E./Smith, D. A. (2025): Vote Method and Confidence in Elections. In: Political Research Quarterly 78, H. 2, S. 568–584.</w:t>
      </w:r>
    </w:p>
    <w:p>
      <w:pPr>
        <w:pStyle w:val="BodyText"/>
      </w:pPr>
      <w:r>
        <w:t xml:space="preserve">Stein, R. M./Burden, B. C./Lamb, M./Alberda, G./Atkeson, L./Bryant, L./Cobb, R./Gilbert, M./Hostetter, J. D./Kimball, D. C./Mayer, K. R./Panagopoulos, C./Reeves, A./Smidt, C./Victor, J. (2025): Guardians at the Gates. Poll Worker Retention in a Challenging Election Environment. In: Election Law Journal 24, H. 1, S. 62–73.</w:t>
      </w:r>
    </w:p>
    <w:p>
      <w:pPr>
        <w:pStyle w:val="BodyText"/>
      </w:pPr>
      <w:r>
        <w:t xml:space="preserve">Taylor, G. (2010): Constitutional Restrictions on Touch-Screen Voting Computers in Germany. In: Election Law Journal 9, H. 2.</w:t>
      </w:r>
    </w:p>
    <w:p>
      <w:pPr>
        <w:pStyle w:val="BodyText"/>
      </w:pPr>
      <w:r>
        <w:t xml:space="preserve">Venkatesh, V./Morris, M. G./Davis, G. B./Davis, F. D. (2003): User Acceptance of Information Technology. Toward a Unified View. In: MIS Quarterly 27, H. 3, S. 425–478.</w:t>
      </w:r>
    </w:p>
    <w:p>
      <w:pPr>
        <w:pStyle w:val="BodyText"/>
      </w:pPr>
      <w:r>
        <w:t xml:space="preserve">Volkamer, M. (2010): Electronic Voting in Germany. In: Gutwirth, S./Poullet, Y./De Hert, P. (Hrsg.): Data Protection in a Profiled World. Dordrecht, S. 177–189.</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2026-07-18T16:25:34Z</dcterms:created>
  <dcterms:modified xsi:type="dcterms:W3CDTF">2026-07-18T16:25:34Z</dcterms:modified>
</cp:coreProperties>
</file>

<file path=docProps/custom.xml><?xml version="1.0" encoding="utf-8"?>
<Properties xmlns="http://schemas.openxmlformats.org/officeDocument/2006/custom-properties" xmlns:vt="http://schemas.openxmlformats.org/officeDocument/2006/docPropsVTypes"/>
</file>