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pPr>
        <w:pStyle w:val="FirstParagraph"/>
      </w:pPr>
      <w:r>
        <w:rPr>
          <w:bCs/>
          <w:b/>
        </w:rPr>
        <w:t xml:space="preserve">Arbeitsfassung für Zeitschrifteneinreichung, v0.2 (deutsch)</w:t>
      </w:r>
    </w:p>
    <w:p>
      <w:pPr>
        <w:pStyle w:val="BodyText"/>
      </w:pPr>
      <w:r>
        <w:rPr>
          <w:iCs/>
          <w:i/>
        </w:rPr>
        <w:t xml:space="preserve">Zielformat: Abhandlung, dms – der moderne staat. Autorenangaben, Danksagung und Interessenerklärung folgen; offene Entscheidungen in</w:t>
      </w:r>
      <w:r>
        <w:rPr>
          <w:iCs/>
          <w:i/>
        </w:rPr>
        <w:t xml:space="preserve"> </w:t>
      </w:r>
      <w:r>
        <w:rPr>
          <w:rStyle w:val="VerbatimChar"/>
          <w:iCs/>
          <w:i/>
        </w:rPr>
        <w:t xml:space="preserve">submission-notes.md</w:t>
      </w:r>
      <w:r>
        <w:rPr>
          <w:iCs/>
          <w:i/>
        </w:rPr>
        <w:t xml:space="preserve">.</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in vielen Demokratien ein chronisches Problem der Wahlorganisation (Burden/Milyo 2015; Czapiewski 2025),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dms-einreichung/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behandelt handmarkierte und von Hand gezählte Papierstimmzettel als Sicherheitsanker der Wahl, so prominent bei Appel et al. (2020), und unterstellt damit implizit,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Zu den am besten dokumentierten europäischen Einsätzen von Auszählungstechnik gehören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zum Integritätskonzept Norris 2014).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Die Digitalisierungsforschung zu dieser Arbeitsform zeigt, dass Informationssysteme Ermessen nicht einfach beseitigen, sondern zwischen Sachbearbeitung und Systemgestaltung umverteilen (Bovens/Zouridis 2002) und dass Ausmaß und Richtung dieser Verschiebung von der konkreten Technik abhängen (Buffat 2015); die Auszählung ist dafür ein bislang unbeachteter Anwendungsfall.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(Brown/Cai/DasGupta 2001).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nach Einschätzung des Wahlamts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gelten als besonders schwer zu besetzen (Burden/Milyo 2015; Czapiewski 2025),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Beobachtungsartefakten im Sinne des Hawthorne-Effekts vereinbar (McCambridge et al. 2014).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für die kommunale Umsetzungsebene Kuhlmann/Heuberger 2023),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Bovens/Zouridis 2002; Buffat 2015).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Bovens, M./Zouridis, S. (2002): From Street-Level to System-Level Bureaucracies. How Information and Communication Technology is Transforming Administrative Discretion and Constitutional Control. In: Public Administration Review 62, H. 2, S. 174–184.</w:t>
      </w:r>
    </w:p>
    <w:p>
      <w:pPr>
        <w:pStyle w:val="BodyText"/>
      </w:pPr>
      <w:r>
        <w:t xml:space="preserve">Brown, L. D./Cai, T. T./DasGupta, A. (2001): Interval Estimation for a Binomial Proportion. In: Statistical Science 16, H. 2, S. 101–133.</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Buffat, A. (2015): Street-Level Bureaucracy and E-Government. In: Public Management Review 17, H. 1, S. 149–161.</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Czapiewski, T. (2025): Poll Workers and the Challenges of Election Management at the Ground Level. In: Polish Political Science Yearbook 54, H. 2.</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Kuhlmann, S./Heuberger, M. (2023): Digital Transformation Going Local. Implementation, Impacts and Constraints from a German Perspective. In: Public Money &amp; Management 43, H. 2, S. 147–155.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McCambridge, J./Witton, J./Elbourne, D. R. (2014): Systematic Review of the Hawthorne Effect. New Concepts Are Needed to Study Research Participation Effects. In: Journal of Clinical Epidemiology 67, H. 3, S. 267–277.</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Norris, P. (2014): Why Electoral Integrity Matters. New York.</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2026-07-18T17:22:37Z</dcterms:created>
  <dcterms:modified xsi:type="dcterms:W3CDTF">2026-07-18T17:22:37Z</dcterms:modified>
</cp:coreProperties>
</file>

<file path=docProps/custom.xml><?xml version="1.0" encoding="utf-8"?>
<Properties xmlns="http://schemas.openxmlformats.org/officeDocument/2006/custom-properties" xmlns:vt="http://schemas.openxmlformats.org/officeDocument/2006/docPropsVTypes"/>
</file>