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5cd362a7c3eed2098dad6b6a0b16c07a3675e8e"/>
    <w:p>
      <w:pPr>
        <w:pStyle w:val="Heading1"/>
      </w:pPr>
      <w:r>
        <w:t xml:space="preserve">Den Zählvorgang digitalisieren, nicht die Stimmabgabe: Befunde aus dem ersten rechtsverbindlichen Einsatz digitaler Stimmzettelerfassung bei der Münchner Kommunalwahl 2026</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deren erster rechtsverbindlicher Einsatz in einer deutschen Großstadt (23 Briefwahlbezirke der Münchner Kommunalwahl 2026)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Evidence from the first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study its first legally binding deployment in a major German city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ist in Deutschland seither politisch tot (Fitzpatrick/Jöst 2022).</w:t>
      </w:r>
    </w:p>
    <w:p>
      <w:pPr>
        <w:pStyle w:val="BodyText"/>
      </w:pPr>
      <w:r>
        <w:t xml:space="preserve">Diese Debatte verdeckt jedoch einen Kategorienunterschied. Zwischen Handauszählung und Wahlcomputer liegt eine dritte Anordnung: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(Kitcat/Browning 2008; Lock et al. 2008). Eine Evaluation eines rechtsverbindlichen Einsatzes menschlich bedienter digitaler Stimmzettelerfassung bei einer deutschen Großstadtwahl, mit administrativen Ergebnisdaten und systematischer Wahlhelfendenbefragung, fehlt nach unserem Kenntnisstand bislang.</w:t>
      </w:r>
    </w:p>
    <w:p>
      <w:pPr>
        <w:pStyle w:val="BodyText"/>
      </w:pPr>
      <w:r>
        <w:t xml:space="preserve">Der vorliegende Beitrag schließt diese Lücke. 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Fragen. Erstens: Was bewirkt die digitale Erfassung für Geschwindigkeit und Personaleinsatz der Auszählung? Zweitens: Was bewirkt sie für die Auszählungsqualität, gemessen an den amtlichen Berichtigungen der Wahlniederschriften? Drittens: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erste Ergebnisevaluation rechtsverbindlicher digitaler Stimmzettelerfassung in einer deutschen Metropole,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weitere Stimmen für die 25 Bezirksausschüsse auf gesonderten Stimmzetteln.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Anordnungen, in denen das maßgebliche Stimmendokument der Laienkontrolle entzogen ist.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Anordnung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nicht den verfassungsrechtlichen Defekt der Wahlcomputer, wohl aber jede betriebliche Frage nach Zuverlässigkeit, Bedienbarkeit und Prozessintegration. Diese Fragen sind empirisch, und ihnen gilt dieser Beitrag.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unterstellt häufig,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Die bestdokumentierten europäischen Einsätze von Auszählungstechnik sind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(Kitcat/Browning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 et al. 2023; James/Clark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 et al. 2016; Hostetter et al. 2025).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2024).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(Kitcat/Browning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Den Berichtigungsvergleich prüfen wir mit einseitigen exakten Fisher-Tests auf Bezirksebene, der stärksten Inferenz, die die Zählstruktur erlaubt.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0b067c75fcd961d6a418c4c0e105da79b895417"/>
    <w:p>
      <w:pPr>
        <w:pStyle w:val="Heading3"/>
      </w:pPr>
      <w:r>
        <w:t xml:space="preserve">5.1 Effizienz: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bec2a0e57b8db2033a89e3464aee2640bddd937"/>
    <w:p>
      <w:pPr>
        <w:pStyle w:val="Heading3"/>
      </w:pPr>
      <w:r>
        <w:t xml:space="preserve">5.2 Qualität: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6f6129ddd3ccfb07da4794a5908e13a0356c840"/>
    <w:p>
      <w:pPr>
        <w:pStyle w:val="Heading3"/>
      </w:pPr>
      <w:r>
        <w:t xml:space="preserve">5.3 Akzeptanz und Schulung: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ertrugen das System nicht; sie forderten mehr davon und verlangten, seine Kanten zu glätten.</w:t>
      </w:r>
    </w:p>
    <w:p>
      <w:pPr>
        <w:pStyle w:val="BodyText"/>
      </w:pPr>
      <w:r>
        <w:t xml:space="preserve">Die Schulungsbefunde tragen eine betrieblich bedeutsame Nuance. Die 3,5-stündige Schulung mit erweitertem Praxisblock bewerteten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 et al. 2023;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belastbare Zwischenergebnisse (höchstens 0,3 Prozentpunkte vom Endergebnis entfernt) bereits rund 30 Minuten nach Auszählungsbeginn vorlagen.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stützen die drei Befundblöcke eine spezifische, begrenzte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Konfiguration, die diese Ergebnisse hervorbrachte, ist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sind am schwersten zu besetzen,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2024).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Hawthorne-Anteilen vereinbar.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 et al.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drei Messvorbehalte.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Und die Governance von Zwischenergebnissen braucht definierte Veröffentlichungsregeln, bevor die neue Fähigkeit zur Improvisation verführt.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Favreau et al. 2016; Hostetter et al. 2025).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erste rechtsverbindliche Großstadteinsatz dieser Anordnung in Deutschland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Satzes gehören in die Akten.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Kernaussagen aller Quellen wurden während der Erstellung gegen bibliografische Datenbanken geprüft; mit [prüfen] markierte Einträge benötigen vor Einreichung finale bibliografische Vervollständigung (Autorenlisten, Seiten). Zitierweise wird an die Vorgaben der Zielzeitschrift angepasst.</w:t>
      </w:r>
    </w:p>
    <w:p>
      <w:pPr>
        <w:pStyle w:val="BodyText"/>
      </w:pPr>
      <w:r>
        <w:t xml:space="preserve">Ansolabehere, S. et al. (2018): Learning from Recounts. In: Election Law Journal 17, H. 2. [prüfen: Autorenliste, Seiten]</w:t>
      </w:r>
    </w:p>
    <w:p>
      <w:pPr>
        <w:pStyle w:val="BodyText"/>
      </w:pPr>
      <w:r>
        <w:t xml:space="preserve">Appel, A. W./DeMillo, R. A./Stark, P. B. (2020): Ballot-Marking Devices Cannot Ensure the Will of the Voters. In: Election Law Journal 19, H. 3, S. 432–450.</w:t>
      </w:r>
    </w:p>
    <w:p>
      <w:pPr>
        <w:pStyle w:val="BodyText"/>
      </w:pPr>
      <w:r>
        <w:t xml:space="preserve">Budurushi, J./Neumann, S./Renaud, K./Volkamer, M. (2014): Implementing and Evaluating a Software-Independent Voting System for Polling Station Elections. In: Journal of Information Security and Applications 19, H. 2. [prüfen: Seiten]</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Davis, F. D. (1989): Perceived Usefulness, Perceived Ease of Use, and User Acceptance of Information Technology. In: MIS Quarterly 13, H. 3, S. 319–340.</w:t>
      </w:r>
    </w:p>
    <w:p>
      <w:pPr>
        <w:pStyle w:val="BodyText"/>
      </w:pPr>
      <w:r>
        <w:t xml:space="preserve">DeMora, S. L. et al. (2022): Don’t Dismiss Digital Immigrants. Poll Workers and New Election Technologies. In: Election Law Journal 21, H. 1. [prüfen: Autorenliste, Seiten]</w:t>
      </w:r>
    </w:p>
    <w:p>
      <w:pPr>
        <w:pStyle w:val="BodyText"/>
      </w:pPr>
      <w:r>
        <w:t xml:space="preserve">Favreau, J. M. et al. (2016): Improving Election Poll Worker Training. In: Administrative Theory &amp; Praxis 38, H. 4. [prüfen]</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[prüfen: Autorenliste, Artikelnummer]</w:t>
      </w:r>
    </w:p>
    <w:p>
      <w:pPr>
        <w:pStyle w:val="BodyText"/>
      </w:pPr>
      <w:r>
        <w:t xml:space="preserve">Goggin, S. N./Byrne, M. D./Gilbert, J. E. (2012): Post-Election Auditing. Effects of Procedure and Ballot Type on Manual Counting Accuracy, Efficiency, and Auditor Satisfaction and Confidence. In: Election Law Journal 11, H. 1, S. 36–51. [prüfen: Autorenliste]</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[prüfen: Autorenliste]</w:t>
      </w:r>
    </w:p>
    <w:p>
      <w:pPr>
        <w:pStyle w:val="BodyText"/>
      </w:pPr>
      <w:r>
        <w:t xml:space="preserve">Hostetter, J. D. et al. (2025): Poll Worker Experience and Polling Place Operations. In: American Politics Research. [prüfen]</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S./Clark, A. (2023): Election Staff Training. Tracing Global Patterns of Institutionalisation. In: South African Journal of International Affairs. [prüfen: Autorenliste, Band]</w:t>
      </w:r>
    </w:p>
    <w:p>
      <w:pPr>
        <w:pStyle w:val="BodyText"/>
      </w:pPr>
      <w:r>
        <w:t xml:space="preserve">Jerhov, C. et al. (2023): Poll Workers in Sweden. Characteristics, Training, and Performance. In: Election Law Journal 22. [prüfen: Autorenliste, Seiten]</w:t>
      </w:r>
    </w:p>
    <w:p>
      <w:pPr>
        <w:pStyle w:val="BodyText"/>
      </w:pPr>
      <w:r>
        <w:t xml:space="preserve">Kitcat, J./Browning, I. (2008): Observing the English and Scottish 2007 E-Elections. In: Parliamentary Affairs 61, H. 2, S. 380–395. [prüfen: Autorenliste]</w:t>
      </w:r>
    </w:p>
    <w:p>
      <w:pPr>
        <w:pStyle w:val="BodyText"/>
      </w:pPr>
      <w:r>
        <w:t xml:space="preserve">Lipsky, M. (1980): Street-Level Bureaucracy. Dilemmas of the Individual in Public Services. New York.</w:t>
      </w:r>
    </w:p>
    <w:p>
      <w:pPr>
        <w:pStyle w:val="BodyText"/>
      </w:pPr>
      <w:r>
        <w:t xml:space="preserve">Lock, R. et al. (2008): Observations of the Scottish Elections 2007. In: Transforming Government: People, Process and Policy 2, H. 2. [prüfen: Autorenliste]</w:t>
      </w:r>
    </w:p>
    <w:p>
      <w:pPr>
        <w:pStyle w:val="BodyText"/>
      </w:pPr>
      <w:r>
        <w:t xml:space="preserve">Neumann, S. et al. (2013): Modeling the German Legal Latitude Principles. In: Electronic Participation (ePart 2013), LNCS. Berlin/Heidelberg. [prüfen]</w:t>
      </w:r>
    </w:p>
    <w:p>
      <w:pPr>
        <w:pStyle w:val="BodyText"/>
      </w:pPr>
      <w:r>
        <w:t xml:space="preserve">Rogers, E. M. (2003): Diffusion of Innovations. 5. Aufl., New York.</w:t>
      </w:r>
    </w:p>
    <w:p>
      <w:pPr>
        <w:pStyle w:val="BodyText"/>
      </w:pPr>
      <w:r>
        <w:t xml:space="preserve">Shino, E. et al. (2025): Vote Method and Confidence in Elections. In: Political Research Quarterly. [prüfen]</w:t>
      </w:r>
    </w:p>
    <w:p>
      <w:pPr>
        <w:pStyle w:val="BodyText"/>
      </w:pPr>
      <w:r>
        <w:t xml:space="preserve">Stein, R. M. et al. (2024): Guardians at the Gates. Poll Worker Retention in a Challenging Election Environment. In: Election Law Journal 23. [prüfen]</w:t>
      </w:r>
    </w:p>
    <w:p>
      <w:pPr>
        <w:pStyle w:val="BodyText"/>
      </w:pPr>
      <w:r>
        <w:t xml:space="preserve">Taylor, G. (2010): Constitutional Restrictions on Touch-Screen Voting Computers in Germany. In: Election Law Journal 9, H. 2.</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[prüfen: Seiten]</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2026-07-18T15:51:24Z</dcterms:created>
  <dcterms:modified xsi:type="dcterms:W3CDTF">2026-07-18T15:51:24Z</dcterms:modified>
</cp:coreProperties>
</file>

<file path=docProps/custom.xml><?xml version="1.0" encoding="utf-8"?>
<Properties xmlns="http://schemas.openxmlformats.org/officeDocument/2006/custom-properties" xmlns:vt="http://schemas.openxmlformats.org/officeDocument/2006/docPropsVTypes"/>
</file>