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cd362a7c3eed2098dad6b6a0b16c07a3675e8e"/>
    <w:p>
      <w:pPr>
        <w:pStyle w:val="Heading1"/>
      </w:pPr>
      <w:r>
        <w:t xml:space="preserve">Den Zählvorgang digitalisieren, nicht die Stimmabgabe: Befunde aus dem ersten rechtsverbindlichen Einsatz digitaler Stimmzettelerfassung bei der Münchner Kommunalwahl 2026</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deren erster rechtsverbindlicher Einsatz in einer deutschen Großstadt (23 Briefwahlbezirke der Münchner Kommunalwahl 2026)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Evidence from the first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study its first legally binding deployment in a major German city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ist in Deutschland seither politisch tot (Fitzpatrick/Jöst 2022).</w:t>
      </w:r>
    </w:p>
    <w:p>
      <w:pPr>
        <w:pStyle w:val="BodyText"/>
      </w:pPr>
      <w:r>
        <w:t xml:space="preserve">Diese Debatte verdeckt jedoch einen Kategorienunterschied. Zwischen Handauszählung und Wahlcomputer liegt eine dritte Anordnung: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Eine Evaluation eines rechtsverbindlichen Einsatzes menschlich bedienter digitaler Stimmzettelerfassung bei einer deutschen Großstadtwahl, mit administrativen Ergebnisdaten und systematischer Wahlhelfendenbefragung, fehlt nach unserem Kenntnisstand bislang.</w:t>
      </w:r>
    </w:p>
    <w:p>
      <w:pPr>
        <w:pStyle w:val="BodyText"/>
      </w:pPr>
      <w:r>
        <w:t xml:space="preserve">Der vorliegende Beitrag schließt diese Lücke. 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erste Ergebnisevaluation rechtsverbindlicher digitaler Stimmzettelerfassung in einer deutschen Metropole,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Anordnung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ertrugen das System nicht; sie forderten mehr davon und verlangten, seine Kanten zu glätten.</w:t>
      </w:r>
    </w:p>
    <w:p>
      <w:pPr>
        <w:pStyle w:val="BodyText"/>
      </w:pPr>
      <w:r>
        <w:t xml:space="preserve">Die Schulungsbefunde tragen eine betrieblich bedeutsame Nuance. Die 3,5-stündige Schulung mit erweitertem Praxisblock bewerteten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Favreau/Hanks 2016; Hostetter/Atkeson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erste rechtsverbindliche Großstadteinsatz dieser Anordnung in Deutschland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Satzes gehören in die Akten.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2.</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2026-07-18T15:54:09Z</dcterms:created>
  <dcterms:modified xsi:type="dcterms:W3CDTF">2026-07-18T15:54:09Z</dcterms:modified>
</cp:coreProperties>
</file>

<file path=docProps/custom.xml><?xml version="1.0" encoding="utf-8"?>
<Properties xmlns="http://schemas.openxmlformats.org/officeDocument/2006/custom-properties" xmlns:vt="http://schemas.openxmlformats.org/officeDocument/2006/docPropsVTypes"/>
</file>