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C6201" w14:textId="022B141F" w:rsidR="00A56B88" w:rsidRPr="00BD15DA" w:rsidRDefault="00DD39E7" w:rsidP="00A56B88">
      <w:pPr>
        <w:pStyle w:val="Heading1"/>
        <w:rPr>
          <w:lang w:val="en-US"/>
        </w:rPr>
      </w:pPr>
      <w:r w:rsidRPr="00BD15DA">
        <w:rPr>
          <w:lang w:val="en-US"/>
        </w:rPr>
        <w:t>Reviewer #1</w:t>
      </w:r>
    </w:p>
    <w:p w14:paraId="5B33F4BC" w14:textId="7B45617B" w:rsidR="00A56B88" w:rsidRPr="00BD15DA" w:rsidRDefault="00A56B88" w:rsidP="00017B9E">
      <w:pPr>
        <w:pStyle w:val="Heading2"/>
        <w:rPr>
          <w:lang w:val="en-US"/>
        </w:rPr>
      </w:pPr>
      <w:r w:rsidRPr="00BD15DA">
        <w:rPr>
          <w:lang w:val="en-US"/>
        </w:rPr>
        <w:t>Empirical approach</w:t>
      </w:r>
    </w:p>
    <w:p w14:paraId="7340B12D" w14:textId="77777777" w:rsidR="00A56B88" w:rsidRPr="00BD15DA" w:rsidRDefault="00A56B88" w:rsidP="00A56B88">
      <w:pPr>
        <w:rPr>
          <w:b/>
          <w:bCs/>
          <w:lang w:val="en-US"/>
        </w:rPr>
      </w:pPr>
      <w:r w:rsidRPr="00BD15DA">
        <w:rPr>
          <w:b/>
          <w:bCs/>
          <w:lang w:val="en-US"/>
        </w:rPr>
        <w:t>In Section 4, there is no clear justification provided for the choice of sample. What is the conceptual reason behind the choice to “narrow” the cases as described at the bottom of p. 15?</w:t>
      </w:r>
    </w:p>
    <w:p w14:paraId="415D2837" w14:textId="1B867141" w:rsidR="0020200D" w:rsidRPr="00BD15DA" w:rsidRDefault="0020200D" w:rsidP="00A56B88">
      <w:pPr>
        <w:rPr>
          <w:lang w:val="en-US"/>
        </w:rPr>
      </w:pPr>
      <w:r w:rsidRPr="00BD15DA">
        <w:rPr>
          <w:lang w:val="en-US"/>
        </w:rPr>
        <w:t>Regarding leaving out the first decade of the CCC, the reason is the great imprecision of information: we do not sometimes even know who attached a certain separate opinion, what type of it was, the composition of the benches is mostly unknown – even despite using the official CCC website + contacting the unit responsible for keeping it to obtain the data.</w:t>
      </w:r>
    </w:p>
    <w:p w14:paraId="13DA063C" w14:textId="27A87C32" w:rsidR="00A56B88" w:rsidRPr="00BD15DA" w:rsidRDefault="0020200D" w:rsidP="00A56B88">
      <w:pPr>
        <w:rPr>
          <w:lang w:val="en-US"/>
        </w:rPr>
      </w:pPr>
      <w:r w:rsidRPr="00BD15DA">
        <w:rPr>
          <w:lang w:val="en-US"/>
        </w:rPr>
        <w:t xml:space="preserve">Regarding leaving out the non-merit decisions 3-chamber decisions, the law stipulates that those decisions </w:t>
      </w:r>
      <w:proofErr w:type="gramStart"/>
      <w:r w:rsidRPr="00BD15DA">
        <w:rPr>
          <w:lang w:val="en-US"/>
        </w:rPr>
        <w:t>have to</w:t>
      </w:r>
      <w:proofErr w:type="gramEnd"/>
      <w:r w:rsidRPr="00BD15DA">
        <w:rPr>
          <w:lang w:val="en-US"/>
        </w:rPr>
        <w:t xml:space="preserve"> be made unanimously. Therefore, there is only very limited room for concurring opinions that has barely been used</w:t>
      </w:r>
      <w:r w:rsidR="00FA6182" w:rsidRPr="00BD15DA">
        <w:rPr>
          <w:lang w:val="en-US"/>
        </w:rPr>
        <w:t>, most of them are just two concurring opinions from two judges that they had copied verbatim into similar decisions</w:t>
      </w:r>
      <w:r w:rsidRPr="00BD15DA">
        <w:rPr>
          <w:lang w:val="en-US"/>
        </w:rPr>
        <w:t xml:space="preserve">. In contrast with that, there are tens of </w:t>
      </w:r>
      <w:r w:rsidR="00FA6182" w:rsidRPr="00BD15DA">
        <w:rPr>
          <w:lang w:val="en-US"/>
        </w:rPr>
        <w:t>thousands of</w:t>
      </w:r>
      <w:r w:rsidRPr="00BD15DA">
        <w:rPr>
          <w:lang w:val="en-US"/>
        </w:rPr>
        <w:t xml:space="preserve"> decisions of this type.</w:t>
      </w:r>
      <w:r w:rsidR="00E536A8" w:rsidRPr="00BD15DA">
        <w:rPr>
          <w:lang w:val="en-US"/>
        </w:rPr>
        <w:t xml:space="preserve"> To us, it makes sense to limit the analysis only to those decisions, in which disagreement on the bench in the form of potential vote against the majority may arise. </w:t>
      </w:r>
    </w:p>
    <w:p w14:paraId="2E2DDB14" w14:textId="77777777" w:rsidR="00A56B88" w:rsidRPr="00BD15DA" w:rsidRDefault="00A56B88" w:rsidP="00A56B88">
      <w:pPr>
        <w:rPr>
          <w:b/>
          <w:bCs/>
          <w:lang w:val="en-US"/>
        </w:rPr>
      </w:pPr>
      <w:r w:rsidRPr="00BD15DA">
        <w:rPr>
          <w:b/>
          <w:bCs/>
          <w:lang w:val="en-US"/>
        </w:rPr>
        <w:t xml:space="preserve">Why exactly would number of cited acts </w:t>
      </w:r>
      <w:proofErr w:type="gramStart"/>
      <w:r w:rsidRPr="00BD15DA">
        <w:rPr>
          <w:b/>
          <w:bCs/>
          <w:lang w:val="en-US"/>
        </w:rPr>
        <w:t>in a given</w:t>
      </w:r>
      <w:proofErr w:type="gramEnd"/>
      <w:r w:rsidRPr="00BD15DA">
        <w:rPr>
          <w:b/>
          <w:bCs/>
          <w:lang w:val="en-US"/>
        </w:rPr>
        <w:t xml:space="preserve"> case be a measure of case complexity? There is no clear justification offered in the paper.</w:t>
      </w:r>
    </w:p>
    <w:p w14:paraId="56DA50E9" w14:textId="21BBBDE6" w:rsidR="00013605" w:rsidRPr="00BD15DA" w:rsidRDefault="00AA59FA" w:rsidP="00A56B88">
      <w:pPr>
        <w:rPr>
          <w:lang w:val="en-US"/>
        </w:rPr>
      </w:pPr>
      <w:r w:rsidRPr="00BD15DA">
        <w:rPr>
          <w:lang w:val="en-US"/>
        </w:rPr>
        <w:t>We have reworked the paragraph on complexity to make it clearer why we deem references to caselaw</w:t>
      </w:r>
      <w:r w:rsidR="000E7620" w:rsidRPr="00BD15DA">
        <w:rPr>
          <w:lang w:val="en-US"/>
        </w:rPr>
        <w:t>/legal provisions relevant for legal complexity and included further references to papers that operationalized legal complexity similarly.</w:t>
      </w:r>
    </w:p>
    <w:p w14:paraId="49825EF5" w14:textId="77777777" w:rsidR="00A56B88" w:rsidRPr="00BD15DA" w:rsidRDefault="00A56B88" w:rsidP="00A56B88">
      <w:pPr>
        <w:rPr>
          <w:b/>
          <w:bCs/>
          <w:lang w:val="en-US"/>
        </w:rPr>
      </w:pPr>
      <w:r w:rsidRPr="00BD15DA">
        <w:rPr>
          <w:b/>
          <w:bCs/>
          <w:lang w:val="en-US"/>
        </w:rPr>
        <w:t>On what basis were specific subjects chosen as controversial? The authors never explain this.</w:t>
      </w:r>
    </w:p>
    <w:p w14:paraId="2981BC9D" w14:textId="28D0BC72" w:rsidR="00A56B88" w:rsidRPr="00BD15DA" w:rsidRDefault="00283D54" w:rsidP="00A56B88">
      <w:pPr>
        <w:rPr>
          <w:lang w:val="en-US"/>
        </w:rPr>
      </w:pPr>
      <w:r w:rsidRPr="00BD15DA">
        <w:rPr>
          <w:lang w:val="en-US"/>
        </w:rPr>
        <w:t xml:space="preserve">We tried to explain </w:t>
      </w:r>
      <w:r w:rsidR="000610CA" w:rsidRPr="00BD15DA">
        <w:rPr>
          <w:lang w:val="en-US"/>
        </w:rPr>
        <w:t>the research choice further. We are aware that the way to capture the variable via to topics is far from perfect, it’s at least somewhat feasible in the Czech context and we tried to provide a robustness check with the reworked placebo test.</w:t>
      </w:r>
    </w:p>
    <w:p w14:paraId="712DA42E" w14:textId="77777777" w:rsidR="00A56B88" w:rsidRPr="00BD15DA" w:rsidRDefault="00A56B88" w:rsidP="00A56B88">
      <w:pPr>
        <w:rPr>
          <w:b/>
          <w:bCs/>
          <w:lang w:val="en-US"/>
        </w:rPr>
      </w:pPr>
      <w:r w:rsidRPr="00BD15DA">
        <w:rPr>
          <w:b/>
          <w:bCs/>
          <w:lang w:val="en-US"/>
        </w:rPr>
        <w:t>The identification strategy section (4.3) is unclear and lacks substance. For example, the very first paragraph suggests that the authors will be working with “a generalized linear model estimating the probability of a judge attaching a separate opinion with the dependent variable following a binomial distribution”. But then, the results in Table 5 are based on a logit.</w:t>
      </w:r>
    </w:p>
    <w:p w14:paraId="7F006E0C" w14:textId="2C11173A" w:rsidR="00A56B88" w:rsidRDefault="00D548BF" w:rsidP="00A56B88">
      <w:pPr>
        <w:rPr>
          <w:lang w:val="en-US"/>
        </w:rPr>
      </w:pPr>
      <w:r w:rsidRPr="00BD15DA">
        <w:rPr>
          <w:lang w:val="en-US"/>
        </w:rPr>
        <w:t>We have rewritten the whole identification part so that it becomes clearer why we make the choices we make and that they are better justified.</w:t>
      </w:r>
    </w:p>
    <w:p w14:paraId="0332E0D9" w14:textId="79157B33" w:rsidR="00D93A2E" w:rsidRPr="00BD15DA" w:rsidRDefault="00D93A2E" w:rsidP="00A56B88">
      <w:pPr>
        <w:rPr>
          <w:lang w:val="en-US"/>
        </w:rPr>
      </w:pPr>
      <w:r>
        <w:rPr>
          <w:lang w:val="en-US"/>
        </w:rPr>
        <w:lastRenderedPageBreak/>
        <w:t xml:space="preserve">We made it clear that the dependent variables </w:t>
      </w:r>
      <w:proofErr w:type="gramStart"/>
      <w:r>
        <w:rPr>
          <w:lang w:val="en-US"/>
        </w:rPr>
        <w:t>follows</w:t>
      </w:r>
      <w:proofErr w:type="gramEnd"/>
      <w:r>
        <w:rPr>
          <w:lang w:val="en-US"/>
        </w:rPr>
        <w:t xml:space="preserve"> a Bernoulli distribution, which is a special case of the Binomial distribution with a single trial</w:t>
      </w:r>
      <w:r w:rsidR="006A4F72">
        <w:rPr>
          <w:lang w:val="en-US"/>
        </w:rPr>
        <w:t xml:space="preserve"> (in other words, we were not wrong, it was only slightly misleading)</w:t>
      </w:r>
      <w:r>
        <w:rPr>
          <w:lang w:val="en-US"/>
        </w:rPr>
        <w:t xml:space="preserve">. </w:t>
      </w:r>
    </w:p>
    <w:p w14:paraId="4E8AAD6E" w14:textId="77777777" w:rsidR="00A56B88" w:rsidRPr="00BD15DA" w:rsidRDefault="00A56B88" w:rsidP="00A56B88">
      <w:pPr>
        <w:rPr>
          <w:b/>
          <w:bCs/>
          <w:lang w:val="en-US"/>
        </w:rPr>
      </w:pPr>
      <w:r w:rsidRPr="00BD15DA">
        <w:rPr>
          <w:b/>
          <w:bCs/>
          <w:lang w:val="en-US"/>
        </w:rPr>
        <w:t xml:space="preserve">The discussion of the use of FE on pp. 23-24 is unclear and does not make a clear case for why specific FE are, or are not, included. </w:t>
      </w:r>
      <w:proofErr w:type="gramStart"/>
      <w:r w:rsidRPr="00BD15DA">
        <w:rPr>
          <w:b/>
          <w:bCs/>
          <w:lang w:val="en-US"/>
        </w:rPr>
        <w:t>In particular, if</w:t>
      </w:r>
      <w:proofErr w:type="gramEnd"/>
      <w:r w:rsidRPr="00BD15DA">
        <w:rPr>
          <w:b/>
          <w:bCs/>
          <w:lang w:val="en-US"/>
        </w:rPr>
        <w:t xml:space="preserve"> the reader studies Table 5, no FE seem to be included. Yet the authors note on p. 24 that some notion of panel FE is included. But the underlying logic for why these FE are the appropriate ones is not made clear. The point of articulating an identification strategy is to explain how doing something (here, including FE) helps one ascertain a specific ceteris-paribus effect, or set of effects, of interest. It is not about digressing on who included, and who did not include, some FE.</w:t>
      </w:r>
    </w:p>
    <w:p w14:paraId="392C4488" w14:textId="01ECEE14" w:rsidR="00A56B88" w:rsidRPr="00BD15DA" w:rsidRDefault="00C06474" w:rsidP="00A56B88">
      <w:pPr>
        <w:rPr>
          <w:b/>
          <w:bCs/>
          <w:lang w:val="en-US"/>
        </w:rPr>
      </w:pPr>
      <w:r w:rsidRPr="00BD15DA">
        <w:rPr>
          <w:lang w:val="en-US"/>
        </w:rPr>
        <w:t>We have completely rewritten the identification part on FEs to fully justif</w:t>
      </w:r>
      <w:r w:rsidR="00367D92">
        <w:rPr>
          <w:lang w:val="en-US"/>
        </w:rPr>
        <w:t>y</w:t>
      </w:r>
      <w:r w:rsidRPr="00BD15DA">
        <w:rPr>
          <w:lang w:val="en-US"/>
        </w:rPr>
        <w:t xml:space="preserve"> the choice of fixed effects.</w:t>
      </w:r>
      <w:r w:rsidR="00486BB9" w:rsidRPr="00BD15DA">
        <w:rPr>
          <w:lang w:val="en-US"/>
        </w:rPr>
        <w:t xml:space="preserve"> </w:t>
      </w:r>
    </w:p>
    <w:p w14:paraId="724DDAA3" w14:textId="77777777" w:rsidR="00A56B88" w:rsidRPr="00BD15DA" w:rsidRDefault="00A56B88" w:rsidP="00A56B88">
      <w:pPr>
        <w:rPr>
          <w:b/>
          <w:bCs/>
          <w:lang w:val="en-US"/>
        </w:rPr>
      </w:pPr>
      <w:r w:rsidRPr="00BD15DA">
        <w:rPr>
          <w:b/>
          <w:bCs/>
          <w:lang w:val="en-US"/>
        </w:rPr>
        <w:t>In the same spirit, the authors note that they use term FE, not year FE. But they do not offer any explanation as to why this is an appropriate choice.</w:t>
      </w:r>
    </w:p>
    <w:p w14:paraId="2FC99920" w14:textId="78DB085B" w:rsidR="00A56B88" w:rsidRPr="00BD15DA" w:rsidRDefault="00A23A29" w:rsidP="00A56B88">
      <w:pPr>
        <w:rPr>
          <w:lang w:val="en-US"/>
        </w:rPr>
      </w:pPr>
      <w:r w:rsidRPr="00BD15DA">
        <w:rPr>
          <w:lang w:val="en-US"/>
        </w:rPr>
        <w:t xml:space="preserve">In the end we opted for the year FE as they would in any case also capture the </w:t>
      </w:r>
      <w:r w:rsidR="00B0340F" w:rsidRPr="00BD15DA">
        <w:rPr>
          <w:lang w:val="en-US"/>
        </w:rPr>
        <w:t>change in the composition of the CCC</w:t>
      </w:r>
      <w:r w:rsidR="00F00002" w:rsidRPr="00BD15DA">
        <w:rPr>
          <w:lang w:val="en-US"/>
        </w:rPr>
        <w:t xml:space="preserve"> + other shocks</w:t>
      </w:r>
      <w:r w:rsidR="00B0340F" w:rsidRPr="00BD15DA">
        <w:rPr>
          <w:lang w:val="en-US"/>
        </w:rPr>
        <w:t xml:space="preserve"> and the choice is clear</w:t>
      </w:r>
      <w:r w:rsidR="00F00002" w:rsidRPr="00BD15DA">
        <w:rPr>
          <w:lang w:val="en-US"/>
        </w:rPr>
        <w:t>er</w:t>
      </w:r>
      <w:r w:rsidR="00B0340F" w:rsidRPr="00BD15DA">
        <w:rPr>
          <w:lang w:val="en-US"/>
        </w:rPr>
        <w:t>.</w:t>
      </w:r>
    </w:p>
    <w:p w14:paraId="637333C0" w14:textId="22DF492C" w:rsidR="00AA1DD8" w:rsidRDefault="00A56B88" w:rsidP="00A56B88">
      <w:pPr>
        <w:rPr>
          <w:b/>
          <w:bCs/>
          <w:lang w:val="en-US"/>
        </w:rPr>
      </w:pPr>
      <w:r w:rsidRPr="00BD15DA">
        <w:rPr>
          <w:b/>
          <w:bCs/>
          <w:lang w:val="en-US"/>
        </w:rPr>
        <w:t>More generally, once one settles on and justifies a particular identification strategy, one should not be engaging in testing of “the model under different specifications by excluding different variables” and then presenting the model based on “the best fit”. This is antithetical to the very logic of hypothetico-deductive reasoning. The authors would benefit from studying the notion of pretest bias.</w:t>
      </w:r>
    </w:p>
    <w:p w14:paraId="6F75B32B" w14:textId="197A74AF" w:rsidR="00B11186" w:rsidRPr="00B11186" w:rsidRDefault="00B11186" w:rsidP="00A56B88">
      <w:pPr>
        <w:rPr>
          <w:lang w:val="en-US"/>
        </w:rPr>
      </w:pPr>
      <w:r>
        <w:rPr>
          <w:lang w:val="en-US"/>
        </w:rPr>
        <w:t>The model has been always based on the theory. Testing whether excluding or including the norm-identification and disagreement groups of variables reduces the fit is also motivated by theory. In any case, we have included only the whole model that fully corresponds to the theory</w:t>
      </w:r>
      <w:r w:rsidR="00565303">
        <w:rPr>
          <w:lang w:val="en-US"/>
        </w:rPr>
        <w:t xml:space="preserve"> and omitted any references to other specifications.</w:t>
      </w:r>
    </w:p>
    <w:p w14:paraId="0C16098D" w14:textId="77777777" w:rsidR="00A56B88" w:rsidRPr="00BD15DA" w:rsidRDefault="00A56B88" w:rsidP="00A56B88">
      <w:pPr>
        <w:rPr>
          <w:b/>
          <w:bCs/>
          <w:lang w:val="en-US"/>
        </w:rPr>
      </w:pPr>
      <w:r w:rsidRPr="00BD15DA">
        <w:rPr>
          <w:b/>
          <w:bCs/>
          <w:highlight w:val="yellow"/>
          <w:lang w:val="en-US"/>
        </w:rPr>
        <w:t>The placebo tests in Table 7 do not make much sense. If anything, such tests would have to be performed using the full estimated model, as opposed to bivariate specifications (which is how I interpret Table 7).</w:t>
      </w:r>
    </w:p>
    <w:p w14:paraId="44792743" w14:textId="093AE9E6" w:rsidR="00A56B88" w:rsidRPr="00BD15DA" w:rsidRDefault="00771490" w:rsidP="00A56B88">
      <w:pPr>
        <w:rPr>
          <w:lang w:val="en-US"/>
        </w:rPr>
      </w:pPr>
      <w:r w:rsidRPr="00BD15DA">
        <w:rPr>
          <w:lang w:val="en-US"/>
        </w:rPr>
        <w:t>The placebo test has been fitted using the same covariates as with the full model</w:t>
      </w:r>
      <w:r w:rsidR="00CC4CBA">
        <w:rPr>
          <w:lang w:val="en-US"/>
        </w:rPr>
        <w:t xml:space="preserve"> even in the old manuscript</w:t>
      </w:r>
      <w:r w:rsidRPr="00BD15DA">
        <w:rPr>
          <w:lang w:val="en-US"/>
        </w:rPr>
        <w:t>. The presentation of it has been improved so that now it includes the information that it has been fit with the same specification as the full model</w:t>
      </w:r>
      <w:r w:rsidR="002305F2">
        <w:rPr>
          <w:lang w:val="en-US"/>
        </w:rPr>
        <w:t xml:space="preserve"> both in the text of the article as well as in the description of the table</w:t>
      </w:r>
      <w:r w:rsidRPr="00BD15DA">
        <w:rPr>
          <w:lang w:val="en-US"/>
        </w:rPr>
        <w:t>.</w:t>
      </w:r>
    </w:p>
    <w:p w14:paraId="03E3B6E0" w14:textId="1062C1DE" w:rsidR="00771490" w:rsidRPr="00BD15DA" w:rsidRDefault="00013605" w:rsidP="00A56B88">
      <w:pPr>
        <w:rPr>
          <w:lang w:val="en-US"/>
        </w:rPr>
      </w:pPr>
      <w:r w:rsidRPr="00BD15DA">
        <w:rPr>
          <w:lang w:val="en-US"/>
        </w:rPr>
        <w:t xml:space="preserve">We reworked the placebo test even further. Heeding the </w:t>
      </w:r>
      <w:r w:rsidRPr="00BD15DA">
        <w:rPr>
          <w:lang w:val="en-US"/>
        </w:rPr>
        <w:fldChar w:fldCharType="begin"/>
      </w:r>
      <w:r w:rsidRPr="00BD15DA">
        <w:rPr>
          <w:lang w:val="en-US"/>
        </w:rPr>
        <w:instrText xml:space="preserve"> ADDIN ZOTERO_ITEM CSL_CITATION {"citationID":"Y5SSPBOi","properties":{"formattedCitation":"(Hartman and Hidalgo 2018)","plainCitation":"(Hartman and Hidalgo 2018)","noteIndex":0},"citationItems":[{"id":2582,"uris":["http://zotero.org/users/4628104/items/RHTITR3P"],"itemData":{"id":2582,"type":"article-journal","abstract":"Recent emphasis on credible causal designs has led to the expectation that scholars justify their research designs by testing the plausibility of their causal identification assumptions, often through balance and placebo tests. Yet current practice is to use statistical tests with an inappropriate null hypothesis of no difference, which can result in equating nonsignificant differences with significant homogeneity. Instead, we argue that researchers should begin with the initial hypothesis that the data are inconsistent with a valid research design, and provide sufficient statistical evidence in favor of a valid design. When tests are correctly specified so that difference is the null and equivalence is the alternative, the problems afflicting traditional tests are alleviated. We argue that equivalence tests are better able to incorporate substantive considerations about what constitutes good balance on covariates and placebo outcomes than traditional tests. We demonstrate these advantages with applications to natural experiments.","container-title":"American Journal of Political Science","DOI":"10.1111/ajps.12387","ISSN":"1540-5907","issue":"4","language":"en","note":"_eprint: https://onlinelibrary.wiley.com/doi/pdf/10.1111/ajps.12387","page":"1000-1013","source":"Wiley Online Library","title":"An Equivalence Approach to Balance and Placebo Tests","volume":"62","author":[{"family":"Hartman","given":"Erin"},{"family":"Hidalgo","given":"F. Daniel"}],"issued":{"date-parts":[["2018"]]},"citation-key":"hartmanEquivalenceApproachBalance2018"}}],"schema":"https://github.com/citation-style-language/schema/raw/master/csl-citation.json"} </w:instrText>
      </w:r>
      <w:r w:rsidRPr="00BD15DA">
        <w:rPr>
          <w:lang w:val="en-US"/>
        </w:rPr>
        <w:fldChar w:fldCharType="separate"/>
      </w:r>
      <w:r w:rsidRPr="00BD15DA">
        <w:rPr>
          <w:noProof/>
          <w:lang w:val="en-US"/>
        </w:rPr>
        <w:t>(Hartman and Hidalgo 2018)</w:t>
      </w:r>
      <w:r w:rsidRPr="00BD15DA">
        <w:rPr>
          <w:lang w:val="en-US"/>
        </w:rPr>
        <w:fldChar w:fldCharType="end"/>
      </w:r>
      <w:r w:rsidRPr="00BD15DA">
        <w:rPr>
          <w:lang w:val="en-US"/>
        </w:rPr>
        <w:t xml:space="preserve"> paper on equivalence, we instead now tested the placebo against the null that the effects of placebo fall within 0.36 standard deviations of the actual treatment effect of the controversial variable. This way, the null is that the effects of the placebo and the </w:t>
      </w:r>
      <w:r w:rsidRPr="00BD15DA">
        <w:rPr>
          <w:lang w:val="en-US"/>
        </w:rPr>
        <w:lastRenderedPageBreak/>
        <w:t xml:space="preserve">actual treatment are roughly equal (instead of the placebo </w:t>
      </w:r>
      <w:r w:rsidR="001D15B0" w:rsidRPr="00BD15DA">
        <w:rPr>
          <w:lang w:val="en-US"/>
        </w:rPr>
        <w:t xml:space="preserve">failing to reject the null that it is different from 0). </w:t>
      </w:r>
    </w:p>
    <w:p w14:paraId="76E4024A" w14:textId="77777777" w:rsidR="00A56B88" w:rsidRPr="00BD15DA" w:rsidRDefault="00A56B88" w:rsidP="00A56B88">
      <w:pPr>
        <w:rPr>
          <w:b/>
          <w:bCs/>
          <w:lang w:val="en-US"/>
        </w:rPr>
      </w:pPr>
      <w:r w:rsidRPr="00BD15DA">
        <w:rPr>
          <w:b/>
          <w:bCs/>
          <w:lang w:val="en-US"/>
        </w:rPr>
        <w:t>In generating the results in Table 5, it is not clear what the unit of observation is. A remark on p. 24 seems to suggest it is not “a decision level”. Then what is it? More generally, it would be beneficial to articulate the full empirical model with an equation and using notation.</w:t>
      </w:r>
    </w:p>
    <w:p w14:paraId="622920AB" w14:textId="4485F82D" w:rsidR="004E6153" w:rsidRPr="00BD15DA" w:rsidRDefault="004E6153" w:rsidP="00A56B88">
      <w:pPr>
        <w:rPr>
          <w:lang w:val="en-US"/>
        </w:rPr>
      </w:pPr>
      <w:r w:rsidRPr="00BD15DA">
        <w:rPr>
          <w:lang w:val="en-US"/>
        </w:rPr>
        <w:t>A description has been added to the table.</w:t>
      </w:r>
      <w:r w:rsidR="00D639E6">
        <w:rPr>
          <w:lang w:val="en-US"/>
        </w:rPr>
        <w:t xml:space="preserve"> A formal specification of the full empirical model too.</w:t>
      </w:r>
    </w:p>
    <w:p w14:paraId="301C48CC" w14:textId="6685268B" w:rsidR="00A56B88" w:rsidRPr="00BD15DA" w:rsidRDefault="00A56B88" w:rsidP="004E6153">
      <w:pPr>
        <w:ind w:left="720" w:hanging="720"/>
        <w:rPr>
          <w:b/>
          <w:bCs/>
          <w:lang w:val="en-US"/>
        </w:rPr>
      </w:pPr>
      <w:r w:rsidRPr="00BD15DA">
        <w:rPr>
          <w:b/>
          <w:bCs/>
          <w:lang w:val="en-US"/>
        </w:rPr>
        <w:t xml:space="preserve">There is no </w:t>
      </w:r>
      <w:proofErr w:type="spellStart"/>
      <w:r w:rsidRPr="00BD15DA">
        <w:rPr>
          <w:b/>
          <w:bCs/>
          <w:lang w:val="en-US"/>
        </w:rPr>
        <w:t>discu</w:t>
      </w:r>
      <w:r w:rsidR="004E6153" w:rsidRPr="00BD15DA">
        <w:rPr>
          <w:b/>
          <w:bCs/>
          <w:lang w:val="en-US"/>
        </w:rPr>
        <w:t>ge</w:t>
      </w:r>
      <w:r w:rsidRPr="00BD15DA">
        <w:rPr>
          <w:b/>
          <w:bCs/>
          <w:lang w:val="en-US"/>
        </w:rPr>
        <w:t>ssion</w:t>
      </w:r>
      <w:proofErr w:type="spellEnd"/>
      <w:r w:rsidRPr="00BD15DA">
        <w:rPr>
          <w:b/>
          <w:bCs/>
          <w:lang w:val="en-US"/>
        </w:rPr>
        <w:t xml:space="preserve"> of how statistical inference is conducted. Should we worry about correlation of unobservable factors over time? If so, clustering of standard errors at some (appropriate) level would seem important. But there is no discussion of this in the paper.</w:t>
      </w:r>
    </w:p>
    <w:p w14:paraId="4821949F" w14:textId="2E64456A" w:rsidR="00A56B88" w:rsidRPr="00BD15DA" w:rsidRDefault="009234B7" w:rsidP="00A56B88">
      <w:pPr>
        <w:rPr>
          <w:lang w:val="en-US"/>
        </w:rPr>
      </w:pPr>
      <w:r w:rsidRPr="00BD15DA">
        <w:rPr>
          <w:lang w:val="en-US"/>
        </w:rPr>
        <w:t>Clustered standard errors have been computed now</w:t>
      </w:r>
      <w:r w:rsidR="0061598E" w:rsidRPr="00BD15DA">
        <w:rPr>
          <w:lang w:val="en-US"/>
        </w:rPr>
        <w:t xml:space="preserve"> at the formation level (i.e. the justices deciding cases with the same justices</w:t>
      </w:r>
      <w:r w:rsidR="00C33312" w:rsidRPr="00BD15DA">
        <w:rPr>
          <w:lang w:val="en-US"/>
        </w:rPr>
        <w:t xml:space="preserve"> over time</w:t>
      </w:r>
      <w:r w:rsidR="0061598E" w:rsidRPr="00BD15DA">
        <w:rPr>
          <w:lang w:val="en-US"/>
        </w:rPr>
        <w:t>).</w:t>
      </w:r>
    </w:p>
    <w:p w14:paraId="4B4F81C9" w14:textId="77777777" w:rsidR="00A56B88" w:rsidRPr="00BD15DA" w:rsidRDefault="00A56B88" w:rsidP="00A56B88">
      <w:pPr>
        <w:rPr>
          <w:b/>
          <w:bCs/>
          <w:lang w:val="en-US"/>
        </w:rPr>
      </w:pPr>
      <w:r w:rsidRPr="00BD15DA">
        <w:rPr>
          <w:b/>
          <w:bCs/>
          <w:lang w:val="en-US"/>
        </w:rPr>
        <w:t>In Section 5, the presentation and discussion of the results is very confusing and unfocused. As a reader, I simply could not tell what variable(s) in Table 5 I should be looking at for purposes of ascertaining the validity of specific hypotheses.</w:t>
      </w:r>
    </w:p>
    <w:p w14:paraId="4432D6AF" w14:textId="20A9D36B" w:rsidR="00A56B88" w:rsidRPr="00BD15DA" w:rsidRDefault="003E4180" w:rsidP="00A56B88">
      <w:pPr>
        <w:rPr>
          <w:lang w:val="en-US"/>
        </w:rPr>
      </w:pPr>
      <w:r w:rsidRPr="00BD15DA">
        <w:rPr>
          <w:lang w:val="en-US"/>
        </w:rPr>
        <w:t>The presentation as well as the discussion has been changed.</w:t>
      </w:r>
    </w:p>
    <w:p w14:paraId="6D62C92B" w14:textId="77777777" w:rsidR="00A56B88" w:rsidRPr="00BD15DA" w:rsidRDefault="00A56B88" w:rsidP="00A56B88">
      <w:pPr>
        <w:rPr>
          <w:b/>
          <w:bCs/>
          <w:lang w:val="en-US"/>
        </w:rPr>
      </w:pPr>
      <w:r w:rsidRPr="00BD15DA">
        <w:rPr>
          <w:b/>
          <w:bCs/>
          <w:lang w:val="en-US"/>
        </w:rPr>
        <w:t>What is reported in Table 5? I presume they logit coefficients. But this is not made clear. Moreover, in a logit, coefficients are uninformative of the magnitude of the effects, which would be important to grasp.</w:t>
      </w:r>
    </w:p>
    <w:p w14:paraId="01CC6F69" w14:textId="0C841416" w:rsidR="00A56B88" w:rsidRPr="00BD15DA" w:rsidRDefault="006B115C" w:rsidP="00A56B88">
      <w:pPr>
        <w:rPr>
          <w:lang w:val="en-US"/>
        </w:rPr>
      </w:pPr>
      <w:r w:rsidRPr="00BD15DA">
        <w:rPr>
          <w:lang w:val="en-US"/>
        </w:rPr>
        <w:t>We exponentiated the logit coefficients and we have rewritten the whole discussion of results</w:t>
      </w:r>
      <w:r w:rsidR="00443832">
        <w:rPr>
          <w:lang w:val="en-US"/>
        </w:rPr>
        <w:t xml:space="preserve"> in terms of percentage change of odds</w:t>
      </w:r>
      <w:r w:rsidRPr="00BD15DA">
        <w:rPr>
          <w:lang w:val="en-US"/>
        </w:rPr>
        <w:t xml:space="preserve">. </w:t>
      </w:r>
    </w:p>
    <w:p w14:paraId="1ADABB21" w14:textId="77777777" w:rsidR="00A56B88" w:rsidRPr="00BD15DA" w:rsidRDefault="00A56B88" w:rsidP="00A56B88">
      <w:pPr>
        <w:rPr>
          <w:b/>
          <w:bCs/>
          <w:lang w:val="en-US"/>
        </w:rPr>
      </w:pPr>
      <w:r w:rsidRPr="00BD15DA">
        <w:rPr>
          <w:b/>
          <w:bCs/>
          <w:lang w:val="en-US"/>
        </w:rPr>
        <w:t>What exactly is the conceptual purpose of including interaction effects in the model, as shown in Table 5? P. 25 does not offer an answer.</w:t>
      </w:r>
    </w:p>
    <w:p w14:paraId="5449AC5E" w14:textId="7A426708" w:rsidR="00A56B88" w:rsidRPr="00BD15DA" w:rsidRDefault="0025316C" w:rsidP="00A56B88">
      <w:pPr>
        <w:rPr>
          <w:lang w:val="en-US"/>
        </w:rPr>
      </w:pPr>
      <w:r w:rsidRPr="00BD15DA">
        <w:rPr>
          <w:lang w:val="en-US"/>
        </w:rPr>
        <w:t xml:space="preserve">The now section 2.2.1 </w:t>
      </w:r>
      <w:r w:rsidR="0013412A" w:rsidRPr="00BD15DA">
        <w:rPr>
          <w:lang w:val="en-US"/>
        </w:rPr>
        <w:t xml:space="preserve">does </w:t>
      </w:r>
      <w:r w:rsidRPr="00BD15DA">
        <w:rPr>
          <w:lang w:val="en-US"/>
        </w:rPr>
        <w:t xml:space="preserve">and </w:t>
      </w:r>
      <w:r w:rsidR="007F0A60" w:rsidRPr="00BD15DA">
        <w:rPr>
          <w:lang w:val="en-US"/>
        </w:rPr>
        <w:t>2.3.1.</w:t>
      </w:r>
      <w:r w:rsidRPr="00BD15DA">
        <w:rPr>
          <w:lang w:val="en-US"/>
        </w:rPr>
        <w:t xml:space="preserve"> </w:t>
      </w:r>
      <w:r w:rsidR="0013412A" w:rsidRPr="00BD15DA">
        <w:rPr>
          <w:lang w:val="en-US"/>
        </w:rPr>
        <w:t xml:space="preserve">in the old manuscript </w:t>
      </w:r>
      <w:r w:rsidRPr="00BD15DA">
        <w:rPr>
          <w:lang w:val="en-US"/>
        </w:rPr>
        <w:t>did</w:t>
      </w:r>
      <w:r w:rsidR="00BC57CA">
        <w:rPr>
          <w:lang w:val="en-US"/>
        </w:rPr>
        <w:t xml:space="preserve"> offer an answer</w:t>
      </w:r>
      <w:r w:rsidRPr="00BD15DA">
        <w:rPr>
          <w:lang w:val="en-US"/>
        </w:rPr>
        <w:t>.</w:t>
      </w:r>
      <w:r w:rsidR="00D952B7" w:rsidRPr="00BD15DA">
        <w:rPr>
          <w:lang w:val="en-US"/>
        </w:rPr>
        <w:t xml:space="preserve"> We now made it clearer in the discussion of the results.</w:t>
      </w:r>
    </w:p>
    <w:p w14:paraId="5B2F64B9" w14:textId="2FB9AE0F" w:rsidR="00A56B88" w:rsidRPr="00BD15DA" w:rsidRDefault="00A56B88" w:rsidP="0010243D">
      <w:pPr>
        <w:pStyle w:val="Heading2"/>
        <w:rPr>
          <w:lang w:val="en-US"/>
        </w:rPr>
      </w:pPr>
      <w:r w:rsidRPr="00BD15DA">
        <w:rPr>
          <w:lang w:val="en-US"/>
        </w:rPr>
        <w:t>Theory</w:t>
      </w:r>
    </w:p>
    <w:p w14:paraId="3472F1CF" w14:textId="6A2FA5A5" w:rsidR="00A56B88" w:rsidRPr="00BD15DA" w:rsidRDefault="00A56B88" w:rsidP="00A56B88">
      <w:pPr>
        <w:rPr>
          <w:lang w:val="en-US"/>
        </w:rPr>
      </w:pPr>
      <w:r w:rsidRPr="00BD15DA">
        <w:rPr>
          <w:b/>
          <w:bCs/>
          <w:lang w:val="en-US"/>
        </w:rPr>
        <w:t xml:space="preserve">In the exposition of theory, there is unusually heavy emphasis on the so-called identification-disagreement model proposed by Wittig (2016). I should note that I have done work on judicial dissent, but this is the first time I have come across Wittig’s theory. This is not to say that Wittig’s work is irrelevant, but I do not see a clear reason why so much emphasis is placed on it in the paper – in particular </w:t>
      </w:r>
      <w:proofErr w:type="gramStart"/>
      <w:r w:rsidRPr="00BD15DA">
        <w:rPr>
          <w:b/>
          <w:bCs/>
          <w:lang w:val="en-US"/>
        </w:rPr>
        <w:t>in light of the fact that</w:t>
      </w:r>
      <w:proofErr w:type="gramEnd"/>
      <w:r w:rsidRPr="00BD15DA">
        <w:rPr>
          <w:b/>
          <w:bCs/>
          <w:lang w:val="en-US"/>
        </w:rPr>
        <w:t xml:space="preserve"> the empirical results in Section 5 do not seem to find strong support in favor of Wittig’s arguments.</w:t>
      </w:r>
      <w:r w:rsidR="00CA44CC" w:rsidRPr="00BD15DA">
        <w:rPr>
          <w:lang w:val="en-US"/>
        </w:rPr>
        <w:t xml:space="preserve"> </w:t>
      </w:r>
    </w:p>
    <w:p w14:paraId="6B6BCD39" w14:textId="36F6D5EF" w:rsidR="00113C05" w:rsidRPr="00BD15DA" w:rsidRDefault="00413DEC" w:rsidP="00A56B88">
      <w:pPr>
        <w:rPr>
          <w:lang w:val="en-US"/>
        </w:rPr>
      </w:pPr>
      <w:r w:rsidRPr="00BD15DA">
        <w:rPr>
          <w:lang w:val="en-US"/>
        </w:rPr>
        <w:lastRenderedPageBreak/>
        <w:t xml:space="preserve">With all respect to the reviewer, the fact that they are not aware of the book does not </w:t>
      </w:r>
      <w:r w:rsidR="00BC1AB6" w:rsidRPr="00BD15DA">
        <w:rPr>
          <w:lang w:val="en-US"/>
        </w:rPr>
        <w:t>undermine Wittig’s study in any way.</w:t>
      </w:r>
      <w:r w:rsidRPr="00BD15DA">
        <w:rPr>
          <w:lang w:val="en-US"/>
        </w:rPr>
        <w:t xml:space="preserve"> The book presents a full-fledged theory of dissenting behavior in the civil law context</w:t>
      </w:r>
      <w:r w:rsidR="007A49A7">
        <w:rPr>
          <w:lang w:val="en-US"/>
        </w:rPr>
        <w:t xml:space="preserve"> that is more than just adoption of the general accounts (</w:t>
      </w:r>
      <w:r w:rsidR="00E53F27">
        <w:rPr>
          <w:lang w:val="en-US"/>
        </w:rPr>
        <w:t>attitudinal</w:t>
      </w:r>
      <w:r w:rsidR="007A49A7">
        <w:rPr>
          <w:lang w:val="en-US"/>
        </w:rPr>
        <w:t>, strategic…)</w:t>
      </w:r>
      <w:r w:rsidR="00E53F27">
        <w:rPr>
          <w:lang w:val="en-US"/>
        </w:rPr>
        <w:t xml:space="preserve"> like in the </w:t>
      </w:r>
      <w:r w:rsidR="003F1BC6">
        <w:rPr>
          <w:lang w:val="en-US"/>
        </w:rPr>
        <w:t>common</w:t>
      </w:r>
      <w:r w:rsidR="00E53F27">
        <w:rPr>
          <w:lang w:val="en-US"/>
        </w:rPr>
        <w:t xml:space="preserve"> context</w:t>
      </w:r>
      <w:r w:rsidRPr="00BD15DA">
        <w:rPr>
          <w:lang w:val="en-US"/>
        </w:rPr>
        <w:t>. That makes it immediately more appropriate</w:t>
      </w:r>
      <w:r w:rsidR="00C93B53">
        <w:rPr>
          <w:lang w:val="en-US"/>
        </w:rPr>
        <w:t xml:space="preserve"> for the CCC</w:t>
      </w:r>
      <w:r w:rsidRPr="00BD15DA">
        <w:rPr>
          <w:lang w:val="en-US"/>
        </w:rPr>
        <w:t xml:space="preserve"> than all the SCOTUS based theories</w:t>
      </w:r>
      <w:r w:rsidR="00BC1AB6" w:rsidRPr="00BD15DA">
        <w:rPr>
          <w:lang w:val="en-US"/>
        </w:rPr>
        <w:t xml:space="preserve"> and studies</w:t>
      </w:r>
      <w:r w:rsidRPr="00BD15DA">
        <w:rPr>
          <w:lang w:val="en-US"/>
        </w:rPr>
        <w:t>.</w:t>
      </w:r>
    </w:p>
    <w:p w14:paraId="7384BDBE" w14:textId="5A852403" w:rsidR="00413DEC" w:rsidRPr="00BD15DA" w:rsidRDefault="000B364C" w:rsidP="00A56B88">
      <w:pPr>
        <w:rPr>
          <w:lang w:val="en-US"/>
        </w:rPr>
      </w:pPr>
      <w:r w:rsidRPr="00BD15DA">
        <w:rPr>
          <w:lang w:val="en-US"/>
        </w:rPr>
        <w:t>Legal scholarship</w:t>
      </w:r>
      <w:r w:rsidR="00413DEC" w:rsidRPr="00BD15DA">
        <w:rPr>
          <w:lang w:val="en-US"/>
        </w:rPr>
        <w:t xml:space="preserve"> do</w:t>
      </w:r>
      <w:r w:rsidRPr="00BD15DA">
        <w:rPr>
          <w:lang w:val="en-US"/>
        </w:rPr>
        <w:t>es</w:t>
      </w:r>
      <w:r w:rsidR="00413DEC" w:rsidRPr="00BD15DA">
        <w:rPr>
          <w:lang w:val="en-US"/>
        </w:rPr>
        <w:t xml:space="preserve"> not discard the strategic or attitudinal accounts just because at SCOTUS, point estimation of dissenting opinion corresponds to judges’ attitudes </w:t>
      </w:r>
      <w:r w:rsidR="00413DEC" w:rsidRPr="00BD15DA">
        <w:rPr>
          <w:lang w:val="en-US"/>
        </w:rPr>
        <w:fldChar w:fldCharType="begin"/>
      </w:r>
      <w:r w:rsidR="00413DEC" w:rsidRPr="00BD15DA">
        <w:rPr>
          <w:lang w:val="en-US"/>
        </w:rPr>
        <w:instrText xml:space="preserve"> ADDIN ZOTERO_ITEM CSL_CITATION {"citationID":"QS4QrSxu","properties":{"formattedCitation":"(Clark and Lauderdale 2010)","plainCitation":"(Clark and Lauderdale 2010)","noteIndex":0},"citationItems":[{"id":613,"uris":["http://zotero.org/users/4628104/items/38YI8YEG"],"itemData":{"id":613,"type":"article-journal","abstract":"We develop a scaling model to estimate U.S. Supreme Court opinion locations and justice ideal points along a common spatial dimension using data derived from the citations between opinions. Citations from new opinions to precedent opinions usually apply and endorse the doctrine of the precedent opinion; however, sometimes they implicitly or explicitly dispute the precedent opinion. We collect original datasets classifying citations from search and seizure and freedom of religion opinions written between 1953 and 2006 into these different types and develop a model relating the similarity of the doctrine embodied in the citing and cited opinions to the relative probability of these different types of citations. The resulting spatial estimates of opinion location are used to evaluate theories of Supreme Court bargaining and opinion writing. We find empirical support for theoretical models that predict the majority opinion will fall at the ideal point of the median member of the majority coalition. Given the centrality of theories of judicial policymaking to various substantive problems in political science, the method of scaling opinions developed in this article can facilitate a range of future research.","container-title":"American Journal of Political Science","DOI":"10.1111/j.1540-5907.2010.00470.x","ISSN":"1540-5907","issue":"4","language":"en","note":"_eprint: https://onlinelibrary.wiley.com/doi/pdf/10.1111/j.1540-5907.2010.00470.x","page":"871-890","source":"Wiley Online Library","title":"Locating Supreme Court Opinions in Doctrine Space","volume":"54","author":[{"family":"Clark","given":"Tom S."},{"family":"Lauderdale","given":"Benjamin"}],"issued":{"date-parts":[["2010"]]},"citation-key":"clarkLocatingSupremeCourt2010"}}],"schema":"https://github.com/citation-style-language/schema/raw/master/csl-citation.json"} </w:instrText>
      </w:r>
      <w:r w:rsidR="00413DEC" w:rsidRPr="00BD15DA">
        <w:rPr>
          <w:lang w:val="en-US"/>
        </w:rPr>
        <w:fldChar w:fldCharType="separate"/>
      </w:r>
      <w:r w:rsidR="00413DEC" w:rsidRPr="00BD15DA">
        <w:rPr>
          <w:noProof/>
          <w:lang w:val="en-US"/>
        </w:rPr>
        <w:t>(Clark and Lauderdale 2010)</w:t>
      </w:r>
      <w:r w:rsidR="00413DEC" w:rsidRPr="00BD15DA">
        <w:rPr>
          <w:lang w:val="en-US"/>
        </w:rPr>
        <w:fldChar w:fldCharType="end"/>
      </w:r>
      <w:r w:rsidR="00413DEC" w:rsidRPr="00BD15DA">
        <w:rPr>
          <w:lang w:val="en-US"/>
        </w:rPr>
        <w:t xml:space="preserve"> and </w:t>
      </w:r>
      <w:r w:rsidR="00682DD3">
        <w:rPr>
          <w:lang w:val="en-US"/>
        </w:rPr>
        <w:t xml:space="preserve">at </w:t>
      </w:r>
      <w:r w:rsidR="00413DEC" w:rsidRPr="00BD15DA">
        <w:rPr>
          <w:lang w:val="en-US"/>
        </w:rPr>
        <w:t>another</w:t>
      </w:r>
      <w:r w:rsidR="00682DD3">
        <w:rPr>
          <w:lang w:val="en-US"/>
        </w:rPr>
        <w:t xml:space="preserve"> court,</w:t>
      </w:r>
      <w:r w:rsidR="00413DEC" w:rsidRPr="00BD15DA">
        <w:rPr>
          <w:lang w:val="en-US"/>
        </w:rPr>
        <w:t xml:space="preserve"> it does not </w:t>
      </w:r>
      <w:r w:rsidR="00413DEC" w:rsidRPr="00BD15DA">
        <w:rPr>
          <w:lang w:val="en-US"/>
        </w:rPr>
        <w:fldChar w:fldCharType="begin"/>
      </w:r>
      <w:r w:rsidR="008322B7" w:rsidRPr="00BD15DA">
        <w:rPr>
          <w:lang w:val="en-US"/>
        </w:rPr>
        <w:instrText xml:space="preserve"> ADDIN ZOTERO_ITEM CSL_CITATION {"citationID":"ml4TZVyd","properties":{"formattedCitation":"(Hanretty 2015)","plainCitation":"(Hanretty 2015)","noteIndex":0},"citationItems":[{"id":1225,"uris":["http://zotero.org/users/4628104/items/J59AYTNE"],"itemData":{"id":1225,"type":"article-journal","abstract":"I investigate the non-unanimous decisions of judges on the Estonian Supreme Court. I argue that since judges on the court enjoy high de jure independence, dissent frequently, and are integrated in the normal judicial hierarchy, the Estonian Supreme Court is a crucial case for the presumption that judicial disagreement reveals policy preferences. I analyse dissenting opinions using an ideal point response model. Examining the characteristics of cases which discriminated with respect to the recovered dimension, I show that this dimension cannot be interpreted as a meaningful policy dimension, but instead reflects disagreement about the proper scope of constitutional redress.","container-title":"Europe-Asia Studies","DOI":"10.1080/09668136.2015.1054260","ISSN":"0966-8136","issue":"6","note":"publisher: Routledge\n_eprint: https://doi.org/10.1080/09668136.2015.1054260","page":"970-988","source":"Taylor and Francis+NEJM","title":"Judicial Disagreement need not be Political: Dissent on the Estonian Supreme Court","title-short":"Judicial Disagreement need not be Political","volume":"67","author":[{"family":"Hanretty","given":"Chris"}],"issued":{"date-parts":[["2015",7,3]]},"citation-key":"hanrettyJudicialDisagreementNeed2015"}}],"schema":"https://github.com/citation-style-language/schema/raw/master/csl-citation.json"} </w:instrText>
      </w:r>
      <w:r w:rsidR="00413DEC" w:rsidRPr="00BD15DA">
        <w:rPr>
          <w:lang w:val="en-US"/>
        </w:rPr>
        <w:fldChar w:fldCharType="separate"/>
      </w:r>
      <w:r w:rsidR="008322B7" w:rsidRPr="00BD15DA">
        <w:rPr>
          <w:noProof/>
          <w:lang w:val="en-US"/>
        </w:rPr>
        <w:t>(Hanretty 2015)</w:t>
      </w:r>
      <w:r w:rsidR="00413DEC" w:rsidRPr="00BD15DA">
        <w:rPr>
          <w:lang w:val="en-US"/>
        </w:rPr>
        <w:fldChar w:fldCharType="end"/>
      </w:r>
      <w:r w:rsidR="008322B7" w:rsidRPr="00BD15DA">
        <w:rPr>
          <w:lang w:val="en-US"/>
        </w:rPr>
        <w:t>.</w:t>
      </w:r>
      <w:r w:rsidRPr="00BD15DA">
        <w:rPr>
          <w:lang w:val="en-US"/>
        </w:rPr>
        <w:t xml:space="preserve"> In a similar vein, we do not see a reason to discard it if our results partially do not fit her theory</w:t>
      </w:r>
      <w:r w:rsidR="0016550E" w:rsidRPr="00BD15DA">
        <w:rPr>
          <w:lang w:val="en-US"/>
        </w:rPr>
        <w:t xml:space="preserve">, while her results from the </w:t>
      </w:r>
      <w:r w:rsidR="00515F2B">
        <w:rPr>
          <w:lang w:val="en-US"/>
        </w:rPr>
        <w:t>GFCC</w:t>
      </w:r>
      <w:r w:rsidR="0016550E" w:rsidRPr="00BD15DA">
        <w:rPr>
          <w:lang w:val="en-US"/>
        </w:rPr>
        <w:t xml:space="preserve"> do fit it.</w:t>
      </w:r>
    </w:p>
    <w:p w14:paraId="7FD4418A" w14:textId="1277ED17" w:rsidR="0016550E" w:rsidRPr="007C3CCC" w:rsidRDefault="0016550E" w:rsidP="00A56B88">
      <w:pPr>
        <w:rPr>
          <w:lang w:val="en-US"/>
        </w:rPr>
      </w:pPr>
      <w:r w:rsidRPr="00BD15DA">
        <w:rPr>
          <w:lang w:val="en-US"/>
        </w:rPr>
        <w:t xml:space="preserve">Lastly, the theoretical section comes logically before our empirical results. At the time of exposing the theory, Wittig’s theory seems to be appropriate for the CCC. Only after conducting the </w:t>
      </w:r>
      <w:r w:rsidR="004349E3" w:rsidRPr="00BD15DA">
        <w:rPr>
          <w:lang w:val="en-US"/>
        </w:rPr>
        <w:t>empirics,</w:t>
      </w:r>
      <w:r w:rsidRPr="00BD15DA">
        <w:rPr>
          <w:lang w:val="en-US"/>
        </w:rPr>
        <w:t xml:space="preserve"> we</w:t>
      </w:r>
      <w:r w:rsidR="004349E3" w:rsidRPr="00BD15DA">
        <w:rPr>
          <w:lang w:val="en-US"/>
        </w:rPr>
        <w:t xml:space="preserve"> can</w:t>
      </w:r>
      <w:r w:rsidRPr="00BD15DA">
        <w:rPr>
          <w:lang w:val="en-US"/>
        </w:rPr>
        <w:t xml:space="preserve"> say something about its appropriateness.</w:t>
      </w:r>
      <w:r w:rsidR="00BD15DA">
        <w:rPr>
          <w:lang w:val="en-US"/>
        </w:rPr>
        <w:t xml:space="preserve"> </w:t>
      </w:r>
    </w:p>
    <w:p w14:paraId="537487E7" w14:textId="04521126" w:rsidR="004349E3" w:rsidRPr="00BD15DA" w:rsidRDefault="004349E3" w:rsidP="00A56B88">
      <w:pPr>
        <w:rPr>
          <w:lang w:val="en-US"/>
        </w:rPr>
      </w:pPr>
      <w:r w:rsidRPr="00BD15DA">
        <w:rPr>
          <w:lang w:val="en-US"/>
        </w:rPr>
        <w:t xml:space="preserve">In any case, since the whole theoretical part has been made considerably more concise, the emphasis </w:t>
      </w:r>
      <w:r w:rsidR="00D26854">
        <w:rPr>
          <w:lang w:val="en-US"/>
        </w:rPr>
        <w:t xml:space="preserve">placed on Wittig </w:t>
      </w:r>
      <w:r w:rsidRPr="00BD15DA">
        <w:rPr>
          <w:lang w:val="en-US"/>
        </w:rPr>
        <w:t xml:space="preserve">should now be </w:t>
      </w:r>
      <w:r w:rsidR="004B5ACE">
        <w:rPr>
          <w:lang w:val="en-US"/>
        </w:rPr>
        <w:t>weaker</w:t>
      </w:r>
      <w:r w:rsidRPr="00BD15DA">
        <w:rPr>
          <w:lang w:val="en-US"/>
        </w:rPr>
        <w:t>.</w:t>
      </w:r>
    </w:p>
    <w:p w14:paraId="56F3E56A" w14:textId="3E959E3A" w:rsidR="00A56B88" w:rsidRPr="00BD15DA" w:rsidRDefault="00A56B88" w:rsidP="00FE2753">
      <w:pPr>
        <w:pStyle w:val="Heading2"/>
        <w:rPr>
          <w:lang w:val="en-US"/>
        </w:rPr>
      </w:pPr>
      <w:r w:rsidRPr="00BD15DA">
        <w:rPr>
          <w:lang w:val="en-US"/>
        </w:rPr>
        <w:t>Exposition</w:t>
      </w:r>
    </w:p>
    <w:p w14:paraId="65B4FE0E" w14:textId="77777777" w:rsidR="00A56B88" w:rsidRPr="00BD15DA" w:rsidRDefault="00A56B88" w:rsidP="00A56B88">
      <w:pPr>
        <w:rPr>
          <w:b/>
          <w:bCs/>
          <w:lang w:val="en-US"/>
        </w:rPr>
      </w:pPr>
      <w:r w:rsidRPr="00BD15DA">
        <w:rPr>
          <w:b/>
          <w:bCs/>
          <w:lang w:val="en-US"/>
        </w:rPr>
        <w:t xml:space="preserve">The paper is very long-winded, especially given how short and sketchy the actual empirical execution is. To illustrate this point, in the Introduction, it takes the authors more than three full pages to get to the point of articulating for the reader what the paper is </w:t>
      </w:r>
      <w:proofErr w:type="gramStart"/>
      <w:r w:rsidRPr="00BD15DA">
        <w:rPr>
          <w:b/>
          <w:bCs/>
          <w:lang w:val="en-US"/>
        </w:rPr>
        <w:t>actually about</w:t>
      </w:r>
      <w:proofErr w:type="gramEnd"/>
      <w:r w:rsidRPr="00BD15DA">
        <w:rPr>
          <w:b/>
          <w:bCs/>
          <w:lang w:val="en-US"/>
        </w:rPr>
        <w:t>.</w:t>
      </w:r>
    </w:p>
    <w:p w14:paraId="6B834429" w14:textId="0671C3A8" w:rsidR="00A56B88" w:rsidRPr="00BD15DA" w:rsidRDefault="00F3640D" w:rsidP="00A56B88">
      <w:pPr>
        <w:rPr>
          <w:lang w:val="en-US"/>
        </w:rPr>
      </w:pPr>
      <w:r w:rsidRPr="00BD15DA">
        <w:rPr>
          <w:lang w:val="en-US"/>
        </w:rPr>
        <w:t>The introduction as well as the literature review has been made considerably more concise.</w:t>
      </w:r>
      <w:r w:rsidR="00CA44CC" w:rsidRPr="00BD15DA">
        <w:rPr>
          <w:lang w:val="en-US"/>
        </w:rPr>
        <w:t xml:space="preserve"> The length is almost halved.</w:t>
      </w:r>
    </w:p>
    <w:p w14:paraId="25DADA5F" w14:textId="77777777" w:rsidR="00A56B88" w:rsidRPr="00BD15DA" w:rsidRDefault="00A56B88" w:rsidP="00A56B88">
      <w:pPr>
        <w:rPr>
          <w:b/>
          <w:bCs/>
          <w:lang w:val="en-US"/>
        </w:rPr>
      </w:pPr>
      <w:r w:rsidRPr="00BD15DA">
        <w:rPr>
          <w:b/>
          <w:bCs/>
          <w:lang w:val="en-US"/>
        </w:rPr>
        <w:t xml:space="preserve">The authors engage in unnecessary digressions. On p. 3, “The </w:t>
      </w:r>
      <w:proofErr w:type="spellStart"/>
      <w:r w:rsidRPr="00BD15DA">
        <w:rPr>
          <w:b/>
          <w:bCs/>
          <w:lang w:val="en-US"/>
        </w:rPr>
        <w:t>Smekal</w:t>
      </w:r>
      <w:proofErr w:type="spellEnd"/>
      <w:r w:rsidRPr="00BD15DA">
        <w:rPr>
          <w:b/>
          <w:bCs/>
          <w:lang w:val="en-US"/>
        </w:rPr>
        <w:t xml:space="preserve"> et al. (2021) book goes so far to coin the first coalition as a more left-leaning and the second as a more right-leaning. We are not convinced by this label.” Why is this a relevant comment </w:t>
      </w:r>
      <w:proofErr w:type="gramStart"/>
      <w:r w:rsidRPr="00BD15DA">
        <w:rPr>
          <w:b/>
          <w:bCs/>
          <w:lang w:val="en-US"/>
        </w:rPr>
        <w:t>in light of</w:t>
      </w:r>
      <w:proofErr w:type="gramEnd"/>
      <w:r w:rsidRPr="00BD15DA">
        <w:rPr>
          <w:b/>
          <w:bCs/>
          <w:lang w:val="en-US"/>
        </w:rPr>
        <w:t xml:space="preserve"> the present paper’s aims? If it is relevant, why are you not convinced?</w:t>
      </w:r>
    </w:p>
    <w:p w14:paraId="57F8438E" w14:textId="11ED9533" w:rsidR="00A56B88" w:rsidRPr="00BD15DA" w:rsidRDefault="00F74CEF" w:rsidP="00A56B88">
      <w:pPr>
        <w:rPr>
          <w:lang w:val="en-US"/>
        </w:rPr>
      </w:pPr>
      <w:r w:rsidRPr="00BD15DA">
        <w:rPr>
          <w:lang w:val="en-US"/>
        </w:rPr>
        <w:t>The digressions have been left out completely.</w:t>
      </w:r>
    </w:p>
    <w:p w14:paraId="6A447EA4" w14:textId="77777777" w:rsidR="00A56B88" w:rsidRPr="00BD15DA" w:rsidRDefault="00A56B88" w:rsidP="00A56B88">
      <w:pPr>
        <w:rPr>
          <w:b/>
          <w:bCs/>
          <w:lang w:val="en-US"/>
        </w:rPr>
      </w:pPr>
      <w:r w:rsidRPr="00BD15DA">
        <w:rPr>
          <w:b/>
          <w:bCs/>
          <w:lang w:val="en-US"/>
        </w:rPr>
        <w:t xml:space="preserve">Similarly, in discussing work by </w:t>
      </w:r>
      <w:proofErr w:type="spellStart"/>
      <w:r w:rsidRPr="00BD15DA">
        <w:rPr>
          <w:b/>
          <w:bCs/>
          <w:lang w:val="en-US"/>
        </w:rPr>
        <w:t>Garoupa</w:t>
      </w:r>
      <w:proofErr w:type="spellEnd"/>
      <w:r w:rsidRPr="00BD15DA">
        <w:rPr>
          <w:b/>
          <w:bCs/>
          <w:lang w:val="en-US"/>
        </w:rPr>
        <w:t xml:space="preserve"> and </w:t>
      </w:r>
      <w:proofErr w:type="spellStart"/>
      <w:r w:rsidRPr="00BD15DA">
        <w:rPr>
          <w:b/>
          <w:bCs/>
          <w:lang w:val="en-US"/>
        </w:rPr>
        <w:t>Grajzl</w:t>
      </w:r>
      <w:proofErr w:type="spellEnd"/>
      <w:r w:rsidRPr="00BD15DA">
        <w:rPr>
          <w:b/>
          <w:bCs/>
          <w:lang w:val="en-US"/>
        </w:rPr>
        <w:t xml:space="preserve"> (2020), the authors argue that the original authors’ choices lead to “selection bias that accentuates rather than attenuates the main effect of interest”. I again do not see how and why this discussion is relevant to the present paper’s pursuits. More generally, since I happen to know this </w:t>
      </w:r>
      <w:proofErr w:type="gramStart"/>
      <w:r w:rsidRPr="00BD15DA">
        <w:rPr>
          <w:b/>
          <w:bCs/>
          <w:lang w:val="en-US"/>
        </w:rPr>
        <w:t>particular contribution</w:t>
      </w:r>
      <w:proofErr w:type="gramEnd"/>
      <w:r w:rsidRPr="00BD15DA">
        <w:rPr>
          <w:b/>
          <w:bCs/>
          <w:lang w:val="en-US"/>
        </w:rPr>
        <w:t>, I do not think that the authors of the present paper actually understood the article they are criticizing. In such situations, it is probably better to refrain from saying too much.</w:t>
      </w:r>
    </w:p>
    <w:p w14:paraId="60BB5489" w14:textId="326D83AB" w:rsidR="00A56B88" w:rsidRPr="00BD15DA" w:rsidRDefault="00BE5C04" w:rsidP="00A56B88">
      <w:pPr>
        <w:rPr>
          <w:lang w:val="en-US"/>
        </w:rPr>
      </w:pPr>
      <w:r w:rsidRPr="00BD15DA">
        <w:rPr>
          <w:lang w:val="en-US"/>
        </w:rPr>
        <w:lastRenderedPageBreak/>
        <w:t>We have refrained from the comment.</w:t>
      </w:r>
    </w:p>
    <w:p w14:paraId="572DBE8F" w14:textId="6466B088" w:rsidR="00A56B88" w:rsidRPr="00BD15DA" w:rsidRDefault="00A56B88" w:rsidP="00A56B88">
      <w:pPr>
        <w:rPr>
          <w:b/>
          <w:bCs/>
          <w:lang w:val="en-US"/>
        </w:rPr>
      </w:pPr>
      <w:r w:rsidRPr="00BD15DA">
        <w:rPr>
          <w:b/>
          <w:bCs/>
          <w:lang w:val="en-US"/>
        </w:rPr>
        <w:t>The paper would greatly benefit from proof-reading and language editing by a native English speaker. There are many instances of awkward phrasing in the manuscript. For example, see the following selection of statements appearing only on p. 2:</w:t>
      </w:r>
    </w:p>
    <w:p w14:paraId="076D2F27" w14:textId="7911C2FC" w:rsidR="00A56B88" w:rsidRPr="00BD15DA" w:rsidRDefault="00A56B88" w:rsidP="00A56B88">
      <w:pPr>
        <w:rPr>
          <w:b/>
          <w:bCs/>
          <w:lang w:val="en-US"/>
        </w:rPr>
      </w:pPr>
      <w:r w:rsidRPr="00BD15DA">
        <w:rPr>
          <w:b/>
          <w:bCs/>
          <w:lang w:val="en-US"/>
        </w:rPr>
        <w:t xml:space="preserve">“The judges enjoy a </w:t>
      </w:r>
      <w:proofErr w:type="gramStart"/>
      <w:r w:rsidRPr="00BD15DA">
        <w:rPr>
          <w:b/>
          <w:bCs/>
          <w:lang w:val="en-US"/>
        </w:rPr>
        <w:t>life time</w:t>
      </w:r>
      <w:proofErr w:type="gramEnd"/>
      <w:r w:rsidRPr="00BD15DA">
        <w:rPr>
          <w:b/>
          <w:bCs/>
          <w:lang w:val="en-US"/>
        </w:rPr>
        <w:t xml:space="preserve"> tenure, the nomination procedure enjoy attention and is conducted in a more political manner…”;</w:t>
      </w:r>
    </w:p>
    <w:p w14:paraId="02B6A7B7" w14:textId="77777777" w:rsidR="00A56B88" w:rsidRPr="00BD15DA" w:rsidRDefault="00A56B88" w:rsidP="00A56B88">
      <w:pPr>
        <w:rPr>
          <w:b/>
          <w:bCs/>
          <w:lang w:val="en-US"/>
        </w:rPr>
      </w:pPr>
      <w:r w:rsidRPr="00BD15DA">
        <w:rPr>
          <w:b/>
          <w:bCs/>
          <w:lang w:val="en-US"/>
        </w:rPr>
        <w:t>“To the extent that other influences other than simple black letter law…</w:t>
      </w:r>
      <w:proofErr w:type="gramStart"/>
      <w:r w:rsidRPr="00BD15DA">
        <w:rPr>
          <w:b/>
          <w:bCs/>
          <w:lang w:val="en-US"/>
        </w:rPr>
        <w:t>”;</w:t>
      </w:r>
      <w:proofErr w:type="gramEnd"/>
    </w:p>
    <w:p w14:paraId="1CC03C5D" w14:textId="271E7B1D" w:rsidR="00A56B88" w:rsidRPr="00BD15DA" w:rsidRDefault="00A56B88" w:rsidP="00A56B88">
      <w:pPr>
        <w:rPr>
          <w:b/>
          <w:bCs/>
          <w:lang w:val="en-US"/>
        </w:rPr>
      </w:pPr>
      <w:r w:rsidRPr="00BD15DA">
        <w:rPr>
          <w:b/>
          <w:bCs/>
          <w:lang w:val="en-US"/>
        </w:rPr>
        <w:t xml:space="preserve">“…Epstein, </w:t>
      </w:r>
      <w:proofErr w:type="spellStart"/>
      <w:r w:rsidRPr="00BD15DA">
        <w:rPr>
          <w:b/>
          <w:bCs/>
          <w:lang w:val="en-US"/>
        </w:rPr>
        <w:t>Landes</w:t>
      </w:r>
      <w:proofErr w:type="spellEnd"/>
      <w:r w:rsidRPr="00BD15DA">
        <w:rPr>
          <w:b/>
          <w:bCs/>
          <w:lang w:val="en-US"/>
        </w:rPr>
        <w:t>, and Posner (2011) have come up with a theoretical model of dissenting behavior and dissent aversion and they tested to what extent do US judges behave strategically when attaching separate opinions.”</w:t>
      </w:r>
    </w:p>
    <w:p w14:paraId="2CDA9BDF" w14:textId="230E9021" w:rsidR="00A56B88" w:rsidRPr="00BD15DA" w:rsidRDefault="00A56B88" w:rsidP="00A56B88">
      <w:pPr>
        <w:rPr>
          <w:b/>
          <w:bCs/>
          <w:lang w:val="en-US"/>
        </w:rPr>
      </w:pPr>
      <w:r w:rsidRPr="00BD15DA">
        <w:rPr>
          <w:b/>
          <w:bCs/>
          <w:lang w:val="en-US"/>
        </w:rPr>
        <w:t>On p. 9, “Both of research choices are inductive to selection bias that accentuates rather than attenuates the main effect of interest in the former case”.</w:t>
      </w:r>
    </w:p>
    <w:p w14:paraId="1AAB1DEC" w14:textId="007FC4C2" w:rsidR="00A56B88" w:rsidRDefault="00A56B88" w:rsidP="00A56B88">
      <w:pPr>
        <w:rPr>
          <w:b/>
          <w:bCs/>
          <w:lang w:val="en-US"/>
        </w:rPr>
      </w:pPr>
      <w:r w:rsidRPr="00BD15DA">
        <w:rPr>
          <w:b/>
          <w:bCs/>
          <w:lang w:val="en-US"/>
        </w:rPr>
        <w:t>None of the above is correct English. There are many more instances of poor use of language in the draft.</w:t>
      </w:r>
    </w:p>
    <w:p w14:paraId="6B7F3EAD" w14:textId="24EB1827" w:rsidR="007707DF" w:rsidRPr="007707DF" w:rsidRDefault="007707DF" w:rsidP="00A56B88">
      <w:pPr>
        <w:rPr>
          <w:lang w:val="en-US"/>
        </w:rPr>
      </w:pPr>
      <w:r>
        <w:rPr>
          <w:lang w:val="en-US"/>
        </w:rPr>
        <w:t>We have proofread the paper once more.</w:t>
      </w:r>
    </w:p>
    <w:p w14:paraId="1EC0BA67" w14:textId="31A79C02" w:rsidR="00A56B88" w:rsidRPr="007C3CCC" w:rsidRDefault="00A56B88" w:rsidP="00A56B88">
      <w:pPr>
        <w:rPr>
          <w:b/>
          <w:bCs/>
          <w:lang w:val="en-US"/>
        </w:rPr>
      </w:pPr>
      <w:r w:rsidRPr="00BD15DA">
        <w:rPr>
          <w:b/>
          <w:bCs/>
          <w:lang w:val="en-US"/>
        </w:rPr>
        <w:t>There are instances of unusual citations, e.g., p. 5: “a potential dissenter balances the costs and benefits of issuing a dissenting opinion.” (</w:t>
      </w:r>
      <w:proofErr w:type="spellStart"/>
      <w:r w:rsidRPr="00BD15DA">
        <w:rPr>
          <w:b/>
          <w:bCs/>
          <w:lang w:val="en-US"/>
        </w:rPr>
        <w:t>Garoupa</w:t>
      </w:r>
      <w:proofErr w:type="spellEnd"/>
      <w:r w:rsidRPr="00BD15DA">
        <w:rPr>
          <w:b/>
          <w:bCs/>
          <w:lang w:val="en-US"/>
        </w:rPr>
        <w:t xml:space="preserve"> and Botelho 2022; </w:t>
      </w:r>
      <w:proofErr w:type="spellStart"/>
      <w:r w:rsidRPr="00BD15DA">
        <w:rPr>
          <w:b/>
          <w:bCs/>
          <w:lang w:val="en-US"/>
        </w:rPr>
        <w:t>Garoupa</w:t>
      </w:r>
      <w:proofErr w:type="spellEnd"/>
      <w:r w:rsidRPr="00BD15DA">
        <w:rPr>
          <w:b/>
          <w:bCs/>
          <w:lang w:val="en-US"/>
        </w:rPr>
        <w:t xml:space="preserve">, </w:t>
      </w:r>
      <w:proofErr w:type="spellStart"/>
      <w:r w:rsidRPr="00BD15DA">
        <w:rPr>
          <w:b/>
          <w:bCs/>
          <w:lang w:val="en-US"/>
        </w:rPr>
        <w:t>Salamero-Teixidó</w:t>
      </w:r>
      <w:proofErr w:type="spellEnd"/>
      <w:r w:rsidRPr="00BD15DA">
        <w:rPr>
          <w:b/>
          <w:bCs/>
          <w:lang w:val="en-US"/>
        </w:rPr>
        <w:t>, and Segura 2022)”.</w:t>
      </w:r>
    </w:p>
    <w:p w14:paraId="0DDA17F0" w14:textId="56DD3D26" w:rsidR="00A56B88" w:rsidRPr="00450071" w:rsidRDefault="00A56B88" w:rsidP="00A56B88">
      <w:pPr>
        <w:rPr>
          <w:lang w:val="en-US"/>
        </w:rPr>
      </w:pPr>
    </w:p>
    <w:p w14:paraId="412A693A" w14:textId="4BEADAE0" w:rsidR="00A56B88" w:rsidRPr="00BD15DA" w:rsidRDefault="00A56B88" w:rsidP="00A56B88">
      <w:pPr>
        <w:pStyle w:val="Heading1"/>
        <w:rPr>
          <w:lang w:val="en-US"/>
        </w:rPr>
      </w:pPr>
      <w:r w:rsidRPr="00BD15DA">
        <w:rPr>
          <w:lang w:val="en-US"/>
        </w:rPr>
        <w:t>Reviewer #2</w:t>
      </w:r>
    </w:p>
    <w:p w14:paraId="3AB2313A" w14:textId="77777777" w:rsidR="00630C9A" w:rsidRDefault="00630C9A" w:rsidP="00426A10">
      <w:pPr>
        <w:rPr>
          <w:b/>
          <w:bCs/>
          <w:lang w:val="en-US"/>
        </w:rPr>
      </w:pPr>
      <w:r w:rsidRPr="00426A10">
        <w:rPr>
          <w:b/>
          <w:bCs/>
          <w:lang w:val="en-US"/>
        </w:rPr>
        <w:t xml:space="preserve">This paper examines the context of the judicial dissenting opinions at the Czech Constitutional Court and argues against the existence of a strong norm of consensus operating the court. To this end, the authors assemble a dataset of cases the constitutional court and deploy a series of simple limited dependent variable-based specification to bolster their claims. The centerpiece of the scholarly analysis is an innate critique of </w:t>
      </w:r>
      <w:proofErr w:type="spellStart"/>
      <w:r w:rsidRPr="00426A10">
        <w:rPr>
          <w:b/>
          <w:bCs/>
          <w:lang w:val="en-US"/>
        </w:rPr>
        <w:t>Garoupa</w:t>
      </w:r>
      <w:proofErr w:type="spellEnd"/>
      <w:r w:rsidRPr="00426A10">
        <w:rPr>
          <w:b/>
          <w:bCs/>
          <w:lang w:val="en-US"/>
        </w:rPr>
        <w:t xml:space="preserve"> and </w:t>
      </w:r>
      <w:proofErr w:type="spellStart"/>
      <w:r w:rsidRPr="00426A10">
        <w:rPr>
          <w:b/>
          <w:bCs/>
          <w:lang w:val="en-US"/>
        </w:rPr>
        <w:t>Grajzl's</w:t>
      </w:r>
      <w:proofErr w:type="spellEnd"/>
      <w:r w:rsidRPr="00426A10">
        <w:rPr>
          <w:b/>
          <w:bCs/>
          <w:lang w:val="en-US"/>
        </w:rPr>
        <w:t xml:space="preserve"> pivotal comparative study of Slovenia and Croatia where no evidence to support the effect of </w:t>
      </w:r>
      <w:proofErr w:type="gramStart"/>
      <w:r w:rsidRPr="00426A10">
        <w:rPr>
          <w:b/>
          <w:bCs/>
          <w:lang w:val="en-US"/>
        </w:rPr>
        <w:t>judges</w:t>
      </w:r>
      <w:proofErr w:type="gramEnd"/>
      <w:r w:rsidRPr="00426A10">
        <w:rPr>
          <w:b/>
          <w:bCs/>
          <w:lang w:val="en-US"/>
        </w:rPr>
        <w:t xml:space="preserve"> background. Consistent with the theoretical narrative and empirical operationalization, </w:t>
      </w:r>
      <w:proofErr w:type="spellStart"/>
      <w:r w:rsidRPr="00426A10">
        <w:rPr>
          <w:b/>
          <w:bCs/>
          <w:lang w:val="en-US"/>
        </w:rPr>
        <w:t>Garoupa-Grajzl</w:t>
      </w:r>
      <w:proofErr w:type="spellEnd"/>
      <w:r w:rsidRPr="00426A10">
        <w:rPr>
          <w:b/>
          <w:bCs/>
          <w:lang w:val="en-US"/>
        </w:rPr>
        <w:t xml:space="preserve"> study narrowed down the cases to the sample which included a political petitioner and deployed a battery of control variable that might pose a source of omitted variable bias. This research spends a great of deal criticizing this study on the grounds of selection and attenuation bias which to me is very unclear, hyperbolic at best and misleading for the most part. </w:t>
      </w:r>
    </w:p>
    <w:p w14:paraId="4D530DFD" w14:textId="28C5C590" w:rsidR="00194EDF" w:rsidRDefault="00194EDF" w:rsidP="00426A10">
      <w:pPr>
        <w:rPr>
          <w:lang w:val="en-US"/>
        </w:rPr>
      </w:pPr>
      <w:r>
        <w:rPr>
          <w:lang w:val="en-US"/>
        </w:rPr>
        <w:lastRenderedPageBreak/>
        <w:t xml:space="preserve">While we have so far attempted to take every comment seriously and honestly incorporate it, we find it difficult with reviewer 2’s suggestions. While at no point would we suggest that our manuscript was anywhere near being flawless, it is a bit of an overstatement to claim that barely </w:t>
      </w:r>
      <w:r w:rsidR="00E41C89">
        <w:rPr>
          <w:lang w:val="en-US"/>
        </w:rPr>
        <w:t>a</w:t>
      </w:r>
      <w:r>
        <w:rPr>
          <w:lang w:val="en-US"/>
        </w:rPr>
        <w:t xml:space="preserve"> half of a paragraph </w:t>
      </w:r>
      <w:r w:rsidR="00E41C89">
        <w:rPr>
          <w:lang w:val="en-US"/>
        </w:rPr>
        <w:t xml:space="preserve">of 20+ pages long paper </w:t>
      </w:r>
      <w:r>
        <w:rPr>
          <w:lang w:val="en-US"/>
        </w:rPr>
        <w:t>is “the centerpiece of scholarly analysis”. But maybe we were simply taught different language than reviewer 2 and we completely misunderstand the term “centerpiece”.</w:t>
      </w:r>
      <w:r w:rsidR="00E66CAB">
        <w:rPr>
          <w:lang w:val="en-US"/>
        </w:rPr>
        <w:t xml:space="preserve"> Or reviewer #2 is overexaggerating on purpose</w:t>
      </w:r>
      <w:r w:rsidR="008C6D38">
        <w:rPr>
          <w:lang w:val="en-US"/>
        </w:rPr>
        <w:t>, which seems even worse.</w:t>
      </w:r>
    </w:p>
    <w:p w14:paraId="3D399C50" w14:textId="0BD79835" w:rsidR="00315B6E" w:rsidRDefault="00194EDF" w:rsidP="00426A10">
      <w:pPr>
        <w:rPr>
          <w:lang w:val="en-US"/>
        </w:rPr>
      </w:pPr>
      <w:r>
        <w:rPr>
          <w:lang w:val="en-US"/>
        </w:rPr>
        <w:t xml:space="preserve">Moreover, we would expect </w:t>
      </w:r>
      <w:r w:rsidR="007E3392">
        <w:rPr>
          <w:lang w:val="en-US"/>
        </w:rPr>
        <w:t>constructive feedback</w:t>
      </w:r>
      <w:r w:rsidR="00E41C89">
        <w:rPr>
          <w:lang w:val="en-US"/>
        </w:rPr>
        <w:t xml:space="preserve"> from a peer review process</w:t>
      </w:r>
      <w:r>
        <w:rPr>
          <w:lang w:val="en-US"/>
        </w:rPr>
        <w:t xml:space="preserve">. We are aware that we are working with limited data and limited specifications. After all, we are working with observational data in a very static environment that does not lend itself to naturally occurring experiments. Despite that we have tried our best to work within the constraints we face. If the reviewer 2 indeed believes that the series </w:t>
      </w:r>
      <w:r w:rsidR="007A64CF">
        <w:rPr>
          <w:lang w:val="en-US"/>
        </w:rPr>
        <w:t xml:space="preserve">of specifications </w:t>
      </w:r>
      <w:r>
        <w:rPr>
          <w:lang w:val="en-US"/>
        </w:rPr>
        <w:t>of independent (we assume that’s what reviewer 2 had in mind and not dependent variables)</w:t>
      </w:r>
      <w:r w:rsidR="007A64CF">
        <w:rPr>
          <w:lang w:val="en-US"/>
        </w:rPr>
        <w:t xml:space="preserve"> variables was limited, they could have at least been more specific or even suggested better practices (as the first and third reviewer did).</w:t>
      </w:r>
      <w:r w:rsidR="00615476">
        <w:rPr>
          <w:lang w:val="en-US"/>
        </w:rPr>
        <w:t xml:space="preserve"> </w:t>
      </w:r>
      <w:r w:rsidR="00315B6E">
        <w:rPr>
          <w:lang w:val="en-US"/>
        </w:rPr>
        <w:t>At no point in the manuscript do we</w:t>
      </w:r>
      <w:r w:rsidR="00315B6E" w:rsidRPr="00315B6E">
        <w:rPr>
          <w:lang w:val="en-US"/>
        </w:rPr>
        <w:t xml:space="preserve"> pretend to make causal claims about the features of the CCC</w:t>
      </w:r>
      <w:r w:rsidR="004C7DE0">
        <w:rPr>
          <w:lang w:val="en-US"/>
        </w:rPr>
        <w:t xml:space="preserve"> and </w:t>
      </w:r>
      <w:r w:rsidR="00DB1D79">
        <w:rPr>
          <w:lang w:val="en-US"/>
        </w:rPr>
        <w:t>we</w:t>
      </w:r>
      <w:r w:rsidR="005C3188">
        <w:rPr>
          <w:lang w:val="en-US"/>
        </w:rPr>
        <w:t xml:space="preserve"> have been 100 % transparent regarding </w:t>
      </w:r>
      <w:r w:rsidR="004C7DE0">
        <w:rPr>
          <w:lang w:val="en-US"/>
        </w:rPr>
        <w:t>about it.</w:t>
      </w:r>
    </w:p>
    <w:p w14:paraId="0325BD18" w14:textId="77777777" w:rsidR="00443774" w:rsidRDefault="007E3392" w:rsidP="00426A10">
      <w:pPr>
        <w:rPr>
          <w:lang w:val="en-US"/>
        </w:rPr>
      </w:pPr>
      <w:r>
        <w:rPr>
          <w:lang w:val="en-US"/>
        </w:rPr>
        <w:t>Moreover, w</w:t>
      </w:r>
      <w:r w:rsidR="00194EDF">
        <w:rPr>
          <w:lang w:val="en-US"/>
        </w:rPr>
        <w:t xml:space="preserve">hile we omitted the critique from the manuscript, </w:t>
      </w:r>
      <w:r w:rsidR="00566CA6">
        <w:rPr>
          <w:lang w:val="en-US"/>
        </w:rPr>
        <w:t>we</w:t>
      </w:r>
      <w:r w:rsidR="00194EDF">
        <w:rPr>
          <w:lang w:val="en-US"/>
        </w:rPr>
        <w:t xml:space="preserve"> explain the critique in greater detail here </w:t>
      </w:r>
      <w:proofErr w:type="gramStart"/>
      <w:r w:rsidR="00194EDF">
        <w:rPr>
          <w:lang w:val="en-US"/>
        </w:rPr>
        <w:t>in an attempt to</w:t>
      </w:r>
      <w:proofErr w:type="gramEnd"/>
      <w:r w:rsidR="00194EDF">
        <w:rPr>
          <w:lang w:val="en-US"/>
        </w:rPr>
        <w:t xml:space="preserve"> lead an honest academic discussion without any personal barbs. </w:t>
      </w:r>
      <w:r w:rsidR="00F814D0">
        <w:rPr>
          <w:lang w:val="en-US"/>
        </w:rPr>
        <w:t xml:space="preserve">The critique is twofold. </w:t>
      </w:r>
    </w:p>
    <w:p w14:paraId="71DF7863" w14:textId="582C72BB" w:rsidR="001F5555" w:rsidRDefault="00E471C1" w:rsidP="00426A10">
      <w:pPr>
        <w:rPr>
          <w:lang w:val="en-US"/>
        </w:rPr>
      </w:pPr>
      <w:r>
        <w:rPr>
          <w:lang w:val="en-US"/>
        </w:rPr>
        <w:t>Firstly</w:t>
      </w:r>
      <w:r w:rsidR="005A64CA">
        <w:rPr>
          <w:lang w:val="en-US"/>
        </w:rPr>
        <w:t>, and more fundamentally, while we are aware that the authors find a quasi-</w:t>
      </w:r>
      <w:proofErr w:type="spellStart"/>
      <w:r w:rsidR="005A64CA">
        <w:rPr>
          <w:lang w:val="en-US"/>
        </w:rPr>
        <w:t>DiD</w:t>
      </w:r>
      <w:proofErr w:type="spellEnd"/>
      <w:r w:rsidR="005A64CA">
        <w:rPr>
          <w:lang w:val="en-US"/>
        </w:rPr>
        <w:t xml:space="preserve"> design with two countries that up to a certain point followed a similar trend and then diverged</w:t>
      </w:r>
      <w:r w:rsidR="004B7405">
        <w:rPr>
          <w:lang w:val="en-US"/>
        </w:rPr>
        <w:t xml:space="preserve"> regarding the political fragmentation</w:t>
      </w:r>
      <w:r w:rsidR="005A64CA">
        <w:rPr>
          <w:lang w:val="en-US"/>
        </w:rPr>
        <w:t xml:space="preserve">, we are still convinced that </w:t>
      </w:r>
      <w:r w:rsidR="00414132">
        <w:rPr>
          <w:lang w:val="en-US"/>
        </w:rPr>
        <w:t>there is either no justification for narrowing the sample only to</w:t>
      </w:r>
      <w:r w:rsidR="0021659D">
        <w:rPr>
          <w:lang w:val="en-US"/>
        </w:rPr>
        <w:t xml:space="preserve"> the</w:t>
      </w:r>
      <w:r w:rsidR="00414132">
        <w:rPr>
          <w:lang w:val="en-US"/>
        </w:rPr>
        <w:t xml:space="preserve"> cases </w:t>
      </w:r>
      <w:r w:rsidR="0021659D">
        <w:rPr>
          <w:lang w:val="en-US"/>
        </w:rPr>
        <w:t xml:space="preserve"> including a political actor (p. 5) </w:t>
      </w:r>
      <w:r w:rsidR="00414132">
        <w:rPr>
          <w:lang w:val="en-US"/>
        </w:rPr>
        <w:t>or the conclusion that the authors reach is misleading. The authors conclude: “</w:t>
      </w:r>
      <w:r w:rsidR="00414132" w:rsidRPr="00414132">
        <w:rPr>
          <w:lang w:val="en-US"/>
        </w:rPr>
        <w:t xml:space="preserve">we have then argued that, within any given legal tradition, greater party fragmentation should increase incentives of the justices to engage in dissenting behavior. </w:t>
      </w:r>
      <w:proofErr w:type="gramStart"/>
      <w:r w:rsidR="00414132">
        <w:rPr>
          <w:lang w:val="en-US"/>
        </w:rPr>
        <w:t xml:space="preserve">“ </w:t>
      </w:r>
      <w:r w:rsidR="00012983">
        <w:rPr>
          <w:lang w:val="en-US"/>
        </w:rPr>
        <w:t>The</w:t>
      </w:r>
      <w:proofErr w:type="gramEnd"/>
      <w:r w:rsidR="00012983">
        <w:rPr>
          <w:lang w:val="en-US"/>
        </w:rPr>
        <w:t xml:space="preserve"> conclusion does not take into account that this is true only for the </w:t>
      </w:r>
      <w:r w:rsidR="00266D7D">
        <w:rPr>
          <w:lang w:val="en-US"/>
        </w:rPr>
        <w:t>political cases</w:t>
      </w:r>
      <w:r w:rsidR="00012983">
        <w:rPr>
          <w:lang w:val="en-US"/>
        </w:rPr>
        <w:t xml:space="preserve"> – in those, </w:t>
      </w:r>
      <w:r w:rsidR="001650DC">
        <w:rPr>
          <w:lang w:val="en-US"/>
        </w:rPr>
        <w:t>there is indeed no doubt given the smart research design</w:t>
      </w:r>
      <w:r w:rsidR="00012983">
        <w:rPr>
          <w:lang w:val="en-US"/>
        </w:rPr>
        <w:t xml:space="preserve"> that all things equal, higher political fragmentation affects dissenting behavior. However, what is missing is the information that this conclusion does not necessarily extent to other cases. What’s more, it may be theoretically expected that the effect would be lower in run-of-the-mill cases as it is hard to see how political fragmentation would affect, say, fair trial cases.</w:t>
      </w:r>
      <w:r w:rsidR="001F5555">
        <w:rPr>
          <w:lang w:val="en-US"/>
        </w:rPr>
        <w:t xml:space="preserve"> The authors even admit to this: “</w:t>
      </w:r>
      <w:r w:rsidR="001F5555" w:rsidRPr="001F5555">
        <w:rPr>
          <w:lang w:val="en-US"/>
        </w:rPr>
        <w:t xml:space="preserve">The additional criterion to investigate only cases involving political actors is predicated on a tenable premise that the role of political dynamics for judicial dissent, if any, is likely </w:t>
      </w:r>
      <w:r w:rsidR="001F5555" w:rsidRPr="00992668">
        <w:rPr>
          <w:b/>
          <w:bCs/>
          <w:lang w:val="en-US"/>
        </w:rPr>
        <w:t>especially important in the corresponding deliberations.</w:t>
      </w:r>
      <w:r w:rsidR="001F5555">
        <w:rPr>
          <w:lang w:val="en-US"/>
        </w:rPr>
        <w:t xml:space="preserve">” (p. 5). If it is not important </w:t>
      </w:r>
      <w:r w:rsidR="00D72257">
        <w:rPr>
          <w:lang w:val="en-US"/>
        </w:rPr>
        <w:t>in deliberation in other cases</w:t>
      </w:r>
      <w:r w:rsidR="001F5555">
        <w:rPr>
          <w:lang w:val="en-US"/>
        </w:rPr>
        <w:t>, then the conclusion shouldn’t be anywhere near as broad.</w:t>
      </w:r>
      <w:r w:rsidR="00296DCF">
        <w:rPr>
          <w:lang w:val="en-US"/>
        </w:rPr>
        <w:t xml:space="preserve"> Therefore, there is </w:t>
      </w:r>
      <w:r w:rsidR="004D6438">
        <w:rPr>
          <w:lang w:val="en-US"/>
        </w:rPr>
        <w:t xml:space="preserve">positive </w:t>
      </w:r>
      <w:r w:rsidR="00296DCF">
        <w:rPr>
          <w:lang w:val="en-US"/>
        </w:rPr>
        <w:t>selection bias in play</w:t>
      </w:r>
      <w:r w:rsidR="004D6438">
        <w:rPr>
          <w:lang w:val="en-US"/>
        </w:rPr>
        <w:t>.</w:t>
      </w:r>
    </w:p>
    <w:p w14:paraId="26EFF747" w14:textId="7FC89E71" w:rsidR="00E471C1" w:rsidRDefault="00E471C1" w:rsidP="00426A10">
      <w:pPr>
        <w:rPr>
          <w:lang w:val="en-US"/>
        </w:rPr>
      </w:pPr>
      <w:r>
        <w:rPr>
          <w:lang w:val="en-US"/>
        </w:rPr>
        <w:lastRenderedPageBreak/>
        <w:t>Secondly</w:t>
      </w:r>
      <w:r>
        <w:rPr>
          <w:lang w:val="en-US"/>
        </w:rPr>
        <w:t xml:space="preserve">, including “a batter of control variables” is simply not sufficient at best, it increases the estimated standard errors of the estimates at worst </w:t>
      </w:r>
      <w:r>
        <w:rPr>
          <w:lang w:val="en-US"/>
        </w:rPr>
        <w:fldChar w:fldCharType="begin"/>
      </w:r>
      <w:r>
        <w:rPr>
          <w:lang w:val="en-US"/>
        </w:rPr>
        <w:instrText xml:space="preserve"> ADDIN ZOTERO_ITEM CSL_CITATION {"citationID":"xrib5R5L","properties":{"formattedCitation":"(Wooldridge 2019, 92\\uc0\\u8211{}95)","plainCitation":"(Wooldridge 2019, 92–95)","noteIndex":0},"citationItems":[{"id":1453,"uris":["http://zotero.org/users/4628104/items/TI9HCWTF"],"itemData":{"id":1453,"type":"book","abstract":"Gain an understanding of how econometrics can answer today's questions in business, policy evaluation and forecasting with Wooldridge's INTRODUCTORY ECONOMETRICS: A MODERN APPROACH, 7E. This edition's practical, yet professional, approach demonstrates how econometrics has moved beyond a set of abstract tools to become genuinely useful for answering questions across a variety of disciplines. Information is organized around the type of data being analyzed, using a systematic approach that only introduces assumptions as they are needed. This makes the material easier to understand and, ultimately, leads to better econometric practices. Packed with relevant applications, this edition incorporates more than 100 intriguing data sets in different formats. Updates introduce the latest developments in the field, including recent advances in the so-called “causal effects” or “treatment effects” literature, for an understanding of the impact and importance of econometrics today.Important Notice: Media content referenced within the product description or the product text may not be available in the ebook version.","ISBN":"978-1-337-55886-0","language":"en","note":"Google-Books-ID: 0p9_tQEACAAJ","number-of-pages":"816","publisher":"Cengage Learning","source":"Google Books","title":"Introductory Econometrics: A Modern Approach","title-short":"Introductory Econometrics","author":[{"family":"Wooldridge","given":"Jeffrey M."}],"issued":{"date-parts":[["2019",1,4]]},"citation-key":"wooldridgeIntroductoryEconometricsModern2019"},"locator":"92-95","label":"page"}],"schema":"https://github.com/citation-style-language/schema/raw/master/csl-citation.json"} </w:instrText>
      </w:r>
      <w:r>
        <w:rPr>
          <w:lang w:val="en-US"/>
        </w:rPr>
        <w:fldChar w:fldCharType="separate"/>
      </w:r>
      <w:r w:rsidRPr="00F814D0">
        <w:rPr>
          <w:rFonts w:ascii="Aptos" w:cs="Times New Roman"/>
          <w:kern w:val="0"/>
          <w:lang w:val="en-GB"/>
        </w:rPr>
        <w:t>(Wooldridge 2019, 92–95)</w:t>
      </w:r>
      <w:r>
        <w:rPr>
          <w:lang w:val="en-US"/>
        </w:rPr>
        <w:fldChar w:fldCharType="end"/>
      </w:r>
      <w:r>
        <w:rPr>
          <w:lang w:val="en-US"/>
        </w:rPr>
        <w:t xml:space="preserve">. There is no discussion regarding the potential confounding potential of the “battery of control variables” in the </w:t>
      </w:r>
      <w:r>
        <w:rPr>
          <w:lang w:val="en-US"/>
        </w:rPr>
        <w:fldChar w:fldCharType="begin"/>
      </w:r>
      <w:r>
        <w:rPr>
          <w:lang w:val="en-US"/>
        </w:rPr>
        <w:instrText xml:space="preserve"> ADDIN ZOTERO_ITEM CSL_CITATION {"citationID":"NdbHdTEG","properties":{"formattedCitation":"(Garoupa and Grajzl 2020)","plainCitation":"(Garoupa and Grajzl 2020)","noteIndex":0},"citationItems":[{"id":1813,"uris":["http://zotero.org/users/4628104/items/ITYVSXL3"],"itemData":{"id":1813,"type":"article-journal","abstract":"Comparative studies tend to attribute observed differences in judicial dissent to different legal tradition. Divergent dissent behavior of constitutional courts in Slovenia and Croatia, which emerged from a shared legal tradition, casts doubt on the validity of this view. We first clarify the countries’ common legal-historical legacy and identify salient post-Yugoslav between-country differences in party fractionalization, a contextual factor previously shown to influence judicial outcomes. We next argue conceptually that, for a given legal tradition, greater party fragmentation increases the net benefits to justices from dissent. Finally, drawing on a newly-assembled micro-level dataset of constitutional court decisions in Slovenia and Croatia, we demonstrate that country-level party fractionalization is indeed an important determinant of judicial dissent. Our analysis thereby illuminates that underexplored contextual political factors may be no less relevant as a driver of dissent in the courts of law than the conventionally emphasized legal tradition.","container-title":"International Review of Law and Economics","DOI":"10.1016/j.irle.2020.105912","ISSN":"0144-8188","journalAbbreviation":"International Review of Law and Economics","page":"105912","source":"ScienceDirect","title":"Spurred by legal tradition or contextual politics? Lessons about judicial dissent from Slovenia and Croatia","title-short":"Spurred by legal tradition or contextual politics?","volume":"63","author":[{"family":"Garoupa","given":"Nuno"},{"family":"Grajzl","given":"Peter"}],"issued":{"date-parts":[["2020",9,1]]},"citation-key":"garoupaSpurredLegalTradition2020"}}],"schema":"https://github.com/citation-style-language/schema/raw/master/csl-citation.json"} </w:instrText>
      </w:r>
      <w:r>
        <w:rPr>
          <w:lang w:val="en-US"/>
        </w:rPr>
        <w:fldChar w:fldCharType="separate"/>
      </w:r>
      <w:r>
        <w:rPr>
          <w:noProof/>
          <w:lang w:val="en-US"/>
        </w:rPr>
        <w:t>(Garoupa and Grajzl 2020)</w:t>
      </w:r>
      <w:r>
        <w:rPr>
          <w:lang w:val="en-US"/>
        </w:rPr>
        <w:fldChar w:fldCharType="end"/>
      </w:r>
      <w:r>
        <w:rPr>
          <w:lang w:val="en-US"/>
        </w:rPr>
        <w:t xml:space="preserve"> paper. How is for example length of a decision or number of justices correlated with political fragmentation?</w:t>
      </w:r>
    </w:p>
    <w:p w14:paraId="0AD9521D" w14:textId="339AEF89" w:rsidR="009E7143" w:rsidRPr="00194EDF" w:rsidRDefault="009E7143" w:rsidP="00426A10">
      <w:pPr>
        <w:rPr>
          <w:lang w:val="en-US"/>
        </w:rPr>
      </w:pPr>
      <w:r>
        <w:rPr>
          <w:lang w:val="en-US"/>
        </w:rPr>
        <w:t>In any case, I (</w:t>
      </w:r>
      <w:r w:rsidR="005214C6">
        <w:rPr>
          <w:lang w:val="en-US"/>
        </w:rPr>
        <w:t>the lead</w:t>
      </w:r>
      <w:r>
        <w:rPr>
          <w:lang w:val="en-US"/>
        </w:rPr>
        <w:t xml:space="preserve"> author) would happily engage in a debate outside the review for our paper. If the editors are OK with that, the anonymous reviewer 2 can reach out to the lead author after the review process is done.</w:t>
      </w:r>
    </w:p>
    <w:p w14:paraId="611742C7" w14:textId="77777777" w:rsidR="00630C9A" w:rsidRPr="00BD15DA" w:rsidRDefault="00630C9A" w:rsidP="00426A10">
      <w:pPr>
        <w:rPr>
          <w:b/>
          <w:bCs/>
          <w:lang w:val="en-US"/>
        </w:rPr>
      </w:pPr>
      <w:r w:rsidRPr="00BD15DA">
        <w:rPr>
          <w:b/>
          <w:bCs/>
          <w:lang w:val="en-US"/>
        </w:rPr>
        <w:t xml:space="preserve">Moreover, the authors never write down a formal model to be tested and rush through the methodological section in a brief digression consistent of ad hoc variable description. Any standard specification of case-outcome-decision level would have to include at least time-fixed effects that absorb common judicial technology shocks into the model as well as case- or judge-fixed effects that control for level of </w:t>
      </w:r>
      <w:proofErr w:type="spellStart"/>
      <w:r w:rsidRPr="00BD15DA">
        <w:rPr>
          <w:b/>
          <w:bCs/>
          <w:lang w:val="en-US"/>
        </w:rPr>
        <w:t>idiosyncracies</w:t>
      </w:r>
      <w:proofErr w:type="spellEnd"/>
      <w:r w:rsidRPr="00BD15DA">
        <w:rPr>
          <w:b/>
          <w:bCs/>
          <w:lang w:val="en-US"/>
        </w:rPr>
        <w:t>. None of the unobserved effects appears into the model which questions the validity especially in the light of the fact that the model specification is assumed to be complete which is highly doubtful. In addition, standard errors are incorrectly estimated given the presence of the interaction term in the model specification. Norton-Ai-Wang derived asymptotically valid standard errors for limited dependent variable models in the presence of many possible interaction terms which the authors should heed without hesitation. There also appears to be very little discussion of results. I expected a discussion where results are linked to the previous findings in the literature but to no avail.</w:t>
      </w:r>
    </w:p>
    <w:p w14:paraId="320CE751" w14:textId="087793D9" w:rsidR="006516A7" w:rsidRPr="00BD15DA" w:rsidRDefault="006516A7" w:rsidP="00426A10">
      <w:pPr>
        <w:rPr>
          <w:lang w:val="en-US"/>
        </w:rPr>
      </w:pPr>
      <w:r w:rsidRPr="00BD15DA">
        <w:rPr>
          <w:lang w:val="en-US"/>
        </w:rPr>
        <w:t xml:space="preserve">On the one hand, we </w:t>
      </w:r>
      <w:r w:rsidR="000428B8">
        <w:rPr>
          <w:lang w:val="en-US"/>
        </w:rPr>
        <w:t>very</w:t>
      </w:r>
      <w:r w:rsidRPr="00BD15DA">
        <w:rPr>
          <w:lang w:val="en-US"/>
        </w:rPr>
        <w:t xml:space="preserve"> much </w:t>
      </w:r>
      <w:r w:rsidR="00A32242" w:rsidRPr="00BD15DA">
        <w:rPr>
          <w:lang w:val="en-US"/>
        </w:rPr>
        <w:t>appreciate the reviewer</w:t>
      </w:r>
      <w:r w:rsidRPr="00BD15DA">
        <w:rPr>
          <w:lang w:val="en-US"/>
        </w:rPr>
        <w:t xml:space="preserve"> #2</w:t>
      </w:r>
      <w:r w:rsidR="00A32242" w:rsidRPr="00BD15DA">
        <w:rPr>
          <w:lang w:val="en-US"/>
        </w:rPr>
        <w:t>’</w:t>
      </w:r>
      <w:r w:rsidRPr="00BD15DA">
        <w:rPr>
          <w:lang w:val="en-US"/>
        </w:rPr>
        <w:t>s</w:t>
      </w:r>
      <w:r w:rsidR="00A32242" w:rsidRPr="00BD15DA">
        <w:rPr>
          <w:lang w:val="en-US"/>
        </w:rPr>
        <w:t xml:space="preserve"> remarks and we have now included clustered standard errors,</w:t>
      </w:r>
      <w:r w:rsidR="00F878A6" w:rsidRPr="00BD15DA">
        <w:rPr>
          <w:lang w:val="en-US"/>
        </w:rPr>
        <w:t xml:space="preserve"> a formal model a clearer identification of the model</w:t>
      </w:r>
      <w:r w:rsidRPr="00BD15DA">
        <w:rPr>
          <w:lang w:val="en-US"/>
        </w:rPr>
        <w:t xml:space="preserve">. All in all, some of the reviewer #2’s remarks have helped the article become way better and we are by any means not claiming that the article has been perfect, quite on the contrary. </w:t>
      </w:r>
    </w:p>
    <w:p w14:paraId="3884CA17" w14:textId="7DF0949B" w:rsidR="00A32242" w:rsidRPr="00BD15DA" w:rsidRDefault="006516A7" w:rsidP="00426A10">
      <w:pPr>
        <w:rPr>
          <w:lang w:val="en-US"/>
        </w:rPr>
      </w:pPr>
      <w:r w:rsidRPr="00BD15DA">
        <w:rPr>
          <w:lang w:val="en-US"/>
        </w:rPr>
        <w:t xml:space="preserve">On the other hand, </w:t>
      </w:r>
      <w:r w:rsidR="0072759C" w:rsidRPr="00BD15DA">
        <w:rPr>
          <w:lang w:val="en-US"/>
        </w:rPr>
        <w:t>we are</w:t>
      </w:r>
      <w:r w:rsidR="00A32242" w:rsidRPr="00BD15DA">
        <w:rPr>
          <w:lang w:val="en-US"/>
        </w:rPr>
        <w:t xml:space="preserve"> not sure whether </w:t>
      </w:r>
      <w:r w:rsidRPr="00BD15DA">
        <w:rPr>
          <w:lang w:val="en-US"/>
        </w:rPr>
        <w:t>reviewer #2 ha</w:t>
      </w:r>
      <w:r w:rsidR="00FE01DA" w:rsidRPr="00BD15DA">
        <w:rPr>
          <w:lang w:val="en-US"/>
        </w:rPr>
        <w:t>d</w:t>
      </w:r>
      <w:r w:rsidRPr="00BD15DA">
        <w:rPr>
          <w:lang w:val="en-US"/>
        </w:rPr>
        <w:t xml:space="preserve"> not missed some key parts of the text</w:t>
      </w:r>
      <w:r w:rsidR="00A32242" w:rsidRPr="00BD15DA">
        <w:rPr>
          <w:lang w:val="en-US"/>
        </w:rPr>
        <w:t xml:space="preserve">. Take for example the following </w:t>
      </w:r>
      <w:r w:rsidR="00CA145C" w:rsidRPr="00BD15DA">
        <w:rPr>
          <w:lang w:val="en-US"/>
        </w:rPr>
        <w:t>statement</w:t>
      </w:r>
      <w:r w:rsidR="00A32242" w:rsidRPr="00BD15DA">
        <w:rPr>
          <w:lang w:val="en-US"/>
        </w:rPr>
        <w:t xml:space="preserve">: “Any standard specification of case-outcome-decision level would have to include at least time-fixed effects that absorb common judicial technology shocks into the model as well as case- or judge-fixed effects that control for level of </w:t>
      </w:r>
      <w:proofErr w:type="spellStart"/>
      <w:r w:rsidR="00A32242" w:rsidRPr="00BD15DA">
        <w:rPr>
          <w:lang w:val="en-US"/>
        </w:rPr>
        <w:t>idiosyncracies</w:t>
      </w:r>
      <w:proofErr w:type="spellEnd"/>
      <w:r w:rsidR="00A32242" w:rsidRPr="00BD15DA">
        <w:rPr>
          <w:lang w:val="en-US"/>
        </w:rPr>
        <w:t>.”</w:t>
      </w:r>
    </w:p>
    <w:p w14:paraId="27C91858" w14:textId="538B3925" w:rsidR="00A32242" w:rsidRPr="008962BD" w:rsidRDefault="00951379" w:rsidP="00426A10">
      <w:pPr>
        <w:rPr>
          <w:lang w:val="en-US"/>
        </w:rPr>
      </w:pPr>
      <w:r w:rsidRPr="00BD15DA">
        <w:rPr>
          <w:lang w:val="en-US"/>
        </w:rPr>
        <w:t>First, t</w:t>
      </w:r>
      <w:r w:rsidR="00A32242" w:rsidRPr="00BD15DA">
        <w:rPr>
          <w:lang w:val="en-US"/>
        </w:rPr>
        <w:t>he model is not specified at a case-outcome-decision level but rather on a separate-opinion-level</w:t>
      </w:r>
      <w:r w:rsidR="006516A7" w:rsidRPr="00BD15DA">
        <w:rPr>
          <w:lang w:val="en-US"/>
        </w:rPr>
        <w:t>, which is explained in sections 4.2.1. and 4.3</w:t>
      </w:r>
      <w:r w:rsidR="00A32242" w:rsidRPr="00BD15DA">
        <w:rPr>
          <w:lang w:val="en-US"/>
        </w:rPr>
        <w:t>.</w:t>
      </w:r>
      <w:r w:rsidR="006516A7" w:rsidRPr="00BD15DA">
        <w:rPr>
          <w:lang w:val="en-US"/>
        </w:rPr>
        <w:t xml:space="preserve"> </w:t>
      </w:r>
      <w:r w:rsidR="00CA145C" w:rsidRPr="00BD15DA">
        <w:rPr>
          <w:lang w:val="en-US"/>
        </w:rPr>
        <w:t xml:space="preserve">Therefore, the statement starts </w:t>
      </w:r>
      <w:r w:rsidR="00CA02A3" w:rsidRPr="00BD15DA">
        <w:rPr>
          <w:lang w:val="en-US"/>
        </w:rPr>
        <w:t>off</w:t>
      </w:r>
      <w:r w:rsidR="00CA145C" w:rsidRPr="00BD15DA">
        <w:rPr>
          <w:lang w:val="en-US"/>
        </w:rPr>
        <w:t xml:space="preserve"> </w:t>
      </w:r>
      <w:r w:rsidR="00CA02A3">
        <w:rPr>
          <w:lang w:val="en-US"/>
        </w:rPr>
        <w:t xml:space="preserve">with </w:t>
      </w:r>
      <w:r w:rsidR="00CA145C" w:rsidRPr="00BD15DA">
        <w:rPr>
          <w:lang w:val="en-US"/>
        </w:rPr>
        <w:t xml:space="preserve">a wrong premise. </w:t>
      </w:r>
      <w:r w:rsidR="008500F0" w:rsidRPr="00BD15DA">
        <w:rPr>
          <w:lang w:val="en-US"/>
        </w:rPr>
        <w:t xml:space="preserve">Secondly, regarding the time FE, those </w:t>
      </w:r>
      <w:r w:rsidR="00856C65">
        <w:rPr>
          <w:lang w:val="en-US"/>
        </w:rPr>
        <w:t>were</w:t>
      </w:r>
      <w:r w:rsidR="008500F0" w:rsidRPr="00BD15DA">
        <w:rPr>
          <w:lang w:val="en-US"/>
        </w:rPr>
        <w:t xml:space="preserve"> included under the term variable as </w:t>
      </w:r>
      <w:r w:rsidR="005268B5">
        <w:rPr>
          <w:lang w:val="en-US"/>
        </w:rPr>
        <w:t>had been e</w:t>
      </w:r>
      <w:r w:rsidR="008500F0" w:rsidRPr="00BD15DA">
        <w:rPr>
          <w:lang w:val="en-US"/>
        </w:rPr>
        <w:t xml:space="preserve">xplained in the section 4.3. </w:t>
      </w:r>
      <w:r w:rsidR="001624F7">
        <w:rPr>
          <w:lang w:val="en-US"/>
        </w:rPr>
        <w:t>In the revised manuscript, we have included year FE instead of term FE</w:t>
      </w:r>
      <w:r w:rsidR="00A62293" w:rsidRPr="00BD15DA">
        <w:rPr>
          <w:lang w:val="en-US"/>
        </w:rPr>
        <w:t xml:space="preserve">. </w:t>
      </w:r>
      <w:r w:rsidR="00B74CCD" w:rsidRPr="00BD15DA">
        <w:rPr>
          <w:lang w:val="en-US"/>
        </w:rPr>
        <w:t>Thirdly</w:t>
      </w:r>
      <w:r w:rsidRPr="00BD15DA">
        <w:rPr>
          <w:lang w:val="en-US"/>
        </w:rPr>
        <w:t>, as we explain</w:t>
      </w:r>
      <w:r w:rsidR="00A673F3">
        <w:rPr>
          <w:lang w:val="en-US"/>
        </w:rPr>
        <w:t xml:space="preserve">ed </w:t>
      </w:r>
      <w:r w:rsidR="008B27B4" w:rsidRPr="00BD15DA">
        <w:rPr>
          <w:lang w:val="en-US"/>
        </w:rPr>
        <w:t xml:space="preserve">in </w:t>
      </w:r>
      <w:r w:rsidR="008B27B4" w:rsidRPr="00BD15DA">
        <w:rPr>
          <w:lang w:val="en-US"/>
        </w:rPr>
        <w:lastRenderedPageBreak/>
        <w:t>section 4.3. in detail, we include</w:t>
      </w:r>
      <w:r w:rsidR="004E4AB1">
        <w:rPr>
          <w:lang w:val="en-US"/>
        </w:rPr>
        <w:t xml:space="preserve">d the </w:t>
      </w:r>
      <w:r w:rsidR="008B27B4" w:rsidRPr="00BD15DA">
        <w:rPr>
          <w:lang w:val="en-US"/>
        </w:rPr>
        <w:t xml:space="preserve">panel fixed effects to capture the “level of </w:t>
      </w:r>
      <w:r w:rsidR="008962BD" w:rsidRPr="00BD15DA">
        <w:rPr>
          <w:lang w:val="en-US"/>
        </w:rPr>
        <w:t>idiosyncrasies</w:t>
      </w:r>
      <w:r w:rsidR="008B27B4" w:rsidRPr="00BD15DA">
        <w:rPr>
          <w:lang w:val="en-US"/>
        </w:rPr>
        <w:t>” at the logical clustering variable – the panel</w:t>
      </w:r>
      <w:r w:rsidR="00403D8D" w:rsidRPr="00BD15DA">
        <w:rPr>
          <w:lang w:val="en-US"/>
        </w:rPr>
        <w:t xml:space="preserve">. </w:t>
      </w:r>
      <w:r w:rsidR="008962BD">
        <w:rPr>
          <w:lang w:val="en-US"/>
        </w:rPr>
        <w:t xml:space="preserve">Lastly, in our </w:t>
      </w:r>
      <w:r w:rsidR="00AD0DEB">
        <w:rPr>
          <w:lang w:val="en-US"/>
        </w:rPr>
        <w:t>revised</w:t>
      </w:r>
      <w:r w:rsidR="008962BD">
        <w:rPr>
          <w:lang w:val="en-US"/>
        </w:rPr>
        <w:t xml:space="preserve"> model, we include even </w:t>
      </w:r>
      <w:proofErr w:type="spellStart"/>
      <w:r w:rsidR="008962BD">
        <w:rPr>
          <w:lang w:val="cs-CZ"/>
        </w:rPr>
        <w:t>the</w:t>
      </w:r>
      <w:proofErr w:type="spellEnd"/>
      <w:r w:rsidR="008962BD">
        <w:rPr>
          <w:lang w:val="cs-CZ"/>
        </w:rPr>
        <w:t xml:space="preserve"> </w:t>
      </w:r>
      <w:proofErr w:type="spellStart"/>
      <w:r w:rsidR="008962BD">
        <w:rPr>
          <w:lang w:val="cs-CZ"/>
        </w:rPr>
        <w:t>ju</w:t>
      </w:r>
      <w:r w:rsidR="008962BD">
        <w:rPr>
          <w:lang w:val="en-US"/>
        </w:rPr>
        <w:t>dge</w:t>
      </w:r>
      <w:proofErr w:type="spellEnd"/>
      <w:r w:rsidR="008962BD">
        <w:rPr>
          <w:lang w:val="en-US"/>
        </w:rPr>
        <w:t xml:space="preserve"> fixed effects at the cost of them absorbing the unit-specific time-invariant profession of the judges. To alleviate this issue, we fitted two models to obtain the estimates for the effects of the professional background of judges.</w:t>
      </w:r>
    </w:p>
    <w:p w14:paraId="44E61AE7" w14:textId="2343D24E" w:rsidR="00630C9A" w:rsidRPr="00E41C89" w:rsidRDefault="00630C9A" w:rsidP="00630C9A">
      <w:pPr>
        <w:pStyle w:val="Heading1"/>
        <w:rPr>
          <w:lang w:val="cs-CZ"/>
        </w:rPr>
      </w:pPr>
      <w:r w:rsidRPr="00BD15DA">
        <w:rPr>
          <w:lang w:val="en-US"/>
        </w:rPr>
        <w:t>Reviewer #3</w:t>
      </w:r>
    </w:p>
    <w:p w14:paraId="6DCADE34" w14:textId="77777777" w:rsidR="00630C9A" w:rsidRPr="00BD15DA" w:rsidRDefault="00630C9A" w:rsidP="00630C9A">
      <w:pPr>
        <w:pStyle w:val="Heading2"/>
        <w:rPr>
          <w:lang w:val="en-US"/>
        </w:rPr>
      </w:pPr>
      <w:r w:rsidRPr="00BD15DA">
        <w:rPr>
          <w:rStyle w:val="Emphasis"/>
          <w:i w:val="0"/>
          <w:iCs w:val="0"/>
          <w:lang w:val="en-US"/>
        </w:rPr>
        <w:t>Institutional Setting:</w:t>
      </w:r>
    </w:p>
    <w:p w14:paraId="1ABB706C" w14:textId="5CC6A2DB" w:rsidR="00630C9A" w:rsidRPr="006F216F" w:rsidRDefault="00630C9A" w:rsidP="006F216F">
      <w:pPr>
        <w:rPr>
          <w:b/>
          <w:bCs/>
          <w:lang w:val="en-US"/>
        </w:rPr>
      </w:pPr>
      <w:r w:rsidRPr="006F216F">
        <w:rPr>
          <w:b/>
          <w:bCs/>
          <w:lang w:val="en-US"/>
        </w:rPr>
        <w:t>At page 14, the authors mention the “special disciplinary chamber”. Could you please provide more information on this?</w:t>
      </w:r>
    </w:p>
    <w:p w14:paraId="31D89486" w14:textId="246A03E6" w:rsidR="00AD60D0" w:rsidRPr="00BD15DA" w:rsidRDefault="00AD60D0" w:rsidP="006F216F">
      <w:pPr>
        <w:rPr>
          <w:lang w:val="en-US"/>
        </w:rPr>
      </w:pPr>
      <w:r w:rsidRPr="00BD15DA">
        <w:rPr>
          <w:lang w:val="en-US"/>
        </w:rPr>
        <w:t>We provide further information here as elaborating on it in the article would be unnecessary</w:t>
      </w:r>
      <w:r w:rsidR="00B473AE" w:rsidRPr="00BD15DA">
        <w:rPr>
          <w:lang w:val="en-US"/>
        </w:rPr>
        <w:t xml:space="preserve"> as it has no relevance for the dissenting behavior judges</w:t>
      </w:r>
      <w:r w:rsidRPr="00BD15DA">
        <w:rPr>
          <w:lang w:val="en-US"/>
        </w:rPr>
        <w:t xml:space="preserve">. </w:t>
      </w:r>
      <w:r w:rsidR="00A67464" w:rsidRPr="00BD15DA">
        <w:rPr>
          <w:lang w:val="en-US"/>
        </w:rPr>
        <w:t xml:space="preserve">Basically, as the CCC is an apex court within the Czech judiciary, the argument goes, that there is </w:t>
      </w:r>
      <w:proofErr w:type="spellStart"/>
      <w:r w:rsidR="00A67464" w:rsidRPr="00BD15DA">
        <w:rPr>
          <w:lang w:val="en-US"/>
        </w:rPr>
        <w:t>noone</w:t>
      </w:r>
      <w:proofErr w:type="spellEnd"/>
      <w:r w:rsidR="00A67464" w:rsidRPr="00BD15DA">
        <w:rPr>
          <w:lang w:val="en-US"/>
        </w:rPr>
        <w:t xml:space="preserve"> that would carry out disciplinary proceedings against the CCC judges. Therefore, the disciplinary proceedings are held by a 5-member disciplinary chamber. The “ad hoc” disciplinary chamber goes into a session only on a disciplinary proposal of the President of the CCC that then gets discussed in the plenary session. If the plenum does not reject the proposal, the disciplinary proceedings proceed to the 5-member disciplinary chamber that gets established during these proceedings (i.e., if the proposal does not get rejected, the plenary session elects 5 members out of itself). The only possible “punishment” of the proceedings is a reproach/reprehension against the judge for the deeds that they’d </w:t>
      </w:r>
      <w:proofErr w:type="spellStart"/>
      <w:r w:rsidR="00A67464" w:rsidRPr="00BD15DA">
        <w:rPr>
          <w:lang w:val="en-US"/>
        </w:rPr>
        <w:t>commited</w:t>
      </w:r>
      <w:proofErr w:type="spellEnd"/>
      <w:r w:rsidR="00A67464" w:rsidRPr="00BD15DA">
        <w:rPr>
          <w:lang w:val="en-US"/>
        </w:rPr>
        <w:t>. There is no monetary, no functional and alike punishment.</w:t>
      </w:r>
      <w:r w:rsidR="00877DF3" w:rsidRPr="00BD15DA">
        <w:rPr>
          <w:lang w:val="en-US"/>
        </w:rPr>
        <w:t xml:space="preserve"> The relevant §§ 132-144 are to be found here </w:t>
      </w:r>
      <w:hyperlink r:id="rId8" w:history="1">
        <w:r w:rsidR="00877DF3" w:rsidRPr="00BD15DA">
          <w:rPr>
            <w:rStyle w:val="Hyperlink"/>
            <w:rFonts w:ascii="Helvetica" w:hAnsi="Helvetica"/>
            <w:sz w:val="18"/>
            <w:szCs w:val="18"/>
            <w:lang w:val="en-US"/>
          </w:rPr>
          <w:t>https://www.usoud.cz/fileadmin/user_upload/ustavni_soud_www/Pravni_uprava/AJ/Constitutional_court_act_182_1993.pdf</w:t>
        </w:r>
      </w:hyperlink>
    </w:p>
    <w:p w14:paraId="23D4988E" w14:textId="7ABE90FD" w:rsidR="00630C9A" w:rsidRPr="00BD15DA" w:rsidRDefault="00630C9A" w:rsidP="00630C9A">
      <w:pPr>
        <w:pStyle w:val="Heading2"/>
        <w:rPr>
          <w:lang w:val="en-US"/>
        </w:rPr>
      </w:pPr>
      <w:r w:rsidRPr="00BD15DA">
        <w:rPr>
          <w:rStyle w:val="Emphasis"/>
          <w:i w:val="0"/>
          <w:iCs w:val="0"/>
          <w:lang w:val="en-US"/>
        </w:rPr>
        <w:t>Data &amp; Explanatory Variables</w:t>
      </w:r>
    </w:p>
    <w:p w14:paraId="2DED57B4" w14:textId="77777777" w:rsidR="00630C9A" w:rsidRPr="006F216F" w:rsidRDefault="00630C9A" w:rsidP="006F216F">
      <w:pPr>
        <w:rPr>
          <w:b/>
          <w:bCs/>
          <w:lang w:val="en-US"/>
        </w:rPr>
      </w:pPr>
      <w:r w:rsidRPr="006F216F">
        <w:rPr>
          <w:b/>
          <w:bCs/>
          <w:lang w:val="en-US"/>
        </w:rPr>
        <w:t>1. The</w:t>
      </w:r>
      <w:r w:rsidRPr="006F216F">
        <w:rPr>
          <w:rStyle w:val="apple-converted-space"/>
          <w:rFonts w:ascii="Helvetica" w:eastAsiaTheme="majorEastAsia" w:hAnsi="Helvetica"/>
          <w:b/>
          <w:bCs/>
          <w:color w:val="000000"/>
          <w:sz w:val="18"/>
          <w:szCs w:val="18"/>
          <w:lang w:val="en-US"/>
        </w:rPr>
        <w:t> </w:t>
      </w:r>
      <w:r w:rsidRPr="006F216F">
        <w:rPr>
          <w:rStyle w:val="Emphasis"/>
          <w:rFonts w:ascii="Helvetica" w:eastAsiaTheme="majorEastAsia" w:hAnsi="Helvetica"/>
          <w:b/>
          <w:bCs/>
          <w:color w:val="000000"/>
          <w:sz w:val="18"/>
          <w:szCs w:val="18"/>
          <w:lang w:val="en-US"/>
        </w:rPr>
        <w:t>time in office</w:t>
      </w:r>
      <w:r w:rsidRPr="006F216F">
        <w:rPr>
          <w:rStyle w:val="apple-converted-space"/>
          <w:rFonts w:ascii="Helvetica" w:eastAsiaTheme="majorEastAsia" w:hAnsi="Helvetica"/>
          <w:b/>
          <w:bCs/>
          <w:i/>
          <w:iCs/>
          <w:color w:val="000000"/>
          <w:sz w:val="18"/>
          <w:szCs w:val="18"/>
          <w:lang w:val="en-US"/>
        </w:rPr>
        <w:t> </w:t>
      </w:r>
      <w:r w:rsidRPr="006F216F">
        <w:rPr>
          <w:b/>
          <w:bCs/>
          <w:lang w:val="en-US"/>
        </w:rPr>
        <w:t xml:space="preserve">variable is computed as the number of months left till the termination of the judge’s mandate at the date of the decision. This is said to account for both the collegiality costs hypothesis and the profession hypothesis. One could question if this is </w:t>
      </w:r>
      <w:proofErr w:type="gramStart"/>
      <w:r w:rsidRPr="006F216F">
        <w:rPr>
          <w:b/>
          <w:bCs/>
          <w:lang w:val="en-US"/>
        </w:rPr>
        <w:t>actually the</w:t>
      </w:r>
      <w:proofErr w:type="gramEnd"/>
      <w:r w:rsidRPr="006F216F">
        <w:rPr>
          <w:b/>
          <w:bCs/>
          <w:lang w:val="en-US"/>
        </w:rPr>
        <w:t xml:space="preserve"> case with respect to the latter hypothesis. The effect of judges’ former profession is expected to be stronger the closer a judge is to the beginning of her office. A judge’s mandate last 10 years. However, re-election is possible with no restrictions. Then, if a judge is not at her first mandate, the</w:t>
      </w:r>
      <w:r w:rsidRPr="006F216F">
        <w:rPr>
          <w:rStyle w:val="apple-converted-space"/>
          <w:rFonts w:ascii="Helvetica" w:eastAsiaTheme="majorEastAsia" w:hAnsi="Helvetica"/>
          <w:b/>
          <w:bCs/>
          <w:color w:val="000000"/>
          <w:sz w:val="18"/>
          <w:szCs w:val="18"/>
          <w:lang w:val="en-US"/>
        </w:rPr>
        <w:t> </w:t>
      </w:r>
      <w:r w:rsidRPr="006F216F">
        <w:rPr>
          <w:rStyle w:val="Emphasis"/>
          <w:rFonts w:ascii="Helvetica" w:eastAsiaTheme="majorEastAsia" w:hAnsi="Helvetica"/>
          <w:b/>
          <w:bCs/>
          <w:color w:val="000000"/>
          <w:sz w:val="18"/>
          <w:szCs w:val="18"/>
          <w:lang w:val="en-US"/>
        </w:rPr>
        <w:t>time in office</w:t>
      </w:r>
      <w:r w:rsidRPr="006F216F">
        <w:rPr>
          <w:rStyle w:val="apple-converted-space"/>
          <w:rFonts w:ascii="Helvetica" w:eastAsiaTheme="majorEastAsia" w:hAnsi="Helvetica"/>
          <w:b/>
          <w:bCs/>
          <w:i/>
          <w:iCs/>
          <w:color w:val="000000"/>
          <w:sz w:val="18"/>
          <w:szCs w:val="18"/>
          <w:lang w:val="en-US"/>
        </w:rPr>
        <w:t> </w:t>
      </w:r>
      <w:r w:rsidRPr="006F216F">
        <w:rPr>
          <w:b/>
          <w:bCs/>
          <w:lang w:val="en-US"/>
        </w:rPr>
        <w:t xml:space="preserve">(as constructed) would not properly capture the time since she left her previous profession. </w:t>
      </w:r>
      <w:r w:rsidRPr="006F216F">
        <w:rPr>
          <w:b/>
          <w:bCs/>
          <w:highlight w:val="yellow"/>
          <w:lang w:val="en-US"/>
        </w:rPr>
        <w:t>To properly account for the profession hypothesis, the authors should include the number of months since the beginning of the first mandate of a judge (unless judges in the dataset are never re-elected).</w:t>
      </w:r>
    </w:p>
    <w:p w14:paraId="7AD32FF3" w14:textId="142EDE9C" w:rsidR="001A641B" w:rsidRPr="00BD15DA" w:rsidRDefault="001A641B" w:rsidP="006F216F">
      <w:pPr>
        <w:rPr>
          <w:lang w:val="en-US"/>
        </w:rPr>
      </w:pPr>
      <w:r w:rsidRPr="00BD15DA">
        <w:rPr>
          <w:lang w:val="en-US"/>
        </w:rPr>
        <w:lastRenderedPageBreak/>
        <w:t>We corrected that as we missed this piece of puzzle.</w:t>
      </w:r>
      <w:r w:rsidR="00B065F0" w:rsidRPr="00BD15DA">
        <w:rPr>
          <w:lang w:val="en-US"/>
        </w:rPr>
        <w:t xml:space="preserve"> </w:t>
      </w:r>
      <w:r w:rsidR="00731E7F" w:rsidRPr="00BD15DA">
        <w:rPr>
          <w:lang w:val="en-US"/>
        </w:rPr>
        <w:t>Now the time in office variable is calculated as the number of months from the beginning of the first term of the judge, notwithstanding how many terms they have served.</w:t>
      </w:r>
    </w:p>
    <w:p w14:paraId="054A5F3F" w14:textId="5C6B34B4" w:rsidR="00630C9A" w:rsidRPr="00DA4EEC" w:rsidRDefault="00630C9A" w:rsidP="006F216F">
      <w:pPr>
        <w:rPr>
          <w:b/>
          <w:bCs/>
          <w:lang w:val="en-US"/>
        </w:rPr>
      </w:pPr>
      <w:r w:rsidRPr="00DA4EEC">
        <w:rPr>
          <w:b/>
          <w:bCs/>
          <w:lang w:val="en-US"/>
        </w:rPr>
        <w:t xml:space="preserve">Norm-identification is proxied looking at judges’ last profession before entering the CCC. This is done as, according to the authors, </w:t>
      </w:r>
      <w:proofErr w:type="gramStart"/>
      <w:r w:rsidRPr="00DA4EEC">
        <w:rPr>
          <w:b/>
          <w:bCs/>
          <w:lang w:val="en-US"/>
        </w:rPr>
        <w:t>the vast majority of</w:t>
      </w:r>
      <w:proofErr w:type="gramEnd"/>
      <w:r w:rsidRPr="00DA4EEC">
        <w:rPr>
          <w:b/>
          <w:bCs/>
          <w:lang w:val="en-US"/>
        </w:rPr>
        <w:t xml:space="preserve"> judges would retire after their terms. Hence, career concerns would not be at play. I believe it is still worth to check if such concerns are or are not at play. Rather than reconstruct the judges’ profession after their term, the authors could easily control for some judges’ characteristics commonly used to capture the effect of possible career concerns such as age at the time of the appointment, age at the time of the decision, gender (La </w:t>
      </w:r>
      <w:proofErr w:type="spellStart"/>
      <w:r w:rsidRPr="00DA4EEC">
        <w:rPr>
          <w:b/>
          <w:bCs/>
          <w:lang w:val="en-US"/>
        </w:rPr>
        <w:t>Pellegrina</w:t>
      </w:r>
      <w:proofErr w:type="spellEnd"/>
      <w:r w:rsidRPr="00DA4EEC">
        <w:rPr>
          <w:b/>
          <w:bCs/>
          <w:lang w:val="en-US"/>
        </w:rPr>
        <w:t xml:space="preserve"> et al., 2017).</w:t>
      </w:r>
    </w:p>
    <w:p w14:paraId="69333F0A" w14:textId="1B70FB25" w:rsidR="00060816" w:rsidRPr="00BD15DA" w:rsidRDefault="00060816" w:rsidP="006F216F">
      <w:pPr>
        <w:rPr>
          <w:lang w:val="en-US"/>
        </w:rPr>
      </w:pPr>
      <w:r w:rsidRPr="00BD15DA">
        <w:rPr>
          <w:lang w:val="en-US"/>
        </w:rPr>
        <w:t xml:space="preserve">We are not sure </w:t>
      </w:r>
      <w:r w:rsidR="00DA4EEC">
        <w:rPr>
          <w:lang w:val="en-US"/>
        </w:rPr>
        <w:t>whether</w:t>
      </w:r>
      <w:r w:rsidRPr="00BD15DA">
        <w:rPr>
          <w:lang w:val="en-US"/>
        </w:rPr>
        <w:t xml:space="preserve"> we follow this comment. The norm-identification is proxied by the profession because we can theoretically expect it to vary across different professions: judges coming from a judiciary had already been socialized into the norms of the judiciary whereas lawyers had not been. Therefore, the variable is included in the model because we are interested in measuring its effect, not because it’s supposed to control for a potential confounder as the reviewer suggests (“the authors could easily control for”). We do not see a reason to account for the age of the CCC judges, neither as a variable of interest nor as a confounder – could the reviewer maybe elaborate on that?</w:t>
      </w:r>
    </w:p>
    <w:p w14:paraId="1E4F9826" w14:textId="72D57929" w:rsidR="00060816" w:rsidRPr="00BD15DA" w:rsidRDefault="00060816" w:rsidP="006F216F">
      <w:pPr>
        <w:rPr>
          <w:lang w:val="en-US"/>
        </w:rPr>
      </w:pPr>
      <w:r w:rsidRPr="00BD15DA">
        <w:rPr>
          <w:lang w:val="en-US"/>
        </w:rPr>
        <w:t xml:space="preserve">Potentially, gender could be a confounding variable. From our previous research we know that women are disproportionally represented at the lower courts, whereas courts occupy the positions at the higher and apex courts </w:t>
      </w:r>
      <w:r w:rsidRPr="00BD15DA">
        <w:rPr>
          <w:lang w:val="en-US"/>
        </w:rPr>
        <w:fldChar w:fldCharType="begin"/>
      </w:r>
      <w:r w:rsidR="00413DEC" w:rsidRPr="00BD15DA">
        <w:rPr>
          <w:lang w:val="en-US"/>
        </w:rPr>
        <w:instrText xml:space="preserve"> ADDIN ZOTERO_ITEM CSL_CITATION {"citationID":"nUDu36Hk","properties":{"formattedCitation":"(Urb\\uc0\\u225{}nikov\\uc0\\u225{}, Havelkov\\uc0\\u225{}, and Kosa\\uc0\\u345{} 2023)","plainCitation":"(Urbániková, Havelková, and Kosař 2023)","dontUpdate":true,"noteIndex":0},"citationItems":[{"id":1739,"uris":["http://zotero.org/users/4628104/items/WIFDSTCP"],"itemData":{"id":1739,"type":"article-journal","abstract":"Central and Eastern European countries (CEE), compared to common law countries but also other civil law countries of Europe, are known for a strikingly high representation of women within judiciaries. This, however, does not mean that equality has been achieved, as women judges do not reach leadership positions at the same rate as their male peers. Taking the Czech Republic as a case study, this contribution explores the barriers women judges face within a CEE judiciary and analyses their reflections on their positions. The interviews with women judges show that while they are well aware of what is holding them back, most of them do not perceive the structurally unequal position of men and women in Czech society and in the judiciary as a problem and accept the consequences as being part of women’s destiny. This means that the system currently lacks bottom-up incentives and pressure for change.","container-title":"Feminist Legal Studies","DOI":"10.1007/s10691-023-09533-w","ISSN":"1572-8455","journalAbbreviation":"Fem Leg Stud","language":"en","source":"Springer Link","title":"The Art of Waiting Humbly: Women Judges Reflect on Vertical Gender Segregation","title-short":"The Art of Waiting Humbly","URL":"https://doi.org/10.1007/s10691-023-09533-w","author":[{"family":"Urbániková","given":"Marína"},{"family":"Havelková","given":"Barbara"},{"family":"Kosař","given":"David"}],"accessed":{"date-parts":[["2024",4,2]]},"issued":{"date-parts":[["2023",8,18]]},"citation-key":"urbanikovaArtWaitingHumbly2023"}}],"schema":"https://github.com/citation-style-language/schema/raw/master/csl-citation.json"} </w:instrText>
      </w:r>
      <w:r w:rsidRPr="00BD15DA">
        <w:rPr>
          <w:lang w:val="en-US"/>
        </w:rPr>
        <w:fldChar w:fldCharType="separate"/>
      </w:r>
      <w:r w:rsidRPr="00BD15DA">
        <w:rPr>
          <w:lang w:val="en-US"/>
        </w:rPr>
        <w:t>(for a more detailed discussion from a different set of authors see Urbániková, Havelková, and Kosař 2023)</w:t>
      </w:r>
      <w:r w:rsidRPr="00BD15DA">
        <w:rPr>
          <w:lang w:val="en-US"/>
        </w:rPr>
        <w:fldChar w:fldCharType="end"/>
      </w:r>
      <w:r w:rsidRPr="00BD15DA">
        <w:rPr>
          <w:lang w:val="en-US"/>
        </w:rPr>
        <w:t>.</w:t>
      </w:r>
      <w:r w:rsidR="005D23AB" w:rsidRPr="00BD15DA">
        <w:rPr>
          <w:lang w:val="en-US"/>
        </w:rPr>
        <w:t xml:space="preserve">  </w:t>
      </w:r>
    </w:p>
    <w:p w14:paraId="1134B8F9" w14:textId="65A48343" w:rsidR="00630C9A" w:rsidRPr="00DA4EEC" w:rsidRDefault="00630C9A" w:rsidP="006F216F">
      <w:pPr>
        <w:rPr>
          <w:b/>
          <w:bCs/>
          <w:lang w:val="en-US"/>
        </w:rPr>
      </w:pPr>
      <w:r w:rsidRPr="00DA4EEC">
        <w:rPr>
          <w:b/>
          <w:bCs/>
          <w:lang w:val="en-US"/>
        </w:rPr>
        <w:t>Section 4.2.2.1 on mixed coalition: how coalitions have been identified?</w:t>
      </w:r>
    </w:p>
    <w:p w14:paraId="5621FF6D" w14:textId="7B2AE120" w:rsidR="008473BE" w:rsidRPr="00BD15DA" w:rsidRDefault="008473BE" w:rsidP="006F216F">
      <w:pPr>
        <w:rPr>
          <w:lang w:val="en-US"/>
        </w:rPr>
      </w:pPr>
      <w:r w:rsidRPr="00BD15DA">
        <w:rPr>
          <w:lang w:val="en-US"/>
        </w:rPr>
        <w:t xml:space="preserve">The coalitions have been identified based on </w:t>
      </w:r>
      <w:r w:rsidR="00A141A4" w:rsidRPr="00BD15DA">
        <w:rPr>
          <w:lang w:val="en-US"/>
        </w:rPr>
        <w:t xml:space="preserve">the literature we build </w:t>
      </w:r>
      <w:r w:rsidR="003C4FB7" w:rsidRPr="00BD15DA">
        <w:rPr>
          <w:lang w:val="en-US"/>
        </w:rPr>
        <w:t>on.</w:t>
      </w:r>
    </w:p>
    <w:p w14:paraId="2EA8EE11" w14:textId="77777777" w:rsidR="00630C9A" w:rsidRPr="00BD15DA" w:rsidRDefault="00630C9A" w:rsidP="00630C9A">
      <w:pPr>
        <w:pStyle w:val="Heading2"/>
        <w:rPr>
          <w:lang w:val="en-US"/>
        </w:rPr>
      </w:pPr>
      <w:r w:rsidRPr="00BD15DA">
        <w:rPr>
          <w:rStyle w:val="Emphasis"/>
          <w:i w:val="0"/>
          <w:iCs w:val="0"/>
          <w:lang w:val="en-US"/>
        </w:rPr>
        <w:t>Empirical Analysis &amp; Results</w:t>
      </w:r>
    </w:p>
    <w:p w14:paraId="21C1D234" w14:textId="0124AEED" w:rsidR="00630C9A" w:rsidRPr="00DA4EEC" w:rsidRDefault="00630C9A" w:rsidP="00DA4EEC">
      <w:pPr>
        <w:rPr>
          <w:b/>
          <w:bCs/>
          <w:lang w:val="en-US"/>
        </w:rPr>
      </w:pPr>
      <w:r w:rsidRPr="00DA4EEC">
        <w:rPr>
          <w:b/>
          <w:bCs/>
          <w:lang w:val="en-US"/>
        </w:rPr>
        <w:t>At page 24, the authors claim that the court composition is rather stable within the two observed terms. Still, they construct the variable</w:t>
      </w:r>
      <w:r w:rsidRPr="00DA4EEC">
        <w:rPr>
          <w:rStyle w:val="apple-converted-space"/>
          <w:rFonts w:ascii="Helvetica" w:eastAsiaTheme="majorEastAsia" w:hAnsi="Helvetica"/>
          <w:b/>
          <w:bCs/>
          <w:color w:val="000000"/>
          <w:sz w:val="18"/>
          <w:szCs w:val="18"/>
          <w:lang w:val="en-US"/>
        </w:rPr>
        <w:t> </w:t>
      </w:r>
      <w:r w:rsidRPr="00DA4EEC">
        <w:rPr>
          <w:rStyle w:val="Emphasis"/>
          <w:rFonts w:ascii="Helvetica" w:eastAsiaTheme="majorEastAsia" w:hAnsi="Helvetica"/>
          <w:b/>
          <w:bCs/>
          <w:color w:val="000000"/>
          <w:sz w:val="18"/>
          <w:szCs w:val="18"/>
          <w:lang w:val="en-US"/>
        </w:rPr>
        <w:t>term</w:t>
      </w:r>
      <w:r w:rsidRPr="00DA4EEC">
        <w:rPr>
          <w:rStyle w:val="apple-converted-space"/>
          <w:rFonts w:ascii="Helvetica" w:eastAsiaTheme="majorEastAsia" w:hAnsi="Helvetica"/>
          <w:b/>
          <w:bCs/>
          <w:color w:val="000000"/>
          <w:sz w:val="18"/>
          <w:szCs w:val="18"/>
          <w:lang w:val="en-US"/>
        </w:rPr>
        <w:t> </w:t>
      </w:r>
      <w:r w:rsidRPr="00DA4EEC">
        <w:rPr>
          <w:b/>
          <w:bCs/>
          <w:lang w:val="en-US"/>
        </w:rPr>
        <w:t xml:space="preserve">depending on the number of judges (who sit </w:t>
      </w:r>
      <w:proofErr w:type="gramStart"/>
      <w:r w:rsidRPr="00DA4EEC">
        <w:rPr>
          <w:b/>
          <w:bCs/>
          <w:lang w:val="en-US"/>
        </w:rPr>
        <w:t>in a given</w:t>
      </w:r>
      <w:proofErr w:type="gramEnd"/>
      <w:r w:rsidRPr="00DA4EEC">
        <w:rPr>
          <w:b/>
          <w:bCs/>
          <w:lang w:val="en-US"/>
        </w:rPr>
        <w:t xml:space="preserve"> panel) coming from a same term, so there is some variability in the court’s composition. How much?</w:t>
      </w:r>
    </w:p>
    <w:p w14:paraId="62ABACE6" w14:textId="516BB547" w:rsidR="00826E66" w:rsidRPr="00BD15DA" w:rsidRDefault="00826E66" w:rsidP="00DA4EEC">
      <w:pPr>
        <w:rPr>
          <w:lang w:val="en-US"/>
        </w:rPr>
      </w:pPr>
      <w:r w:rsidRPr="00BD15DA">
        <w:rPr>
          <w:lang w:val="en-US"/>
        </w:rPr>
        <w:t xml:space="preserve">The variable term was supposed to capture the </w:t>
      </w:r>
      <w:proofErr w:type="spellStart"/>
      <w:r w:rsidRPr="00BD15DA">
        <w:rPr>
          <w:lang w:val="en-US"/>
        </w:rPr>
        <w:t>schock</w:t>
      </w:r>
      <w:proofErr w:type="spellEnd"/>
      <w:r w:rsidRPr="00BD15DA">
        <w:rPr>
          <w:lang w:val="en-US"/>
        </w:rPr>
        <w:t xml:space="preserve"> in the form of complete personal overhaul that happens roughly every ten years. The CCC was founded in 1993, the term of a judge lasts for 10 years, and there has been only one premature retirement. Therefore all 15 but 1 </w:t>
      </w:r>
      <w:proofErr w:type="gramStart"/>
      <w:r w:rsidRPr="00BD15DA">
        <w:rPr>
          <w:lang w:val="en-US"/>
        </w:rPr>
        <w:t>judges</w:t>
      </w:r>
      <w:proofErr w:type="gramEnd"/>
      <w:r w:rsidRPr="00BD15DA">
        <w:rPr>
          <w:lang w:val="en-US"/>
        </w:rPr>
        <w:t xml:space="preserve"> finish their terms within a couple of months apart from each other. Therefore, instead of including year FEs, we’d included term FEs in the form of a dummy for the CCC “generation” to absorb this shock – the complete overhaul. In </w:t>
      </w:r>
      <w:r w:rsidRPr="00BD15DA">
        <w:rPr>
          <w:lang w:val="en-US"/>
        </w:rPr>
        <w:lastRenderedPageBreak/>
        <w:t xml:space="preserve">the end, we opted for year FEs as they would still absorb the complete personal overhaul of the CCC + other potential time-variant constant across </w:t>
      </w:r>
      <w:proofErr w:type="spellStart"/>
      <w:r w:rsidRPr="00BD15DA">
        <w:rPr>
          <w:lang w:val="en-US"/>
        </w:rPr>
        <w:t>entitites</w:t>
      </w:r>
      <w:proofErr w:type="spellEnd"/>
      <w:r w:rsidRPr="00BD15DA">
        <w:rPr>
          <w:lang w:val="en-US"/>
        </w:rPr>
        <w:t xml:space="preserve"> variables.</w:t>
      </w:r>
    </w:p>
    <w:p w14:paraId="23A9C812" w14:textId="775777E9" w:rsidR="00630C9A" w:rsidRPr="00DA4EEC" w:rsidRDefault="00630C9A" w:rsidP="00DA4EEC">
      <w:pPr>
        <w:rPr>
          <w:b/>
          <w:bCs/>
          <w:lang w:val="en-US"/>
        </w:rPr>
      </w:pPr>
      <w:r w:rsidRPr="00DA4EEC">
        <w:rPr>
          <w:b/>
          <w:bCs/>
          <w:lang w:val="en-US"/>
        </w:rPr>
        <w:t>Related to my previous comment, year FE and term FE capture different aspects. At least as a robustness check, the authors should include year FE.</w:t>
      </w:r>
    </w:p>
    <w:p w14:paraId="1B545317" w14:textId="17AA29B9" w:rsidR="00DB0C3F" w:rsidRPr="00BD15DA" w:rsidRDefault="00DB0C3F" w:rsidP="00DA4EEC">
      <w:pPr>
        <w:rPr>
          <w:lang w:val="en-US"/>
        </w:rPr>
      </w:pPr>
      <w:r w:rsidRPr="00BD15DA">
        <w:rPr>
          <w:lang w:val="en-US"/>
        </w:rPr>
        <w:t>See our answer to the previous comment.</w:t>
      </w:r>
    </w:p>
    <w:p w14:paraId="436D1056" w14:textId="71A0203A" w:rsidR="00630C9A" w:rsidRPr="00DA4EEC" w:rsidRDefault="00630C9A" w:rsidP="00DA4EEC">
      <w:pPr>
        <w:rPr>
          <w:b/>
          <w:bCs/>
          <w:lang w:val="en-US"/>
        </w:rPr>
      </w:pPr>
      <w:r w:rsidRPr="00DA4EEC">
        <w:rPr>
          <w:b/>
          <w:bCs/>
          <w:lang w:val="en-US"/>
        </w:rPr>
        <w:t>Why to test the fourth hypothesis the model is run only on 3-member panel decisions belonging to the third term (</w:t>
      </w:r>
      <w:proofErr w:type="spellStart"/>
      <w:r w:rsidRPr="00DA4EEC">
        <w:rPr>
          <w:b/>
          <w:bCs/>
          <w:lang w:val="en-US"/>
        </w:rPr>
        <w:t>i.e</w:t>
      </w:r>
      <w:proofErr w:type="spellEnd"/>
      <w:r w:rsidRPr="00DA4EEC">
        <w:rPr>
          <w:b/>
          <w:bCs/>
          <w:lang w:val="en-US"/>
        </w:rPr>
        <w:t>, 2014-2023)?</w:t>
      </w:r>
    </w:p>
    <w:p w14:paraId="6B8DE819" w14:textId="65C59DB0" w:rsidR="00083A7D" w:rsidRPr="00BD15DA" w:rsidRDefault="00083A7D" w:rsidP="00DA4EEC">
      <w:pPr>
        <w:rPr>
          <w:lang w:val="en-US"/>
        </w:rPr>
      </w:pPr>
      <w:r w:rsidRPr="00BD15DA">
        <w:rPr>
          <w:lang w:val="en-US"/>
        </w:rPr>
        <w:t>Because that’s the term for which the theory was generated, i.e. it concerns a specific term of the CCC for which it applies.</w:t>
      </w:r>
      <w:r w:rsidR="00DB0C3F" w:rsidRPr="00BD15DA">
        <w:rPr>
          <w:lang w:val="en-US"/>
        </w:rPr>
        <w:t xml:space="preserve"> The voting bloc/coalition theory was developed only for the 3rd term of the CCC (</w:t>
      </w:r>
      <w:r w:rsidR="00F55047">
        <w:rPr>
          <w:lang w:val="en-US"/>
        </w:rPr>
        <w:t>which</w:t>
      </w:r>
      <w:r w:rsidR="00DB0C3F" w:rsidRPr="00BD15DA">
        <w:rPr>
          <w:lang w:val="en-US"/>
        </w:rPr>
        <w:t xml:space="preserve"> is currently entering its fourth term/decade).</w:t>
      </w:r>
    </w:p>
    <w:p w14:paraId="4A189D1E" w14:textId="27013CBE" w:rsidR="00630C9A" w:rsidRPr="00DA4EEC" w:rsidRDefault="00630C9A" w:rsidP="00DA4EEC">
      <w:pPr>
        <w:rPr>
          <w:b/>
          <w:bCs/>
          <w:lang w:val="en-US"/>
        </w:rPr>
      </w:pPr>
      <w:r w:rsidRPr="00DA4EEC">
        <w:rPr>
          <w:b/>
          <w:bCs/>
          <w:lang w:val="en-US"/>
        </w:rPr>
        <w:t>The authors show and discuss the results of the logit specification without commenting on the magnitude of the effects. It would be interesting and relevant to also comment on the effects’ size.</w:t>
      </w:r>
    </w:p>
    <w:p w14:paraId="55EF13AC" w14:textId="7435E534" w:rsidR="00E169CA" w:rsidRPr="00BD15DA" w:rsidRDefault="00E169CA" w:rsidP="00DA4EEC">
      <w:pPr>
        <w:rPr>
          <w:lang w:val="en-US"/>
        </w:rPr>
      </w:pPr>
      <w:r w:rsidRPr="00BD15DA">
        <w:rPr>
          <w:lang w:val="en-US"/>
        </w:rPr>
        <w:t>We have exponentiated the estimates and discuss their magnitude in terms of change of the odds of the dependent variable.</w:t>
      </w:r>
    </w:p>
    <w:p w14:paraId="2D5054A0" w14:textId="77777777" w:rsidR="00630C9A" w:rsidRPr="00BD15DA" w:rsidRDefault="00630C9A" w:rsidP="00630C9A">
      <w:pPr>
        <w:pStyle w:val="Heading2"/>
        <w:rPr>
          <w:lang w:val="en-US"/>
        </w:rPr>
      </w:pPr>
      <w:r w:rsidRPr="00BD15DA">
        <w:rPr>
          <w:rStyle w:val="Emphasis"/>
          <w:i w:val="0"/>
          <w:iCs w:val="0"/>
          <w:lang w:val="en-US"/>
        </w:rPr>
        <w:t>Minor comments</w:t>
      </w:r>
    </w:p>
    <w:p w14:paraId="7DCB57F6" w14:textId="735130D3" w:rsidR="00630C9A" w:rsidRPr="0081732E" w:rsidRDefault="00630C9A" w:rsidP="0081732E">
      <w:pPr>
        <w:rPr>
          <w:b/>
          <w:bCs/>
          <w:lang w:val="en-US"/>
        </w:rPr>
      </w:pPr>
      <w:r w:rsidRPr="0081732E">
        <w:rPr>
          <w:b/>
          <w:bCs/>
          <w:lang w:val="en-US"/>
        </w:rPr>
        <w:t>Tables and figures should be complemented with proper footnotes as to make them readily understandable to readers.</w:t>
      </w:r>
    </w:p>
    <w:p w14:paraId="555E0F24" w14:textId="0B6D7357" w:rsidR="006D2AF1" w:rsidRPr="006D2AF1" w:rsidRDefault="006D2AF1" w:rsidP="0081732E">
      <w:pPr>
        <w:rPr>
          <w:lang w:val="en-US"/>
        </w:rPr>
      </w:pPr>
      <w:r>
        <w:rPr>
          <w:lang w:val="en-US"/>
        </w:rPr>
        <w:t>The footnotes have been added and edited so that they are more proper.</w:t>
      </w:r>
    </w:p>
    <w:p w14:paraId="7CFA7066" w14:textId="007E0E96" w:rsidR="00630C9A" w:rsidRPr="0081732E" w:rsidRDefault="00630C9A" w:rsidP="0081732E">
      <w:pPr>
        <w:rPr>
          <w:b/>
          <w:bCs/>
          <w:lang w:val="en-US"/>
        </w:rPr>
      </w:pPr>
      <w:r w:rsidRPr="0081732E">
        <w:rPr>
          <w:b/>
          <w:bCs/>
          <w:lang w:val="en-US"/>
        </w:rPr>
        <w:t xml:space="preserve">Rather than individual tables for some selected variables (e.g., Tables 3 and 4), the authors should be </w:t>
      </w:r>
      <w:proofErr w:type="gramStart"/>
      <w:r w:rsidRPr="0081732E">
        <w:rPr>
          <w:b/>
          <w:bCs/>
          <w:lang w:val="en-US"/>
        </w:rPr>
        <w:t>provide</w:t>
      </w:r>
      <w:proofErr w:type="gramEnd"/>
      <w:r w:rsidRPr="0081732E">
        <w:rPr>
          <w:b/>
          <w:bCs/>
          <w:lang w:val="en-US"/>
        </w:rPr>
        <w:t xml:space="preserve"> a comprehensive table reporting the descriptive statistics for all the variables included in their models.</w:t>
      </w:r>
    </w:p>
    <w:p w14:paraId="050ABBD3" w14:textId="3C96EBF7" w:rsidR="007E6A12" w:rsidRPr="00BD15DA" w:rsidRDefault="007E6A12" w:rsidP="0081732E">
      <w:pPr>
        <w:rPr>
          <w:lang w:val="en-US"/>
        </w:rPr>
      </w:pPr>
      <w:r w:rsidRPr="00BD15DA">
        <w:rPr>
          <w:lang w:val="en-US"/>
        </w:rPr>
        <w:t>This has been redone.</w:t>
      </w:r>
      <w:r w:rsidR="00226150">
        <w:rPr>
          <w:lang w:val="en-US"/>
        </w:rPr>
        <w:t xml:space="preserve"> Now there are comprehensive tables divided by the type of variables (discrete</w:t>
      </w:r>
      <w:r w:rsidR="00816DC3">
        <w:rPr>
          <w:lang w:val="en-US"/>
        </w:rPr>
        <w:t xml:space="preserve"> categorical</w:t>
      </w:r>
      <w:r w:rsidR="00226150">
        <w:rPr>
          <w:lang w:val="en-US"/>
        </w:rPr>
        <w:t xml:space="preserve"> vs continuous variables).</w:t>
      </w:r>
    </w:p>
    <w:p w14:paraId="2EB6F8CF" w14:textId="5A2E4CEB" w:rsidR="00630C9A" w:rsidRPr="0081732E" w:rsidRDefault="00630C9A" w:rsidP="0081732E">
      <w:pPr>
        <w:rPr>
          <w:b/>
          <w:bCs/>
          <w:lang w:val="en-US"/>
        </w:rPr>
      </w:pPr>
      <w:r w:rsidRPr="0081732E">
        <w:rPr>
          <w:b/>
          <w:bCs/>
          <w:lang w:val="en-US"/>
        </w:rPr>
        <w:t xml:space="preserve">At pag.19, the authors explain how they construct the variable capturing the salience of a case. </w:t>
      </w:r>
      <w:proofErr w:type="gramStart"/>
      <w:r w:rsidRPr="0081732E">
        <w:rPr>
          <w:b/>
          <w:bCs/>
          <w:lang w:val="en-US"/>
        </w:rPr>
        <w:t>In particular, they</w:t>
      </w:r>
      <w:proofErr w:type="gramEnd"/>
      <w:r w:rsidRPr="0081732E">
        <w:rPr>
          <w:b/>
          <w:bCs/>
          <w:lang w:val="en-US"/>
        </w:rPr>
        <w:t xml:space="preserve"> specify the subject matters identified as controversial. It would be good to know what is then left out as uncontroversial.</w:t>
      </w:r>
    </w:p>
    <w:p w14:paraId="52C0D1D1" w14:textId="6A0075A1" w:rsidR="003B4224" w:rsidRPr="00A5696A" w:rsidRDefault="00A5696A" w:rsidP="0081732E">
      <w:pPr>
        <w:rPr>
          <w:lang w:val="en-US"/>
        </w:rPr>
      </w:pPr>
      <w:r>
        <w:rPr>
          <w:lang w:val="en-US"/>
        </w:rPr>
        <w:t>We added a couple of examples of uncontroversial topics.</w:t>
      </w:r>
    </w:p>
    <w:p w14:paraId="65B7F67B" w14:textId="77777777" w:rsidR="00E93982" w:rsidRPr="00BD15DA" w:rsidRDefault="00E93982" w:rsidP="00E93982">
      <w:pPr>
        <w:pStyle w:val="Heading1"/>
        <w:rPr>
          <w:lang w:val="en-US"/>
        </w:rPr>
      </w:pPr>
      <w:r w:rsidRPr="00BD15DA">
        <w:rPr>
          <w:lang w:val="en-US"/>
        </w:rPr>
        <w:t>Editor</w:t>
      </w:r>
    </w:p>
    <w:p w14:paraId="5D77AA31" w14:textId="77777777" w:rsidR="00E93982" w:rsidRPr="00BD15DA" w:rsidRDefault="00E93982" w:rsidP="00E93982">
      <w:pPr>
        <w:rPr>
          <w:b/>
          <w:bCs/>
          <w:lang w:val="en-US"/>
        </w:rPr>
      </w:pPr>
      <w:r w:rsidRPr="00BD15DA">
        <w:rPr>
          <w:b/>
          <w:bCs/>
          <w:lang w:val="en-US"/>
        </w:rPr>
        <w:t>Additionally, there should be a covariate for partisanship, ideally the standard ideological distance between the rapporteur and the voting justice (resulting, for example, from ideal point estimation). Alternatively, party affiliation of the appointer or some equivalent measure.</w:t>
      </w:r>
    </w:p>
    <w:p w14:paraId="52C90E04" w14:textId="060C38B2" w:rsidR="00E93982" w:rsidRPr="00BD15DA" w:rsidRDefault="00E93982" w:rsidP="00E93982">
      <w:pPr>
        <w:rPr>
          <w:lang w:val="en-US"/>
        </w:rPr>
      </w:pPr>
      <w:r w:rsidRPr="00BD15DA">
        <w:rPr>
          <w:lang w:val="en-US"/>
        </w:rPr>
        <w:lastRenderedPageBreak/>
        <w:t>Here we present a lengthy answer to the editor’s suggestion. We summarize the ensuing discussion in the Identification section of our article. Unfortunately, we believe it to be impossible theoretically as well as practically to control for partisanship.</w:t>
      </w:r>
    </w:p>
    <w:p w14:paraId="1E1F2FBC" w14:textId="7A1B5A64" w:rsidR="000D6CDE" w:rsidRDefault="00E93982" w:rsidP="00E93982">
      <w:pPr>
        <w:rPr>
          <w:lang w:val="en-US"/>
        </w:rPr>
      </w:pPr>
      <w:r w:rsidRPr="00BD15DA">
        <w:rPr>
          <w:lang w:val="en-US"/>
        </w:rPr>
        <w:t>Theoretically, we are doubtful that partisanship presents a potential confounding potential. The CCC judges are nominated and appointed by the President of the Republic, who traditionally plays an apolitical role in the Czech political system</w:t>
      </w:r>
      <w:r w:rsidR="000A03C0">
        <w:rPr>
          <w:lang w:val="en-US"/>
        </w:rPr>
        <w:t>. T</w:t>
      </w:r>
      <w:r w:rsidRPr="00BD15DA">
        <w:rPr>
          <w:lang w:val="en-US"/>
        </w:rPr>
        <w:t>he CCC judges are not political candidates of Czech political parties [as in the case of the US or of Spain</w:t>
      </w:r>
      <w:r w:rsidR="00491E94">
        <w:rPr>
          <w:lang w:val="en-US"/>
        </w:rPr>
        <w:t xml:space="preserve"> </w:t>
      </w:r>
      <w:r w:rsidR="00491E94">
        <w:rPr>
          <w:lang w:val="en-US"/>
        </w:rPr>
        <w:fldChar w:fldCharType="begin"/>
      </w:r>
      <w:r w:rsidR="00491E94">
        <w:rPr>
          <w:lang w:val="en-US"/>
        </w:rPr>
        <w:instrText xml:space="preserve"> ADDIN ZOTERO_ITEM CSL_CITATION {"citationID":"Qa4aBtcv","properties":{"formattedCitation":"(Hanretty 2012)","plainCitation":"(Hanretty 2012)","noteIndex":0},"citationItems":[{"id":1129,"uris":["http://zotero.org/users/4628104/items/QHQT4M6N"],"itemData":{"id":1129,"type":"article-journal","abstract":"In this article, the non-unanimous decisions of the Portuguese and Spanish Constitutional Tribunals for the periods 1989–2009 and 2000–2009 are analysed. It is shown that judicial dissent can be predicted moderately well on the basis of judicial ideal points along a single dimension. This dimension is equivalent to the left–right cleavage in both Portugal and Spain. The characteristics of the recovered dimension are demonstrated by analysing both the properties of the cases and the properties of the justices who decided them.","container-title":"European Journal of Political Research","DOI":"10.1111/j.1475-6765.2012.02056.x","ISSN":"1475-6765","issue":"5","language":"en","note":"_eprint: https://onlinelibrary.wiley.com/doi/pdf/10.1111/j.1475-6765.2012.02056.x","page":"671-692","source":"Wiley Online Library","title":"Dissent in Iberia: The ideal points of justices on the Spanish and Portuguese Constitutional Tribunals","title-short":"Dissent in Iberia","volume":"51","author":[{"family":"Hanretty","given":"Chris"}],"issued":{"date-parts":[["2012"]]},"citation-key":"hanrettyDissentIberiaIdeal2012"}}],"schema":"https://github.com/citation-style-language/schema/raw/master/csl-citation.json"} </w:instrText>
      </w:r>
      <w:r w:rsidR="00491E94">
        <w:rPr>
          <w:lang w:val="en-US"/>
        </w:rPr>
        <w:fldChar w:fldCharType="separate"/>
      </w:r>
      <w:r w:rsidR="00491E94">
        <w:rPr>
          <w:noProof/>
          <w:lang w:val="en-US"/>
        </w:rPr>
        <w:t>(Hanretty 2012)</w:t>
      </w:r>
      <w:r w:rsidR="00491E94">
        <w:rPr>
          <w:lang w:val="en-US"/>
        </w:rPr>
        <w:fldChar w:fldCharType="end"/>
      </w:r>
      <w:r w:rsidRPr="00BD15DA">
        <w:rPr>
          <w:lang w:val="en-US"/>
        </w:rPr>
        <w:t xml:space="preserve">]. </w:t>
      </w:r>
      <w:r w:rsidR="00491E94">
        <w:rPr>
          <w:lang w:val="en-US"/>
        </w:rPr>
        <w:fldChar w:fldCharType="begin"/>
      </w:r>
      <w:r w:rsidR="00491E94">
        <w:rPr>
          <w:lang w:val="en-US"/>
        </w:rPr>
        <w:instrText xml:space="preserve"> ADDIN ZOTERO_ITEM CSL_CITATION {"citationID":"6po4KPcg","properties":{"formattedCitation":"(\\uc0\\u352{}ipulov\\uc0\\u225{} 2018)","plainCitation":"(Šipulová 2018)","noteIndex":0},"citationItems":[{"id":2702,"uris":["http://zotero.org/users/4628104/items/KLKCRZNC"],"itemData":{"id":2702,"type":"chapter","abstract":"Although the Czech Constitutional Court (CCC) started as a fairly low-key institution, nowadays it is often praised as a particularly strong actor of the domestic political system, thus earning a prominent position among the Central and East European constitutional courts. Yet, the evidence of the CCC’s activity and effect of its case law, especially towards the legislator, stands mostly on anecdotal evidence. This chapter aims to fill the gap in the existing literature and examines the role of the CCC in the legislative process and its relationship towards the Czech parliament. The chapter combines both quantitative analysis, building on a dataset produced by the JUDICON project, and qualitative assessment of the most important constitutional review cases delivered between 1993 and 2015. Recent developments, undue political pressure and interference with domestic courts sweeping through many CEE countries bring the question of the relationship between constitutional courts and parliaments to the forefront of academic attention. The chapter shows that the CCC built its renomé despite leaving the legislator much room to manoeuvre, which, in return, might have helped prevent more serious political interference and undue pressure.","container-title":"Constitutional Politics and the Judiciary","ISBN":"978-0-429-46709-7","note":"number-of-pages: 29","publisher":"Routledge","title":"The Czech Constitutional Court: Far away from political influence","title-short":"The Czech Constitutional Court","author":[{"family":"Šipulová","given":"Katarína"}],"issued":{"date-parts":[["2018"]]},"citation-key":"sipulovaCzechConstitutionalCourt2018"}}],"schema":"https://github.com/citation-style-language/schema/raw/master/csl-citation.json"} </w:instrText>
      </w:r>
      <w:r w:rsidR="00491E94">
        <w:rPr>
          <w:lang w:val="en-US"/>
        </w:rPr>
        <w:fldChar w:fldCharType="separate"/>
      </w:r>
      <w:r w:rsidR="00491E94" w:rsidRPr="00491E94">
        <w:rPr>
          <w:rFonts w:ascii="Aptos" w:cs="Times New Roman"/>
          <w:kern w:val="0"/>
          <w:lang w:val="en-GB"/>
        </w:rPr>
        <w:t>(Šipulová 2018)</w:t>
      </w:r>
      <w:r w:rsidR="00491E94">
        <w:rPr>
          <w:lang w:val="en-US"/>
        </w:rPr>
        <w:fldChar w:fldCharType="end"/>
      </w:r>
      <w:r w:rsidR="00491E94">
        <w:rPr>
          <w:lang w:val="en-US"/>
        </w:rPr>
        <w:t xml:space="preserve"> </w:t>
      </w:r>
      <w:r w:rsidRPr="00BD15DA">
        <w:rPr>
          <w:lang w:val="en-US"/>
        </w:rPr>
        <w:t xml:space="preserve">has argued that the CCC has been relative spared of political influence. If anything, the role of political preferences would be much more complex than a simple </w:t>
      </w:r>
      <w:proofErr w:type="spellStart"/>
      <w:r w:rsidRPr="00BD15DA">
        <w:rPr>
          <w:lang w:val="en-US"/>
        </w:rPr>
        <w:t>uni</w:t>
      </w:r>
      <w:proofErr w:type="spellEnd"/>
      <w:r w:rsidRPr="00BD15DA">
        <w:rPr>
          <w:lang w:val="en-US"/>
        </w:rPr>
        <w:t xml:space="preserve">-dimensional conservative/liberal </w:t>
      </w:r>
      <w:r w:rsidR="000A03C0">
        <w:rPr>
          <w:lang w:val="en-US"/>
        </w:rPr>
        <w:t xml:space="preserve">or left-right </w:t>
      </w:r>
      <w:r w:rsidRPr="00BD15DA">
        <w:rPr>
          <w:lang w:val="en-US"/>
        </w:rPr>
        <w:t>split and would vary across areas of law</w:t>
      </w:r>
      <w:r w:rsidR="000D6CDE">
        <w:rPr>
          <w:lang w:val="en-US"/>
        </w:rPr>
        <w:t xml:space="preserve"> as the point estimation techniques usually place the justices on </w:t>
      </w:r>
      <w:proofErr w:type="gramStart"/>
      <w:r w:rsidR="000D6CDE">
        <w:rPr>
          <w:lang w:val="en-US"/>
        </w:rPr>
        <w:t>an</w:t>
      </w:r>
      <w:proofErr w:type="gramEnd"/>
      <w:r w:rsidR="000D6CDE">
        <w:rPr>
          <w:lang w:val="en-US"/>
        </w:rPr>
        <w:t xml:space="preserve"> unidimensional space</w:t>
      </w:r>
      <w:r w:rsidRPr="00BD15DA">
        <w:rPr>
          <w:lang w:val="en-US"/>
        </w:rPr>
        <w:t>.</w:t>
      </w:r>
      <w:r w:rsidR="000D6CDE">
        <w:rPr>
          <w:lang w:val="en-US"/>
        </w:rPr>
        <w:t xml:space="preserve"> </w:t>
      </w:r>
    </w:p>
    <w:p w14:paraId="062B7EBB" w14:textId="57AE482C" w:rsidR="00E93982" w:rsidRPr="00BD15DA" w:rsidRDefault="00E93982" w:rsidP="00E93982">
      <w:pPr>
        <w:rPr>
          <w:lang w:val="en-US"/>
        </w:rPr>
      </w:pPr>
      <w:r w:rsidRPr="00BD15DA">
        <w:rPr>
          <w:lang w:val="en-US"/>
        </w:rPr>
        <w:t xml:space="preserve">For example, one could argue that different aspects of political preferences come into play into cases concerning fundamental human rights (therein a traditional conservative/progressive split would be relevant), procedural issues (therein a preference regarding the role of the judiciary/the CCC – i.e. for example the degree of judicial activism and fairness would be important), or issues of taxes (therein a traditional left-right wing split would come into play. While in the US, most of such differences may be mapped into a bipolar unidimensional space as the whole political system is divided into two parties, in Czechia the political landscape consists of many small parties shaped around different issues and different preferences. </w:t>
      </w:r>
    </w:p>
    <w:p w14:paraId="4DA98627" w14:textId="77777777" w:rsidR="00E93982" w:rsidRPr="00BD15DA" w:rsidRDefault="00E93982" w:rsidP="00E93982">
      <w:pPr>
        <w:rPr>
          <w:lang w:val="en-US"/>
        </w:rPr>
      </w:pPr>
      <w:r w:rsidRPr="00BD15DA">
        <w:rPr>
          <w:lang w:val="en-US"/>
        </w:rPr>
        <w:t xml:space="preserve">Moreover, theoretically, only variables that cause omitted variable biases </w:t>
      </w:r>
      <w:proofErr w:type="gramStart"/>
      <w:r w:rsidRPr="00BD15DA">
        <w:rPr>
          <w:lang w:val="en-US"/>
        </w:rPr>
        <w:t>as a result of</w:t>
      </w:r>
      <w:proofErr w:type="gramEnd"/>
      <w:r w:rsidRPr="00BD15DA">
        <w:rPr>
          <w:lang w:val="en-US"/>
        </w:rPr>
        <w:t xml:space="preserve"> confounding, i.e. being correlated both with the X of interest as well of Y of interest, are to be controlled for. While it is always possible to “include a battery of control variables” (as Reviewer #2 writes), the price the researcher pays is the increased variance of the parameter estimates as the variance of estimates of parameters of the X covariates increases with the degree of correlation of x with other covariates </w:t>
      </w:r>
      <w:r w:rsidRPr="00BD15DA">
        <w:rPr>
          <w:lang w:val="en-US"/>
        </w:rPr>
        <w:fldChar w:fldCharType="begin"/>
      </w:r>
      <w:r w:rsidRPr="00BD15DA">
        <w:rPr>
          <w:lang w:val="en-US"/>
        </w:rPr>
        <w:instrText xml:space="preserve"> ADDIN ZOTERO_ITEM CSL_CITATION {"citationID":"yj32oF0i","properties":{"formattedCitation":"(Wooldridge 2019)","plainCitation":"(Wooldridge 2019)","noteIndex":0},"citationItems":[{"id":1453,"uris":["http://zotero.org/users/4628104/items/TI9HCWTF"],"itemData":{"id":1453,"type":"book","abstract":"Gain an understanding of how econometrics can answer today's questions in business, policy evaluation and forecasting with Wooldridge's INTRODUCTORY ECONOMETRICS: A MODERN APPROACH, 7E. This edition's practical, yet professional, approach demonstrates how econometrics has moved beyond a set of abstract tools to become genuinely useful for answering questions across a variety of disciplines. Information is organized around the type of data being analyzed, using a systematic approach that only introduces assumptions as they are needed. This makes the material easier to understand and, ultimately, leads to better econometric practices. Packed with relevant applications, this edition incorporates more than 100 intriguing data sets in different formats. Updates introduce the latest developments in the field, including recent advances in the so-called “causal effects” or “treatment effects” literature, for an understanding of the impact and importance of econometrics today.Important Notice: Media content referenced within the product description or the product text may not be available in the ebook version.","ISBN":"978-1-337-55886-0","language":"en","note":"Google-Books-ID: 0p9_tQEACAAJ","number-of-pages":"816","publisher":"Cengage Learning","source":"Google Books","title":"Introductory Econometrics: A Modern Approach","title-short":"Introductory Econometrics","author":[{"family":"Wooldridge","given":"Jeffrey M."}],"issued":{"date-parts":[["2019",1,4]]},"citation-key":"wooldridgeIntroductoryEconometricsModern2019"}}],"schema":"https://github.com/citation-style-language/schema/raw/master/csl-citation.json"} </w:instrText>
      </w:r>
      <w:r w:rsidRPr="00BD15DA">
        <w:rPr>
          <w:lang w:val="en-US"/>
        </w:rPr>
        <w:fldChar w:fldCharType="separate"/>
      </w:r>
      <w:r w:rsidRPr="00BD15DA">
        <w:rPr>
          <w:noProof/>
          <w:lang w:val="en-US"/>
        </w:rPr>
        <w:t>(Wooldridge 2019)</w:t>
      </w:r>
      <w:r w:rsidRPr="00BD15DA">
        <w:rPr>
          <w:lang w:val="en-US"/>
        </w:rPr>
        <w:fldChar w:fldCharType="end"/>
      </w:r>
      <w:r w:rsidRPr="00BD15DA">
        <w:rPr>
          <w:lang w:val="en-US"/>
        </w:rPr>
        <w:t xml:space="preserve"> – an effect known as the bias variance tradeoff. Theoretically, we can reasonably expect political preferences to be correlated with the decision whether to dissent or not, the Y. Are political preferences correlated with workload, with the career choices of lawyers, with the time of their appointment as a CCC judge, with number of citations that a case contains? We are doubtful, especially given that we do not expect the role of political preferences to be strong in the first place.</w:t>
      </w:r>
    </w:p>
    <w:p w14:paraId="7B8C652C" w14:textId="77777777" w:rsidR="00E93982" w:rsidRPr="00BD15DA" w:rsidRDefault="00E93982" w:rsidP="00E93982">
      <w:pPr>
        <w:rPr>
          <w:lang w:val="en-US"/>
        </w:rPr>
      </w:pPr>
      <w:r w:rsidRPr="00BD15DA">
        <w:rPr>
          <w:lang w:val="en-US"/>
        </w:rPr>
        <w:t xml:space="preserve">Practically, we can neither directly estimate it using the voting behavior of justices </w:t>
      </w:r>
      <w:r w:rsidRPr="00BD15DA">
        <w:rPr>
          <w:lang w:val="en-US"/>
        </w:rPr>
        <w:fldChar w:fldCharType="begin"/>
      </w:r>
      <w:r w:rsidRPr="00BD15DA">
        <w:rPr>
          <w:lang w:val="en-US"/>
        </w:rPr>
        <w:instrText xml:space="preserve"> ADDIN ZOTERO_ITEM CSL_CITATION {"citationID":"bF9z63tJ","properties":{"formattedCitation":"(Segal and Spaeth 2002)","plainCitation":"(Segal and Spaeth 2002)","noteIndex":0},"citationItems":[{"id":2389,"uris":["http://zotero.org/users/4628104/items/ANJB2C5M"],"itemData":{"id":2389,"type":"book","abstract":"Authored by two leading scholars of the Supreme Court and its policy making, this study systematically presents and validates the use of the attitudinal model to explain and predict Supreme Court decision making. In the process, it critiques the two major alternative models of Supreme Court decision making and their major variants--the legal and rational choice. Using the U.S. Supreme Court Data Base, the justices' private papers, and other sources of information, the book analyzes the appointment process, certiorari, the decision on the merits, opinion assignments, and the formation of opinion coalitions.","ISBN":"978-0-521-78971-4","language":"en","note":"Google-Books-ID: ULG_G5xLTCwC","number-of-pages":"484","publisher":"Cambridge University Press","source":"Google Books","title":"The Supreme Court and the Attitudinal Model Revisited","author":[{"family":"Segal","given":"Jeffrey A."},{"family":"Spaeth","given":"Harold J."}],"issued":{"date-parts":[["2002",9,16]]},"citation-key":"segalSupremeCourtAttitudinal2002"}}],"schema":"https://github.com/citation-style-language/schema/raw/master/csl-citation.json"} </w:instrText>
      </w:r>
      <w:r w:rsidRPr="00BD15DA">
        <w:rPr>
          <w:lang w:val="en-US"/>
        </w:rPr>
        <w:fldChar w:fldCharType="separate"/>
      </w:r>
      <w:r w:rsidRPr="00BD15DA">
        <w:rPr>
          <w:noProof/>
          <w:lang w:val="en-US"/>
        </w:rPr>
        <w:t>(Segal and Spaeth 2002)</w:t>
      </w:r>
      <w:r w:rsidRPr="00BD15DA">
        <w:rPr>
          <w:lang w:val="en-US"/>
        </w:rPr>
        <w:fldChar w:fldCharType="end"/>
      </w:r>
      <w:r w:rsidRPr="00BD15DA">
        <w:rPr>
          <w:lang w:val="en-US"/>
        </w:rPr>
        <w:t xml:space="preserve">, because the votes of the CCC judges are not published, nor can we rely on the separate opinions themselves to produce point estimates of the political positions of judges. We are very well aware of the research on employment of IRT models to estimate the political position of judges </w:t>
      </w:r>
      <w:r w:rsidRPr="00BD15DA">
        <w:rPr>
          <w:lang w:val="en-US"/>
        </w:rPr>
        <w:fldChar w:fldCharType="begin"/>
      </w:r>
      <w:r w:rsidRPr="00BD15DA">
        <w:rPr>
          <w:lang w:val="en-US"/>
        </w:rPr>
        <w:instrText xml:space="preserve"> ADDIN ZOTERO_ITEM CSL_CITATION {"citationID":"sElcIj5f","properties":{"formattedCitation":"(Hanretty 2012; Varol, Dalla Pellegrina, and Garoupa 2017)","plainCitation":"(Hanretty 2012; Varol, Dalla Pellegrina, and Garoupa 2017)","noteIndex":0},"citationItems":[{"id":1129,"uris":["http://zotero.org/users/4628104/items/QHQT4M6N"],"itemData":{"id":1129,"type":"article-journal","abstract":"In this article, the non-unanimous decisions of the Portuguese and Spanish Constitutional Tribunals for the periods 1989–2009 and 2000–2009 are analysed. It is shown that judicial dissent can be predicted moderately well on the basis of judicial ideal points along a single dimension. This dimension is equivalent to the left–right cleavage in both Portugal and Spain. The characteristics of the recovered dimension are demonstrated by analysing both the properties of the cases and the properties of the justices who decided them.","container-title":"European Journal of Political Research","DOI":"10.1111/j.1475-6765.2012.02056.x","ISSN":"1475-6765","issue":"5","language":"en","note":"_eprint: https://onlinelibrary.wiley.com/doi/pdf/10.1111/j.1475-6765.2012.02056.x","page":"671-692","source":"Wiley Online Library","title":"Dissent in Iberia: The ideal points of justices on the Spanish and Portuguese Constitutional Tribunals","title-short":"Dissent in Iberia","volume":"51","author":[{"family":"Hanretty","given":"Chris"}],"issued":{"date-parts":[["2012"]]},"citation-key":"hanrettyDissentIberiaIdeal2012"}},{"id":2712,"uris":["http://zotero.org/users/4628104/items/ADN4SRL4"],"itemData":{"id":2712,"type":"article-journal","abstract":"Constitutional amendments in September 2010 restructured the Turkish Constitutional Court (TCC) by imposing term limits, adding six additional seats to the Court, and bolstering the role of the political branches in the appointments process. Numerous commentators have argued that the structural reforms amounted to court packing, influenced court decisions in substantive ways, and undermined the TCC’s ability to serve as an effective check on the political branches. But aside from speculation and normative analyses of isolated TCC decisions, there has been no systematic academic study on the consequences of the reforms. In this Article, we aim to fill this scholarly gap. By making use of an original dataset of 200 cases, randomly chosen for the period 2007–2014, we test the extent to which these reforms have changed judicial behavior. Our findings show a significant break in 2010 in the ideological position of the Court and detect a conservative ideological shift following the reforms that is increasing in magnitude over time. This shift, however, has not yet affected judicial outcomes in a statistically significant manner. We explain these results and discuss their implications.","container-title":"The American Journal of Comparative Law","DOI":"10.1093/ajcl/avx013","ISSN":"0002-919X","issue":"1","journalAbbreviation":"The American Journal of Comparative Law","page":"187-216","source":"Silverchair","title":"An Empirical Analysis of Judicial Transformation in Turkey†","volume":"65","author":[{"family":"Varol","given":"Ozan O."},{"family":"Dalla Pellegrina","given":"Lucia"},{"family":"Garoupa","given":"Nuno"}],"issued":{"date-parts":[["2017",3,1]]},"citation-key":"varolEmpiricalAnalysisJudicial2017"}}],"schema":"https://github.com/citation-style-language/schema/raw/master/csl-citation.json"} </w:instrText>
      </w:r>
      <w:r w:rsidRPr="00BD15DA">
        <w:rPr>
          <w:lang w:val="en-US"/>
        </w:rPr>
        <w:fldChar w:fldCharType="separate"/>
      </w:r>
      <w:r w:rsidRPr="00BD15DA">
        <w:rPr>
          <w:noProof/>
          <w:lang w:val="en-US"/>
        </w:rPr>
        <w:t>(Hanretty 2012; Varol, Dalla Pellegrina, and Garoupa 2017)</w:t>
      </w:r>
      <w:r w:rsidRPr="00BD15DA">
        <w:rPr>
          <w:lang w:val="en-US"/>
        </w:rPr>
        <w:fldChar w:fldCharType="end"/>
      </w:r>
      <w:r w:rsidRPr="00BD15DA">
        <w:rPr>
          <w:lang w:val="en-US"/>
        </w:rPr>
        <w:t xml:space="preserve">. However, at the CCC a vote against the majority </w:t>
      </w:r>
      <w:r w:rsidRPr="00BD15DA">
        <w:rPr>
          <w:lang w:val="en-US"/>
        </w:rPr>
        <w:lastRenderedPageBreak/>
        <w:t>resolution does not necessitate a separate opinion, therefore, there is no clear link between a separate opinion and a vote of the judge. What’s more, estimating political preferences via dissenting behavior of the judges would introduce endogeneity into our model as it would be determined and measured through the dependent variable, the dissenting behavior.</w:t>
      </w:r>
    </w:p>
    <w:p w14:paraId="54125579" w14:textId="77777777" w:rsidR="00E93982" w:rsidRPr="00BD15DA" w:rsidRDefault="00E93982" w:rsidP="00E93982">
      <w:pPr>
        <w:rPr>
          <w:lang w:val="en-US"/>
        </w:rPr>
      </w:pPr>
      <w:r w:rsidRPr="00BD15DA">
        <w:rPr>
          <w:lang w:val="en-US"/>
        </w:rPr>
        <w:t xml:space="preserve">Finally, one of the authors of the articles permits themselves to engage with the two articles and would be happy to hear a response from the editor/anyone interested in an academic discussion. </w:t>
      </w:r>
    </w:p>
    <w:p w14:paraId="5E65F2F9" w14:textId="77777777" w:rsidR="00E93982" w:rsidRPr="00BD15DA" w:rsidRDefault="00E93982" w:rsidP="00E93982">
      <w:pPr>
        <w:rPr>
          <w:lang w:val="en-US"/>
        </w:rPr>
      </w:pPr>
      <w:r w:rsidRPr="00BD15DA">
        <w:rPr>
          <w:lang w:val="en-US"/>
        </w:rPr>
        <w:t>As I wrote above, I am not convinced by simply estimating the position of a judge based on their dissenting behavior, inasmuch the assumption that dissent = vote against a certain decision, lack of dissent = vote for the decision does not hold. If the assumption does not hold and if the “propensity”</w:t>
      </w:r>
      <w:r w:rsidRPr="00BD15DA">
        <w:rPr>
          <w:rStyle w:val="FootnoteReference"/>
          <w:lang w:val="en-US"/>
        </w:rPr>
        <w:footnoteReference w:id="1"/>
      </w:r>
      <w:r w:rsidRPr="00BD15DA">
        <w:rPr>
          <w:lang w:val="en-US"/>
        </w:rPr>
        <w:t xml:space="preserve"> to dissent given a vote against a majority systematically differs among judges, then the estimates of the political position simply based on the dissenting behavior must be logically biased. </w:t>
      </w:r>
    </w:p>
    <w:p w14:paraId="08272981" w14:textId="77777777" w:rsidR="00E93982" w:rsidRPr="00BD15DA" w:rsidRDefault="00E93982" w:rsidP="00E93982">
      <w:pPr>
        <w:rPr>
          <w:lang w:val="en-US"/>
        </w:rPr>
      </w:pPr>
      <w:r w:rsidRPr="00BD15DA">
        <w:rPr>
          <w:lang w:val="en-US"/>
        </w:rPr>
        <w:t xml:space="preserve">Based on the interviews we conducted with the CCC judges, we know that the propensity to dissent varies strongly depending, for example, on the judges’ perception of the role of the judiciary (i.e. whether courts should be viewed as unanimous bodies otherwise their legitimacy would be damaged or whether, on the contrary, showing disagreement increases the </w:t>
      </w:r>
      <w:proofErr w:type="spellStart"/>
      <w:r w:rsidRPr="00BD15DA">
        <w:rPr>
          <w:lang w:val="en-US"/>
        </w:rPr>
        <w:t>legimitacy</w:t>
      </w:r>
      <w:proofErr w:type="spellEnd"/>
      <w:r w:rsidRPr="00BD15DA">
        <w:rPr>
          <w:lang w:val="en-US"/>
        </w:rPr>
        <w:t xml:space="preserve"> in public’s eyes).</w:t>
      </w:r>
    </w:p>
    <w:p w14:paraId="616FF4AE" w14:textId="7F04D3D7" w:rsidR="00E93982" w:rsidRPr="00BD15DA" w:rsidRDefault="00E93982" w:rsidP="00E93982">
      <w:pPr>
        <w:rPr>
          <w:lang w:val="en-US"/>
        </w:rPr>
      </w:pPr>
      <w:r w:rsidRPr="00BD15DA">
        <w:rPr>
          <w:lang w:val="en-US"/>
        </w:rPr>
        <w:t xml:space="preserve">Out of the </w:t>
      </w:r>
      <w:r w:rsidR="00AE52CD">
        <w:rPr>
          <w:lang w:val="en-US"/>
        </w:rPr>
        <w:t>two studies</w:t>
      </w:r>
      <w:r w:rsidR="00557A2F">
        <w:rPr>
          <w:lang w:val="en-US"/>
        </w:rPr>
        <w:t xml:space="preserve"> </w:t>
      </w:r>
      <w:r w:rsidR="00557A2F">
        <w:rPr>
          <w:lang w:val="en-US"/>
        </w:rPr>
        <w:fldChar w:fldCharType="begin"/>
      </w:r>
      <w:r w:rsidR="00345973">
        <w:rPr>
          <w:lang w:val="en-US"/>
        </w:rPr>
        <w:instrText xml:space="preserve"> ADDIN ZOTERO_ITEM CSL_CITATION {"citationID":"xRVPUBAT","properties":{"formattedCitation":"(Hanretty 2012; Varol, Dalla Pellegrina, and Garoupa 2017)","plainCitation":"(Hanretty 2012; Varol, Dalla Pellegrina, and Garoupa 2017)","noteIndex":0},"citationItems":[{"id":1129,"uris":["http://zotero.org/users/4628104/items/QHQT4M6N"],"itemData":{"id":1129,"type":"article-journal","abstract":"In this article, the non-unanimous decisions of the Portuguese and Spanish Constitutional Tribunals for the periods 1989–2009 and 2000–2009 are analysed. It is shown that judicial dissent can be predicted moderately well on the basis of judicial ideal points along a single dimension. This dimension is equivalent to the left–right cleavage in both Portugal and Spain. The characteristics of the recovered dimension are demonstrated by analysing both the properties of the cases and the properties of the justices who decided them.","container-title":"European Journal of Political Research","DOI":"10.1111/j.1475-6765.2012.02056.x","ISSN":"1475-6765","issue":"5","language":"en","note":"_eprint: https://onlinelibrary.wiley.com/doi/pdf/10.1111/j.1475-6765.2012.02056.x","page":"671-692","source":"Wiley Online Library","title":"Dissent in Iberia: The ideal points of justices on the Spanish and Portuguese Constitutional Tribunals","title-short":"Dissent in Iberia","volume":"51","author":[{"family":"Hanretty","given":"Chris"}],"issued":{"date-parts":[["2012"]]},"citation-key":"hanrettyDissentIberiaIdeal2012"}},{"id":2712,"uris":["http://zotero.org/users/4628104/items/ADN4SRL4"],"itemData":{"id":2712,"type":"article-journal","abstract":"Constitutional amendments in September 2010 restructured the Turkish Constitutional Court (TCC) by imposing term limits, adding six additional seats to the Court, and bolstering the role of the political branches in the appointments process. Numerous commentators have argued that the structural reforms amounted to court packing, influenced court decisions in substantive ways, and undermined the TCC’s ability to serve as an effective check on the political branches. But aside from speculation and normative analyses of isolated TCC decisions, there has been no systematic academic study on the consequences of the reforms. In this Article, we aim to fill this scholarly gap. By making use of an original dataset of 200 cases, randomly chosen for the period 2007–2014, we test the extent to which these reforms have changed judicial behavior. Our findings show a significant break in 2010 in the ideological position of the Court and detect a conservative ideological shift following the reforms that is increasing in magnitude over time. This shift, however, has not yet affected judicial outcomes in a statistically significant manner. We explain these results and discuss their implications.","container-title":"The American Journal of Comparative Law","DOI":"10.1093/ajcl/avx013","ISSN":"0002-919X","issue":"1","journalAbbreviation":"The American Journal of Comparative Law","page":"187-216","source":"Silverchair","title":"An Empirical Analysis of Judicial Transformation in Turkey†","volume":"65","author":[{"family":"Varol","given":"Ozan O."},{"family":"Dalla Pellegrina","given":"Lucia"},{"family":"Garoupa","given":"Nuno"}],"issued":{"date-parts":[["2017",3,1]]},"citation-key":"varolEmpiricalAnalysisJudicial2017"}}],"schema":"https://github.com/citation-style-language/schema/raw/master/csl-citation.json"} </w:instrText>
      </w:r>
      <w:r w:rsidR="00557A2F">
        <w:rPr>
          <w:lang w:val="en-US"/>
        </w:rPr>
        <w:fldChar w:fldCharType="separate"/>
      </w:r>
      <w:r w:rsidR="00345973">
        <w:rPr>
          <w:noProof/>
          <w:lang w:val="en-US"/>
        </w:rPr>
        <w:t>(Hanretty 2012; Varol, Dalla Pellegrina, and Garoupa 2017)</w:t>
      </w:r>
      <w:r w:rsidR="00557A2F">
        <w:rPr>
          <w:lang w:val="en-US"/>
        </w:rPr>
        <w:fldChar w:fldCharType="end"/>
      </w:r>
      <w:r w:rsidRPr="00BD15DA">
        <w:rPr>
          <w:lang w:val="en-US"/>
        </w:rPr>
        <w:t xml:space="preserve">, this issue gets discussed only once. Hanretty writes: </w:t>
      </w:r>
    </w:p>
    <w:p w14:paraId="1F0AA79B" w14:textId="77777777" w:rsidR="00E93982" w:rsidRPr="00BD15DA" w:rsidRDefault="00E93982" w:rsidP="00E93982">
      <w:pPr>
        <w:pStyle w:val="ListParagraph"/>
        <w:numPr>
          <w:ilvl w:val="0"/>
          <w:numId w:val="2"/>
        </w:numPr>
        <w:rPr>
          <w:lang w:val="en-US"/>
        </w:rPr>
      </w:pPr>
      <w:r w:rsidRPr="00BD15DA">
        <w:rPr>
          <w:lang w:val="en-US"/>
        </w:rPr>
        <w:t>Regarding Spain: “Finally, both courts follow the practice of the German Federal Constitutional Court in permitting concurring and dissenting opinions. Article 90(2) of the Spanish Law on the Constitutional Tribunal allows judges on the tribunal to issue a ‘particular vote’ (</w:t>
      </w:r>
      <w:proofErr w:type="spellStart"/>
      <w:r w:rsidRPr="00BD15DA">
        <w:rPr>
          <w:lang w:val="en-US"/>
        </w:rPr>
        <w:t>voto</w:t>
      </w:r>
      <w:proofErr w:type="spellEnd"/>
      <w:r w:rsidRPr="00BD15DA">
        <w:rPr>
          <w:lang w:val="en-US"/>
        </w:rPr>
        <w:t xml:space="preserve"> particular) on a point of disagreement (</w:t>
      </w:r>
      <w:proofErr w:type="spellStart"/>
      <w:r w:rsidRPr="00BD15DA">
        <w:rPr>
          <w:lang w:val="en-US"/>
        </w:rPr>
        <w:t>su</w:t>
      </w:r>
      <w:proofErr w:type="spellEnd"/>
      <w:r w:rsidRPr="00BD15DA">
        <w:rPr>
          <w:lang w:val="en-US"/>
        </w:rPr>
        <w:t xml:space="preserve"> </w:t>
      </w:r>
      <w:proofErr w:type="spellStart"/>
      <w:r w:rsidRPr="00BD15DA">
        <w:rPr>
          <w:lang w:val="en-US"/>
        </w:rPr>
        <w:t>opinión</w:t>
      </w:r>
      <w:proofErr w:type="spellEnd"/>
      <w:r w:rsidRPr="00BD15DA">
        <w:rPr>
          <w:lang w:val="en-US"/>
        </w:rPr>
        <w:t xml:space="preserve"> </w:t>
      </w:r>
      <w:proofErr w:type="spellStart"/>
      <w:r w:rsidRPr="00BD15DA">
        <w:rPr>
          <w:lang w:val="en-US"/>
        </w:rPr>
        <w:t>discrepante</w:t>
      </w:r>
      <w:proofErr w:type="spellEnd"/>
      <w:r w:rsidRPr="00BD15DA">
        <w:rPr>
          <w:lang w:val="en-US"/>
        </w:rPr>
        <w:t xml:space="preserve">), on the condition that the issue has been raised </w:t>
      </w:r>
      <w:proofErr w:type="gramStart"/>
      <w:r w:rsidRPr="00BD15DA">
        <w:rPr>
          <w:lang w:val="en-US"/>
        </w:rPr>
        <w:t>during the course of</w:t>
      </w:r>
      <w:proofErr w:type="gramEnd"/>
      <w:r w:rsidRPr="00BD15DA">
        <w:rPr>
          <w:lang w:val="en-US"/>
        </w:rPr>
        <w:t xml:space="preserve"> the tribunal’s deliberation. Such opinions are required to be published alongside the majority opinion of the court.”  If indeed the Spanish court is modelled after the GFCC, then the dissent is merely a right of the judge, not an obligation, therefore the assumption does not hold.</w:t>
      </w:r>
    </w:p>
    <w:p w14:paraId="76CCAA77" w14:textId="77777777" w:rsidR="00E93982" w:rsidRPr="00BD15DA" w:rsidRDefault="00E93982" w:rsidP="00E93982">
      <w:pPr>
        <w:pStyle w:val="ListParagraph"/>
        <w:numPr>
          <w:ilvl w:val="0"/>
          <w:numId w:val="2"/>
        </w:numPr>
        <w:rPr>
          <w:lang w:val="en-US"/>
        </w:rPr>
      </w:pPr>
      <w:r w:rsidRPr="00BD15DA">
        <w:rPr>
          <w:lang w:val="en-US"/>
        </w:rPr>
        <w:t xml:space="preserve">Regarding Portugal: “Article 42 of the Portuguese Law on the Constitutional Tribunal states that decisions shall be taken ‘on the majority vote of members present’, and that judges ‘have the right to table their reasons for a dissenting vote’ (court’s translation), though in practice the court has noted whether a particular justice voted in the minority (i.e., whether she or he was </w:t>
      </w:r>
      <w:proofErr w:type="spellStart"/>
      <w:r w:rsidRPr="00BD15DA">
        <w:rPr>
          <w:lang w:val="en-US"/>
        </w:rPr>
        <w:t>vencido</w:t>
      </w:r>
      <w:proofErr w:type="spellEnd"/>
      <w:r w:rsidRPr="00BD15DA">
        <w:rPr>
          <w:lang w:val="en-US"/>
        </w:rPr>
        <w:t xml:space="preserve"> – literally, ‘defeated’),</w:t>
      </w:r>
      <w:r w:rsidRPr="00345973">
        <w:rPr>
          <w:b/>
          <w:bCs/>
          <w:lang w:val="en-US"/>
        </w:rPr>
        <w:t xml:space="preserve"> even where she or he has not tabled reasons for a </w:t>
      </w:r>
      <w:r w:rsidRPr="00345973">
        <w:rPr>
          <w:b/>
          <w:bCs/>
          <w:lang w:val="en-US"/>
        </w:rPr>
        <w:lastRenderedPageBreak/>
        <w:t>dissenting vote</w:t>
      </w:r>
      <w:r w:rsidRPr="00BD15DA">
        <w:rPr>
          <w:lang w:val="en-US"/>
        </w:rPr>
        <w:t xml:space="preserve">.” Here, it becomes clear that the Portuguese CT notes that a judge voted in a minority even if they did not attach a separate opinion. </w:t>
      </w:r>
      <w:r w:rsidRPr="00BD15DA">
        <w:rPr>
          <w:lang w:val="en-US"/>
        </w:rPr>
        <w:fldChar w:fldCharType="begin"/>
      </w:r>
      <w:r w:rsidRPr="00BD15DA">
        <w:rPr>
          <w:lang w:val="en-US"/>
        </w:rPr>
        <w:instrText xml:space="preserve"> ADDIN ZOTERO_ITEM CSL_CITATION {"citationID":"806Ko7x6","properties":{"formattedCitation":"(Hanretty 2012, 5)","plainCitation":"(Hanretty 2012, 5)","noteIndex":0},"citationItems":[{"id":1129,"uris":["http://zotero.org/users/4628104/items/QHQT4M6N"],"itemData":{"id":1129,"type":"article-journal","abstract":"In this article, the non-unanimous decisions of the Portuguese and Spanish Constitutional Tribunals for the periods 1989–2009 and 2000–2009 are analysed. It is shown that judicial dissent can be predicted moderately well on the basis of judicial ideal points along a single dimension. This dimension is equivalent to the left–right cleavage in both Portugal and Spain. The characteristics of the recovered dimension are demonstrated by analysing both the properties of the cases and the properties of the justices who decided them.","container-title":"European Journal of Political Research","DOI":"10.1111/j.1475-6765.2012.02056.x","ISSN":"1475-6765","issue":"5","language":"en","note":"_eprint: https://onlinelibrary.wiley.com/doi/pdf/10.1111/j.1475-6765.2012.02056.x","page":"671-692","source":"Wiley Online Library","title":"Dissent in Iberia: The ideal points of justices on the Spanish and Portuguese Constitutional Tribunals","title-short":"Dissent in Iberia","volume":"51","author":[{"family":"Hanretty","given":"Chris"}],"issued":{"date-parts":[["2012"]]},"citation-key":"hanrettyDissentIberiaIdeal2012"},"locator":"5","label":"page"}],"schema":"https://github.com/citation-style-language/schema/raw/master/csl-citation.json"} </w:instrText>
      </w:r>
      <w:r w:rsidRPr="00BD15DA">
        <w:rPr>
          <w:lang w:val="en-US"/>
        </w:rPr>
        <w:fldChar w:fldCharType="separate"/>
      </w:r>
      <w:r w:rsidRPr="00BD15DA">
        <w:rPr>
          <w:noProof/>
          <w:lang w:val="en-US"/>
        </w:rPr>
        <w:t>(Hanretty 2012, 5)</w:t>
      </w:r>
      <w:r w:rsidRPr="00BD15DA">
        <w:rPr>
          <w:lang w:val="en-US"/>
        </w:rPr>
        <w:fldChar w:fldCharType="end"/>
      </w:r>
    </w:p>
    <w:p w14:paraId="24B48A2C" w14:textId="75994C43" w:rsidR="00E93982" w:rsidRPr="00194A50" w:rsidRDefault="00E93982" w:rsidP="00194A50">
      <w:pPr>
        <w:pStyle w:val="ListParagraph"/>
        <w:numPr>
          <w:ilvl w:val="0"/>
          <w:numId w:val="2"/>
        </w:numPr>
        <w:rPr>
          <w:lang w:val="en-US"/>
        </w:rPr>
      </w:pPr>
      <w:r w:rsidRPr="00194A50">
        <w:rPr>
          <w:lang w:val="en-US"/>
        </w:rPr>
        <w:t xml:space="preserve">The </w:t>
      </w:r>
      <w:r w:rsidRPr="00194A50">
        <w:rPr>
          <w:lang w:val="en-US"/>
        </w:rPr>
        <w:fldChar w:fldCharType="begin"/>
      </w:r>
      <w:r w:rsidRPr="00194A50">
        <w:rPr>
          <w:lang w:val="en-US"/>
        </w:rPr>
        <w:instrText xml:space="preserve"> ADDIN ZOTERO_ITEM CSL_CITATION {"citationID":"xh8occoW","properties":{"formattedCitation":"(Varol, Dalla Pellegrina, and Garoupa 2017)","plainCitation":"(Varol, Dalla Pellegrina, and Garoupa 2017)","noteIndex":0},"citationItems":[{"id":2712,"uris":["http://zotero.org/users/4628104/items/ADN4SRL4"],"itemData":{"id":2712,"type":"article-journal","abstract":"Constitutional amendments in September 2010 restructured the Turkish Constitutional Court (TCC) by imposing term limits, adding six additional seats to the Court, and bolstering the role of the political branches in the appointments process. Numerous commentators have argued that the structural reforms amounted to court packing, influenced court decisions in substantive ways, and undermined the TCC’s ability to serve as an effective check on the political branches. But aside from speculation and normative analyses of isolated TCC decisions, there has been no systematic academic study on the consequences of the reforms. In this Article, we aim to fill this scholarly gap. By making use of an original dataset of 200 cases, randomly chosen for the period 2007–2014, we test the extent to which these reforms have changed judicial behavior. Our findings show a significant break in 2010 in the ideological position of the Court and detect a conservative ideological shift following the reforms that is increasing in magnitude over time. This shift, however, has not yet affected judicial outcomes in a statistically significant manner. We explain these results and discuss their implications.","container-title":"The American Journal of Comparative Law","DOI":"10.1093/ajcl/avx013","ISSN":"0002-919X","issue":"1","journalAbbreviation":"The American Journal of Comparative Law","page":"187-216","source":"Silverchair","title":"An Empirical Analysis of Judicial Transformation in Turkey†","volume":"65","author":[{"family":"Varol","given":"Ozan O."},{"family":"Dalla Pellegrina","given":"Lucia"},{"family":"Garoupa","given":"Nuno"}],"issued":{"date-parts":[["2017",3,1]]},"citation-key":"varolEmpiricalAnalysisJudicial2017"}}],"schema":"https://github.com/citation-style-language/schema/raw/master/csl-citation.json"} </w:instrText>
      </w:r>
      <w:r w:rsidRPr="00194A50">
        <w:rPr>
          <w:lang w:val="en-US"/>
        </w:rPr>
        <w:fldChar w:fldCharType="separate"/>
      </w:r>
      <w:r w:rsidRPr="00194A50">
        <w:rPr>
          <w:noProof/>
          <w:lang w:val="en-US"/>
        </w:rPr>
        <w:t>(Varol, Dalla Pellegrina, and Garoupa 2017)</w:t>
      </w:r>
      <w:r w:rsidRPr="00194A50">
        <w:rPr>
          <w:lang w:val="en-US"/>
        </w:rPr>
        <w:fldChar w:fldCharType="end"/>
      </w:r>
      <w:r w:rsidRPr="00194A50">
        <w:rPr>
          <w:lang w:val="en-US"/>
        </w:rPr>
        <w:t xml:space="preserve"> is clearly aware of this distinction without ever mentioning it explicitly. At points, it uses almost intentionally unclear language to muddy up this distinction: “Our dataset also includes </w:t>
      </w:r>
      <w:r w:rsidRPr="00194A50">
        <w:rPr>
          <w:b/>
          <w:bCs/>
          <w:lang w:val="en-US"/>
        </w:rPr>
        <w:t>individual votes</w:t>
      </w:r>
      <w:r w:rsidRPr="00194A50">
        <w:rPr>
          <w:lang w:val="en-US"/>
        </w:rPr>
        <w:t xml:space="preserve">. (…) Table 1 summarizes the statistics concerning individual </w:t>
      </w:r>
      <w:r w:rsidRPr="00194A50">
        <w:rPr>
          <w:b/>
          <w:bCs/>
          <w:lang w:val="en-US"/>
        </w:rPr>
        <w:t>votes and dissents</w:t>
      </w:r>
      <w:r w:rsidRPr="00194A50">
        <w:rPr>
          <w:lang w:val="en-US"/>
        </w:rPr>
        <w:t xml:space="preserve">, before and after the 2010 reforms. Overall, there is a relatively </w:t>
      </w:r>
      <w:r w:rsidRPr="00194A50">
        <w:rPr>
          <w:b/>
          <w:bCs/>
          <w:lang w:val="en-US"/>
        </w:rPr>
        <w:t>low percentage of dissents</w:t>
      </w:r>
      <w:r w:rsidRPr="00194A50">
        <w:rPr>
          <w:lang w:val="en-US"/>
        </w:rPr>
        <w:t xml:space="preserve"> (around 11% in total).” But to the extent I understand the table correctly, one column is the total number of votes a judge casted and another column is the number of separate opinions out of this total number. However, when discussing the model “As for the IRT implementation, we assume that </w:t>
      </w:r>
      <w:proofErr w:type="spellStart"/>
      <w:r w:rsidRPr="00194A50">
        <w:rPr>
          <w:lang w:val="en-US"/>
        </w:rPr>
        <w:t>xijt</w:t>
      </w:r>
      <w:proofErr w:type="spellEnd"/>
      <w:r w:rsidRPr="00194A50">
        <w:rPr>
          <w:lang w:val="en-US"/>
        </w:rPr>
        <w:t xml:space="preserve"> is the vote of each judge j (j = 1, </w:t>
      </w:r>
      <w:proofErr w:type="gramStart"/>
      <w:r w:rsidRPr="00194A50">
        <w:rPr>
          <w:lang w:val="en-US"/>
        </w:rPr>
        <w:t>. . . ,</w:t>
      </w:r>
      <w:proofErr w:type="gramEnd"/>
      <w:r w:rsidRPr="00194A50">
        <w:rPr>
          <w:lang w:val="en-US"/>
        </w:rPr>
        <w:t xml:space="preserve"> J) for decision </w:t>
      </w:r>
      <w:proofErr w:type="spellStart"/>
      <w:r w:rsidRPr="00194A50">
        <w:rPr>
          <w:lang w:val="en-US"/>
        </w:rPr>
        <w:t>i</w:t>
      </w:r>
      <w:proofErr w:type="spellEnd"/>
      <w:r w:rsidRPr="00194A50">
        <w:rPr>
          <w:lang w:val="en-US"/>
        </w:rPr>
        <w:t xml:space="preserve"> (</w:t>
      </w:r>
      <w:proofErr w:type="spellStart"/>
      <w:r w:rsidRPr="00194A50">
        <w:rPr>
          <w:lang w:val="en-US"/>
        </w:rPr>
        <w:t>i</w:t>
      </w:r>
      <w:proofErr w:type="spellEnd"/>
      <w:r w:rsidRPr="00194A50">
        <w:rPr>
          <w:lang w:val="en-US"/>
        </w:rPr>
        <w:t xml:space="preserve"> = 1, . . . , N) at time of decision t (t = 1, . . . , T). ”, wherein the </w:t>
      </w:r>
      <w:proofErr w:type="spellStart"/>
      <w:r w:rsidRPr="00194A50">
        <w:rPr>
          <w:lang w:val="en-US"/>
        </w:rPr>
        <w:t>xijt</w:t>
      </w:r>
      <w:proofErr w:type="spellEnd"/>
      <w:r w:rsidRPr="00194A50">
        <w:rPr>
          <w:lang w:val="en-US"/>
        </w:rPr>
        <w:t xml:space="preserve"> vote of the judge = 0, when they dissented.</w:t>
      </w:r>
    </w:p>
    <w:p w14:paraId="3D2585E3" w14:textId="0D32D483" w:rsidR="00E93982" w:rsidRPr="00BD15DA" w:rsidRDefault="00E93982" w:rsidP="00E93982">
      <w:pPr>
        <w:rPr>
          <w:lang w:val="en-US"/>
        </w:rPr>
      </w:pPr>
      <w:r w:rsidRPr="00BD15DA">
        <w:rPr>
          <w:lang w:val="en-US"/>
        </w:rPr>
        <w:t>Inasmuch a vote against the majority cannot be equated with a dissent and inasmuch the propensity to dissent is not distributed randomly</w:t>
      </w:r>
      <w:r w:rsidR="00477DBC">
        <w:rPr>
          <w:lang w:val="en-US"/>
        </w:rPr>
        <w:t xml:space="preserve">/equally </w:t>
      </w:r>
      <w:r w:rsidRPr="00BD15DA">
        <w:rPr>
          <w:lang w:val="en-US"/>
        </w:rPr>
        <w:t>among</w:t>
      </w:r>
      <w:r w:rsidR="00DF3393">
        <w:rPr>
          <w:lang w:val="en-US"/>
        </w:rPr>
        <w:t xml:space="preserve"> </w:t>
      </w:r>
      <w:r w:rsidRPr="00BD15DA">
        <w:rPr>
          <w:lang w:val="en-US"/>
        </w:rPr>
        <w:t xml:space="preserve">the judges (i.e. certain sub-group is likely to dissent </w:t>
      </w:r>
      <w:proofErr w:type="gramStart"/>
      <w:r w:rsidRPr="00BD15DA">
        <w:rPr>
          <w:lang w:val="en-US"/>
        </w:rPr>
        <w:t>more or less given</w:t>
      </w:r>
      <w:proofErr w:type="gramEnd"/>
      <w:r w:rsidRPr="00BD15DA">
        <w:rPr>
          <w:lang w:val="en-US"/>
        </w:rPr>
        <w:t xml:space="preserve"> their vote against the majority), I don’t see how using the dissents can be used to estimate the political position of judges. If, as is the case with the CCC, judges that perceive the legitimacy of the judiciary to hinge on the unanimity of the court are less likely to dissent </w:t>
      </w:r>
      <w:r w:rsidR="008F7E31">
        <w:rPr>
          <w:lang w:val="en-US"/>
        </w:rPr>
        <w:t>whenever</w:t>
      </w:r>
      <w:r w:rsidRPr="00BD15DA">
        <w:rPr>
          <w:lang w:val="en-US"/>
        </w:rPr>
        <w:t xml:space="preserve"> the voted against the majority</w:t>
      </w:r>
      <w:r w:rsidR="008F7E31">
        <w:rPr>
          <w:lang w:val="en-US"/>
        </w:rPr>
        <w:t xml:space="preserve"> than the rest</w:t>
      </w:r>
      <w:r w:rsidRPr="00BD15DA">
        <w:rPr>
          <w:lang w:val="en-US"/>
        </w:rPr>
        <w:t xml:space="preserve">, then, I argue, the presence of a dissent used as a proxy for negative vote cannot be employed to estimate </w:t>
      </w:r>
      <w:r w:rsidR="00445CD3">
        <w:rPr>
          <w:lang w:val="en-US"/>
        </w:rPr>
        <w:t>political positions of judges</w:t>
      </w:r>
      <w:r w:rsidRPr="00BD15DA">
        <w:rPr>
          <w:lang w:val="en-US"/>
        </w:rPr>
        <w:t xml:space="preserve"> using the IRT model. And I also do not see how employing the anchors of the two extreme judges can alleviate my concern.</w:t>
      </w:r>
    </w:p>
    <w:p w14:paraId="04CCB62A" w14:textId="77777777" w:rsidR="00630C9A" w:rsidRPr="00BD15DA" w:rsidRDefault="00630C9A" w:rsidP="00630C9A">
      <w:pPr>
        <w:rPr>
          <w:lang w:val="en-US"/>
        </w:rPr>
      </w:pPr>
    </w:p>
    <w:sectPr w:rsidR="00630C9A" w:rsidRPr="00BD15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076469" w14:textId="77777777" w:rsidR="000809FA" w:rsidRDefault="000809FA" w:rsidP="00D03A98">
      <w:pPr>
        <w:spacing w:after="0" w:line="240" w:lineRule="auto"/>
      </w:pPr>
      <w:r>
        <w:separator/>
      </w:r>
    </w:p>
  </w:endnote>
  <w:endnote w:type="continuationSeparator" w:id="0">
    <w:p w14:paraId="0AEAE411" w14:textId="77777777" w:rsidR="000809FA" w:rsidRDefault="000809FA" w:rsidP="00D03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843D9F" w14:textId="77777777" w:rsidR="000809FA" w:rsidRDefault="000809FA" w:rsidP="00D03A98">
      <w:pPr>
        <w:spacing w:after="0" w:line="240" w:lineRule="auto"/>
      </w:pPr>
      <w:r>
        <w:separator/>
      </w:r>
    </w:p>
  </w:footnote>
  <w:footnote w:type="continuationSeparator" w:id="0">
    <w:p w14:paraId="59DE4B9E" w14:textId="77777777" w:rsidR="000809FA" w:rsidRDefault="000809FA" w:rsidP="00D03A98">
      <w:pPr>
        <w:spacing w:after="0" w:line="240" w:lineRule="auto"/>
      </w:pPr>
      <w:r>
        <w:continuationSeparator/>
      </w:r>
    </w:p>
  </w:footnote>
  <w:footnote w:id="1">
    <w:p w14:paraId="638E2F60" w14:textId="77777777" w:rsidR="00E93982" w:rsidRPr="00D03A98" w:rsidRDefault="00E93982" w:rsidP="00E93982">
      <w:pPr>
        <w:pStyle w:val="FootnoteText"/>
        <w:rPr>
          <w:lang w:val="en-US"/>
        </w:rPr>
      </w:pPr>
      <w:r>
        <w:rPr>
          <w:rStyle w:val="FootnoteReference"/>
        </w:rPr>
        <w:footnoteRef/>
      </w:r>
      <w:r>
        <w:t xml:space="preserve"> </w:t>
      </w:r>
      <w:r>
        <w:rPr>
          <w:lang w:val="en-US"/>
        </w:rPr>
        <w:t>By that I do not refer to the dissenting rate by specific judges. By that I understand the likelihood that a given judge attaches a separate opinion if they voted against majority.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8722E"/>
    <w:multiLevelType w:val="hybridMultilevel"/>
    <w:tmpl w:val="BCE63A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053B5E"/>
    <w:multiLevelType w:val="hybridMultilevel"/>
    <w:tmpl w:val="87E25F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1E532F"/>
    <w:multiLevelType w:val="hybridMultilevel"/>
    <w:tmpl w:val="1B968E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3743AF"/>
    <w:multiLevelType w:val="hybridMultilevel"/>
    <w:tmpl w:val="19A40504"/>
    <w:lvl w:ilvl="0" w:tplc="24624D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52322636">
    <w:abstractNumId w:val="0"/>
  </w:num>
  <w:num w:numId="2" w16cid:durableId="1505246635">
    <w:abstractNumId w:val="3"/>
  </w:num>
  <w:num w:numId="3" w16cid:durableId="605768239">
    <w:abstractNumId w:val="1"/>
  </w:num>
  <w:num w:numId="4" w16cid:durableId="1109619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9E7"/>
    <w:rsid w:val="00006F48"/>
    <w:rsid w:val="00012983"/>
    <w:rsid w:val="00013605"/>
    <w:rsid w:val="00017B9E"/>
    <w:rsid w:val="000428B8"/>
    <w:rsid w:val="00056AE5"/>
    <w:rsid w:val="00060816"/>
    <w:rsid w:val="000610CA"/>
    <w:rsid w:val="00064D9B"/>
    <w:rsid w:val="000809FA"/>
    <w:rsid w:val="00083A7D"/>
    <w:rsid w:val="00087B06"/>
    <w:rsid w:val="000A03C0"/>
    <w:rsid w:val="000A7984"/>
    <w:rsid w:val="000B045D"/>
    <w:rsid w:val="000B364C"/>
    <w:rsid w:val="000D6CDE"/>
    <w:rsid w:val="000E3814"/>
    <w:rsid w:val="000E7620"/>
    <w:rsid w:val="0010243D"/>
    <w:rsid w:val="0010612B"/>
    <w:rsid w:val="00106463"/>
    <w:rsid w:val="00112E3D"/>
    <w:rsid w:val="00113C05"/>
    <w:rsid w:val="0013412A"/>
    <w:rsid w:val="001624F7"/>
    <w:rsid w:val="001650DC"/>
    <w:rsid w:val="0016550E"/>
    <w:rsid w:val="00181ADC"/>
    <w:rsid w:val="00186BEC"/>
    <w:rsid w:val="00194A50"/>
    <w:rsid w:val="00194EDF"/>
    <w:rsid w:val="001A641B"/>
    <w:rsid w:val="001D15B0"/>
    <w:rsid w:val="001F5555"/>
    <w:rsid w:val="001F76E3"/>
    <w:rsid w:val="00200E1A"/>
    <w:rsid w:val="0020200D"/>
    <w:rsid w:val="00205864"/>
    <w:rsid w:val="0021659D"/>
    <w:rsid w:val="00217294"/>
    <w:rsid w:val="00226150"/>
    <w:rsid w:val="002266F9"/>
    <w:rsid w:val="002305F2"/>
    <w:rsid w:val="00232B2F"/>
    <w:rsid w:val="0024311A"/>
    <w:rsid w:val="0025316C"/>
    <w:rsid w:val="00266AF7"/>
    <w:rsid w:val="00266D7D"/>
    <w:rsid w:val="00283D54"/>
    <w:rsid w:val="002848C9"/>
    <w:rsid w:val="00296DCF"/>
    <w:rsid w:val="002A0B42"/>
    <w:rsid w:val="002B6402"/>
    <w:rsid w:val="002D5126"/>
    <w:rsid w:val="00301D67"/>
    <w:rsid w:val="00315B6E"/>
    <w:rsid w:val="003279C9"/>
    <w:rsid w:val="00345973"/>
    <w:rsid w:val="00355F30"/>
    <w:rsid w:val="00367D92"/>
    <w:rsid w:val="003A32A7"/>
    <w:rsid w:val="003B4224"/>
    <w:rsid w:val="003B4230"/>
    <w:rsid w:val="003C19DF"/>
    <w:rsid w:val="003C4FB7"/>
    <w:rsid w:val="003E4180"/>
    <w:rsid w:val="003F1BC6"/>
    <w:rsid w:val="00403D8D"/>
    <w:rsid w:val="00413DEC"/>
    <w:rsid w:val="00414132"/>
    <w:rsid w:val="00426A10"/>
    <w:rsid w:val="00430F7F"/>
    <w:rsid w:val="004344C2"/>
    <w:rsid w:val="004349E3"/>
    <w:rsid w:val="00443774"/>
    <w:rsid w:val="00443832"/>
    <w:rsid w:val="00445CD3"/>
    <w:rsid w:val="00450071"/>
    <w:rsid w:val="004677EB"/>
    <w:rsid w:val="00477DBC"/>
    <w:rsid w:val="004821DE"/>
    <w:rsid w:val="00486BB9"/>
    <w:rsid w:val="00491E94"/>
    <w:rsid w:val="004A7D03"/>
    <w:rsid w:val="004A7D6D"/>
    <w:rsid w:val="004B5ACE"/>
    <w:rsid w:val="004B7405"/>
    <w:rsid w:val="004C71E6"/>
    <w:rsid w:val="004C7DE0"/>
    <w:rsid w:val="004D6438"/>
    <w:rsid w:val="004E4AB1"/>
    <w:rsid w:val="004E6153"/>
    <w:rsid w:val="004E733C"/>
    <w:rsid w:val="00515F2B"/>
    <w:rsid w:val="005214C6"/>
    <w:rsid w:val="005268B5"/>
    <w:rsid w:val="0054733F"/>
    <w:rsid w:val="00557A2F"/>
    <w:rsid w:val="00561516"/>
    <w:rsid w:val="00565303"/>
    <w:rsid w:val="00566CA6"/>
    <w:rsid w:val="0057761B"/>
    <w:rsid w:val="005A64CA"/>
    <w:rsid w:val="005C3188"/>
    <w:rsid w:val="005D0A60"/>
    <w:rsid w:val="005D1FAF"/>
    <w:rsid w:val="005D23AB"/>
    <w:rsid w:val="005F10D2"/>
    <w:rsid w:val="005F7035"/>
    <w:rsid w:val="00615476"/>
    <w:rsid w:val="0061598E"/>
    <w:rsid w:val="00616338"/>
    <w:rsid w:val="00630C9A"/>
    <w:rsid w:val="006454F2"/>
    <w:rsid w:val="006516A7"/>
    <w:rsid w:val="006571B6"/>
    <w:rsid w:val="006600DD"/>
    <w:rsid w:val="00677AE4"/>
    <w:rsid w:val="00682DD3"/>
    <w:rsid w:val="00692154"/>
    <w:rsid w:val="006A4F72"/>
    <w:rsid w:val="006B10C1"/>
    <w:rsid w:val="006B115C"/>
    <w:rsid w:val="006D2AF1"/>
    <w:rsid w:val="006D4F99"/>
    <w:rsid w:val="006F216F"/>
    <w:rsid w:val="006F5B3C"/>
    <w:rsid w:val="006F5F7B"/>
    <w:rsid w:val="007236C5"/>
    <w:rsid w:val="0072759C"/>
    <w:rsid w:val="00731E7F"/>
    <w:rsid w:val="007707DF"/>
    <w:rsid w:val="00771490"/>
    <w:rsid w:val="00776A91"/>
    <w:rsid w:val="0079465E"/>
    <w:rsid w:val="007A3F9A"/>
    <w:rsid w:val="007A49A7"/>
    <w:rsid w:val="007A64CF"/>
    <w:rsid w:val="007C3CCC"/>
    <w:rsid w:val="007E3392"/>
    <w:rsid w:val="007E5F37"/>
    <w:rsid w:val="007E6A12"/>
    <w:rsid w:val="007F0A60"/>
    <w:rsid w:val="007F587E"/>
    <w:rsid w:val="00816AA3"/>
    <w:rsid w:val="00816DC3"/>
    <w:rsid w:val="0081732E"/>
    <w:rsid w:val="00826E66"/>
    <w:rsid w:val="008322B7"/>
    <w:rsid w:val="008473BE"/>
    <w:rsid w:val="00847840"/>
    <w:rsid w:val="008500F0"/>
    <w:rsid w:val="00856C65"/>
    <w:rsid w:val="0087315B"/>
    <w:rsid w:val="00873F3B"/>
    <w:rsid w:val="00877DF3"/>
    <w:rsid w:val="008962BD"/>
    <w:rsid w:val="008B27B4"/>
    <w:rsid w:val="008C6D38"/>
    <w:rsid w:val="008F4222"/>
    <w:rsid w:val="008F7E31"/>
    <w:rsid w:val="00906CEA"/>
    <w:rsid w:val="00915E61"/>
    <w:rsid w:val="009234B7"/>
    <w:rsid w:val="00931C30"/>
    <w:rsid w:val="00943C14"/>
    <w:rsid w:val="00951379"/>
    <w:rsid w:val="00957D28"/>
    <w:rsid w:val="00970772"/>
    <w:rsid w:val="00974DDE"/>
    <w:rsid w:val="009909A0"/>
    <w:rsid w:val="00992668"/>
    <w:rsid w:val="009C67F9"/>
    <w:rsid w:val="009D6DED"/>
    <w:rsid w:val="009E0970"/>
    <w:rsid w:val="009E5FF0"/>
    <w:rsid w:val="009E6892"/>
    <w:rsid w:val="009E7143"/>
    <w:rsid w:val="009F10D3"/>
    <w:rsid w:val="00A141A4"/>
    <w:rsid w:val="00A23A29"/>
    <w:rsid w:val="00A30CA5"/>
    <w:rsid w:val="00A32242"/>
    <w:rsid w:val="00A35A09"/>
    <w:rsid w:val="00A5696A"/>
    <w:rsid w:val="00A56B88"/>
    <w:rsid w:val="00A62178"/>
    <w:rsid w:val="00A62293"/>
    <w:rsid w:val="00A673F3"/>
    <w:rsid w:val="00A67464"/>
    <w:rsid w:val="00AA1DD8"/>
    <w:rsid w:val="00AA59FA"/>
    <w:rsid w:val="00AA5C61"/>
    <w:rsid w:val="00AB75EE"/>
    <w:rsid w:val="00AD0DEB"/>
    <w:rsid w:val="00AD60D0"/>
    <w:rsid w:val="00AE52CD"/>
    <w:rsid w:val="00AF0611"/>
    <w:rsid w:val="00B0340F"/>
    <w:rsid w:val="00B065F0"/>
    <w:rsid w:val="00B11186"/>
    <w:rsid w:val="00B173E3"/>
    <w:rsid w:val="00B42568"/>
    <w:rsid w:val="00B473AE"/>
    <w:rsid w:val="00B74CCD"/>
    <w:rsid w:val="00BC1AB6"/>
    <w:rsid w:val="00BC200A"/>
    <w:rsid w:val="00BC57CA"/>
    <w:rsid w:val="00BC7F7D"/>
    <w:rsid w:val="00BD15DA"/>
    <w:rsid w:val="00BE5C04"/>
    <w:rsid w:val="00C06474"/>
    <w:rsid w:val="00C33312"/>
    <w:rsid w:val="00C770FD"/>
    <w:rsid w:val="00C93B53"/>
    <w:rsid w:val="00C94D58"/>
    <w:rsid w:val="00C97D4F"/>
    <w:rsid w:val="00C97E93"/>
    <w:rsid w:val="00CA02A3"/>
    <w:rsid w:val="00CA145C"/>
    <w:rsid w:val="00CA44CC"/>
    <w:rsid w:val="00CC4CBA"/>
    <w:rsid w:val="00CD292B"/>
    <w:rsid w:val="00D03A98"/>
    <w:rsid w:val="00D0732F"/>
    <w:rsid w:val="00D2372D"/>
    <w:rsid w:val="00D26854"/>
    <w:rsid w:val="00D52C1A"/>
    <w:rsid w:val="00D548BF"/>
    <w:rsid w:val="00D630F3"/>
    <w:rsid w:val="00D639E6"/>
    <w:rsid w:val="00D72257"/>
    <w:rsid w:val="00D93A2E"/>
    <w:rsid w:val="00D952B7"/>
    <w:rsid w:val="00DA4EEC"/>
    <w:rsid w:val="00DB0C3F"/>
    <w:rsid w:val="00DB143B"/>
    <w:rsid w:val="00DB1D79"/>
    <w:rsid w:val="00DD39E7"/>
    <w:rsid w:val="00DD65BF"/>
    <w:rsid w:val="00DF3393"/>
    <w:rsid w:val="00E13020"/>
    <w:rsid w:val="00E14373"/>
    <w:rsid w:val="00E1588E"/>
    <w:rsid w:val="00E169CA"/>
    <w:rsid w:val="00E41C89"/>
    <w:rsid w:val="00E471C1"/>
    <w:rsid w:val="00E536A8"/>
    <w:rsid w:val="00E53F27"/>
    <w:rsid w:val="00E66CAB"/>
    <w:rsid w:val="00E906C0"/>
    <w:rsid w:val="00E93982"/>
    <w:rsid w:val="00EB699A"/>
    <w:rsid w:val="00EC10BC"/>
    <w:rsid w:val="00EF5941"/>
    <w:rsid w:val="00F00002"/>
    <w:rsid w:val="00F12018"/>
    <w:rsid w:val="00F34E54"/>
    <w:rsid w:val="00F3640D"/>
    <w:rsid w:val="00F43B18"/>
    <w:rsid w:val="00F53A39"/>
    <w:rsid w:val="00F55047"/>
    <w:rsid w:val="00F74CEF"/>
    <w:rsid w:val="00F75E5A"/>
    <w:rsid w:val="00F814D0"/>
    <w:rsid w:val="00F878A6"/>
    <w:rsid w:val="00F903C5"/>
    <w:rsid w:val="00FA0D63"/>
    <w:rsid w:val="00FA6182"/>
    <w:rsid w:val="00FB2E10"/>
    <w:rsid w:val="00FE01DA"/>
    <w:rsid w:val="00FE2753"/>
    <w:rsid w:val="00FE3D26"/>
    <w:rsid w:val="00FE651A"/>
    <w:rsid w:val="00FF0AD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710A76D"/>
  <w15:chartTrackingRefBased/>
  <w15:docId w15:val="{FA8BCC9E-1E0A-2347-977F-28E334E5A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9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39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9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9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9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9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9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9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9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9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39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9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9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9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9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9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9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9E7"/>
    <w:rPr>
      <w:rFonts w:eastAsiaTheme="majorEastAsia" w:cstheme="majorBidi"/>
      <w:color w:val="272727" w:themeColor="text1" w:themeTint="D8"/>
    </w:rPr>
  </w:style>
  <w:style w:type="paragraph" w:styleId="Title">
    <w:name w:val="Title"/>
    <w:basedOn w:val="Normal"/>
    <w:next w:val="Normal"/>
    <w:link w:val="TitleChar"/>
    <w:uiPriority w:val="10"/>
    <w:qFormat/>
    <w:rsid w:val="00DD39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9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9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9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9E7"/>
    <w:pPr>
      <w:spacing w:before="160"/>
      <w:jc w:val="center"/>
    </w:pPr>
    <w:rPr>
      <w:i/>
      <w:iCs/>
      <w:color w:val="404040" w:themeColor="text1" w:themeTint="BF"/>
    </w:rPr>
  </w:style>
  <w:style w:type="character" w:customStyle="1" w:styleId="QuoteChar">
    <w:name w:val="Quote Char"/>
    <w:basedOn w:val="DefaultParagraphFont"/>
    <w:link w:val="Quote"/>
    <w:uiPriority w:val="29"/>
    <w:rsid w:val="00DD39E7"/>
    <w:rPr>
      <w:i/>
      <w:iCs/>
      <w:color w:val="404040" w:themeColor="text1" w:themeTint="BF"/>
    </w:rPr>
  </w:style>
  <w:style w:type="paragraph" w:styleId="ListParagraph">
    <w:name w:val="List Paragraph"/>
    <w:basedOn w:val="Normal"/>
    <w:uiPriority w:val="34"/>
    <w:qFormat/>
    <w:rsid w:val="00DD39E7"/>
    <w:pPr>
      <w:ind w:left="720"/>
      <w:contextualSpacing/>
    </w:pPr>
  </w:style>
  <w:style w:type="character" w:styleId="IntenseEmphasis">
    <w:name w:val="Intense Emphasis"/>
    <w:basedOn w:val="DefaultParagraphFont"/>
    <w:uiPriority w:val="21"/>
    <w:qFormat/>
    <w:rsid w:val="00DD39E7"/>
    <w:rPr>
      <w:i/>
      <w:iCs/>
      <w:color w:val="0F4761" w:themeColor="accent1" w:themeShade="BF"/>
    </w:rPr>
  </w:style>
  <w:style w:type="paragraph" w:styleId="IntenseQuote">
    <w:name w:val="Intense Quote"/>
    <w:basedOn w:val="Normal"/>
    <w:next w:val="Normal"/>
    <w:link w:val="IntenseQuoteChar"/>
    <w:uiPriority w:val="30"/>
    <w:qFormat/>
    <w:rsid w:val="00DD39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9E7"/>
    <w:rPr>
      <w:i/>
      <w:iCs/>
      <w:color w:val="0F4761" w:themeColor="accent1" w:themeShade="BF"/>
    </w:rPr>
  </w:style>
  <w:style w:type="character" w:styleId="IntenseReference">
    <w:name w:val="Intense Reference"/>
    <w:basedOn w:val="DefaultParagraphFont"/>
    <w:uiPriority w:val="32"/>
    <w:qFormat/>
    <w:rsid w:val="00DD39E7"/>
    <w:rPr>
      <w:b/>
      <w:bCs/>
      <w:smallCaps/>
      <w:color w:val="0F4761" w:themeColor="accent1" w:themeShade="BF"/>
      <w:spacing w:val="5"/>
    </w:rPr>
  </w:style>
  <w:style w:type="paragraph" w:styleId="NormalWeb">
    <w:name w:val="Normal (Web)"/>
    <w:basedOn w:val="Normal"/>
    <w:uiPriority w:val="99"/>
    <w:semiHidden/>
    <w:unhideWhenUsed/>
    <w:rsid w:val="00630C9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630C9A"/>
    <w:rPr>
      <w:i/>
      <w:iCs/>
    </w:rPr>
  </w:style>
  <w:style w:type="character" w:customStyle="1" w:styleId="apple-converted-space">
    <w:name w:val="apple-converted-space"/>
    <w:basedOn w:val="DefaultParagraphFont"/>
    <w:rsid w:val="00630C9A"/>
  </w:style>
  <w:style w:type="character" w:styleId="Hyperlink">
    <w:name w:val="Hyperlink"/>
    <w:basedOn w:val="DefaultParagraphFont"/>
    <w:uiPriority w:val="99"/>
    <w:unhideWhenUsed/>
    <w:rsid w:val="00877DF3"/>
    <w:rPr>
      <w:color w:val="467886" w:themeColor="hyperlink"/>
      <w:u w:val="single"/>
    </w:rPr>
  </w:style>
  <w:style w:type="character" w:styleId="UnresolvedMention">
    <w:name w:val="Unresolved Mention"/>
    <w:basedOn w:val="DefaultParagraphFont"/>
    <w:uiPriority w:val="99"/>
    <w:semiHidden/>
    <w:unhideWhenUsed/>
    <w:rsid w:val="00877DF3"/>
    <w:rPr>
      <w:color w:val="605E5C"/>
      <w:shd w:val="clear" w:color="auto" w:fill="E1DFDD"/>
    </w:rPr>
  </w:style>
  <w:style w:type="character" w:styleId="FollowedHyperlink">
    <w:name w:val="FollowedHyperlink"/>
    <w:basedOn w:val="DefaultParagraphFont"/>
    <w:uiPriority w:val="99"/>
    <w:semiHidden/>
    <w:unhideWhenUsed/>
    <w:rsid w:val="00877DF3"/>
    <w:rPr>
      <w:color w:val="96607D" w:themeColor="followedHyperlink"/>
      <w:u w:val="single"/>
    </w:rPr>
  </w:style>
  <w:style w:type="paragraph" w:styleId="Bibliography">
    <w:name w:val="Bibliography"/>
    <w:basedOn w:val="Normal"/>
    <w:next w:val="Normal"/>
    <w:uiPriority w:val="37"/>
    <w:unhideWhenUsed/>
    <w:rsid w:val="006F5F7B"/>
    <w:pPr>
      <w:spacing w:after="0" w:line="240" w:lineRule="auto"/>
      <w:ind w:left="720" w:hanging="720"/>
    </w:pPr>
  </w:style>
  <w:style w:type="paragraph" w:styleId="FootnoteText">
    <w:name w:val="footnote text"/>
    <w:basedOn w:val="Normal"/>
    <w:link w:val="FootnoteTextChar"/>
    <w:uiPriority w:val="99"/>
    <w:semiHidden/>
    <w:unhideWhenUsed/>
    <w:rsid w:val="00D03A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3A98"/>
    <w:rPr>
      <w:sz w:val="20"/>
      <w:szCs w:val="20"/>
    </w:rPr>
  </w:style>
  <w:style w:type="character" w:styleId="FootnoteReference">
    <w:name w:val="footnote reference"/>
    <w:basedOn w:val="DefaultParagraphFont"/>
    <w:uiPriority w:val="99"/>
    <w:semiHidden/>
    <w:unhideWhenUsed/>
    <w:rsid w:val="00D03A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793517">
      <w:bodyDiv w:val="1"/>
      <w:marLeft w:val="0"/>
      <w:marRight w:val="0"/>
      <w:marTop w:val="0"/>
      <w:marBottom w:val="0"/>
      <w:divBdr>
        <w:top w:val="none" w:sz="0" w:space="0" w:color="auto"/>
        <w:left w:val="none" w:sz="0" w:space="0" w:color="auto"/>
        <w:bottom w:val="none" w:sz="0" w:space="0" w:color="auto"/>
        <w:right w:val="none" w:sz="0" w:space="0" w:color="auto"/>
      </w:divBdr>
    </w:div>
    <w:div w:id="1349334152">
      <w:bodyDiv w:val="1"/>
      <w:marLeft w:val="0"/>
      <w:marRight w:val="0"/>
      <w:marTop w:val="0"/>
      <w:marBottom w:val="0"/>
      <w:divBdr>
        <w:top w:val="none" w:sz="0" w:space="0" w:color="auto"/>
        <w:left w:val="none" w:sz="0" w:space="0" w:color="auto"/>
        <w:bottom w:val="none" w:sz="0" w:space="0" w:color="auto"/>
        <w:right w:val="none" w:sz="0" w:space="0" w:color="auto"/>
      </w:divBdr>
    </w:div>
    <w:div w:id="138467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oud.cz/fileadmin/user_upload/ustavni_soud_www/Pravni_uprava/AJ/Constitutional_court_act_182_1993.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6F3F6-F6C1-4643-8B78-379FD68A2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13</Pages>
  <Words>9553</Words>
  <Characters>54456</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Štěpán Paulík</dc:creator>
  <cp:keywords/>
  <dc:description/>
  <cp:lastModifiedBy>Štěpán Paulík</cp:lastModifiedBy>
  <cp:revision>229</cp:revision>
  <dcterms:created xsi:type="dcterms:W3CDTF">2024-07-08T06:58:00Z</dcterms:created>
  <dcterms:modified xsi:type="dcterms:W3CDTF">2024-08-19T06:07:00Z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id="FOW7eC6u"/&gt;&lt;style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