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888888"/>
          <w:sz w:val="20"/>
          <w:szCs w:val="20"/>
        </w:rPr>
        <w:t xml:space="preserve">WHITEPAPER  —  VERSION 1.2</w:t>
      </w:r>
    </w:p>
    <w:p>
      <w:pPr>
        <w:spacing w:after="80" w:before="0"/>
      </w:pPr>
      <w:r>
        <w:rPr>
          <w:rFonts w:ascii="Arial" w:cs="Arial" w:eastAsia="Arial" w:hAnsi="Arial"/>
          <w:b/>
          <w:bCs/>
          <w:color w:val="1F3864"/>
          <w:sz w:val="48"/>
          <w:szCs w:val="48"/>
        </w:rPr>
        <w:t xml:space="preserve">Governed Agentic Content Infrastructure</w:t>
      </w:r>
    </w:p>
    <w:p>
      <w:pPr>
        <w:spacing w:after="60" w:before="0"/>
      </w:pPr>
      <w:r>
        <w:rPr>
          <w:rFonts w:ascii="Arial" w:cs="Arial" w:eastAsia="Arial" w:hAnsi="Arial"/>
          <w:i/>
          <w:iCs/>
          <w:color w:val="2E75B6"/>
          <w:sz w:val="26"/>
          <w:szCs w:val="26"/>
        </w:rPr>
        <w:t xml:space="preserve">A Governed AI Agent Workforce for Enterprise Content Operations</w:t>
      </w:r>
    </w:p>
    <w:p>
      <w:pPr>
        <w:spacing w:after="200" w:before="0"/>
      </w:pPr>
      <w:r>
        <w:rPr>
          <w:rFonts w:ascii="Arial" w:cs="Arial" w:eastAsia="Arial" w:hAnsi="Arial"/>
          <w:color w:val="888888"/>
          <w:sz w:val="20"/>
          <w:szCs w:val="20"/>
        </w:rPr>
        <w:t xml:space="preserve">March 2026  |  ACR Framework™ Compatible  |  Open Architecture</w:t>
      </w:r>
    </w:p>
    <w:p>
      <w:pPr>
        <w:pBdr>
          <w:bottom w:val="single" w:color="2E75B6" w:sz="4" w:space="1"/>
        </w:pBdr>
        <w:spacing w:after="60" w:before="60"/>
      </w:pPr>
    </w:p>
    <w:p>
      <w:pPr>
        <w:pStyle w:val="Heading1"/>
        <w:spacing w:after="160" w:before="400"/>
      </w:pPr>
      <w:r>
        <w:rPr>
          <w:rFonts w:ascii="Arial" w:cs="Arial" w:eastAsia="Arial" w:hAnsi="Arial"/>
          <w:b/>
          <w:bCs/>
          <w:color w:val="1F3864"/>
          <w:sz w:val="32"/>
          <w:szCs w:val="32"/>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F0E0" w:val="clear"/>
            <w:tcMar>
              <w:top w:type="dxa" w:w="120"/>
              <w:left w:type="dxa" w:w="200"/>
              <w:bottom w:type="dxa" w:w="120"/>
              <w:right w:type="dxa" w:w="200"/>
            </w:tcMar>
          </w:tcPr>
          <w:p>
            <w:pPr>
              <w:spacing w:after="60" w:before="0"/>
            </w:pPr>
            <w:r>
              <w:rPr>
                <w:rFonts w:ascii="Arial" w:cs="Arial" w:eastAsia="Arial" w:hAnsi="Arial"/>
                <w:b/>
                <w:bCs/>
                <w:color w:val="1A4D2E"/>
                <w:sz w:val="18"/>
                <w:szCs w:val="18"/>
              </w:rPr>
              <w:t xml:space="preserve">WHAT GACI IS</w:t>
            </w:r>
          </w:p>
          <w:p>
            <w:pPr>
              <w:spacing w:after="0" w:before="0"/>
            </w:pPr>
            <w:r>
              <w:rPr>
                <w:rFonts w:ascii="Arial" w:cs="Arial" w:eastAsia="Arial" w:hAnsi="Arial"/>
                <w:color w:val="333333"/>
                <w:sz w:val="19"/>
                <w:szCs w:val="19"/>
              </w:rPr>
              <w:t xml:space="preserve">GACI is a governed AI agent workforce — purpose-built to replace the coordination tax enterprises pay on every product change. Five purpose-scoped agents handle the content work that today falls on siloed human teams. Every agent is identity-bound, policy-constrained, and subject to human authority before publication.</w:t>
            </w:r>
          </w:p>
        </w:tc>
      </w:tr>
    </w:tbl>
    <w:p>
      <w:pPr>
        <w:spacing w:after="160" w:before="0"/>
      </w:pPr>
    </w:p>
    <w:p>
      <w:pPr>
        <w:spacing w:after="140" w:before="0"/>
      </w:pPr>
      <w:r>
        <w:rPr>
          <w:rFonts w:ascii="Arial" w:cs="Arial" w:eastAsia="Arial" w:hAnsi="Arial"/>
          <w:color w:val="333333"/>
          <w:sz w:val="20"/>
          <w:szCs w:val="20"/>
        </w:rPr>
        <w:t xml:space="preserve">Enterprise content today is broken at the seam between product development and the teams that operationalize it. When a product owner moves a feature to QA or a vendor ships a platform update, the downstream documentation — customer service guides, incident runbooks, PMM decks, release notes — is manually re-created by siloed teams, each pinging the same subject matter expert independently. The result is inconsistency, duplicated effort, documentation lag, and an organizational trust debt that compounds with every release cycle.</w:t>
      </w:r>
    </w:p>
    <w:p>
      <w:pPr>
        <w:spacing w:after="80" w:before="0"/>
      </w:pPr>
    </w:p>
    <w:p>
      <w:pPr>
        <w:spacing w:after="140" w:before="0"/>
      </w:pPr>
      <w:r>
        <w:rPr>
          <w:rFonts w:ascii="Arial" w:cs="Arial" w:eastAsia="Arial" w:hAnsi="Arial"/>
          <w:color w:val="333333"/>
          <w:sz w:val="20"/>
          <w:szCs w:val="20"/>
        </w:rPr>
        <w:t xml:space="preserve">This whitepaper defines an architecture to solve that problem: a Governed Agentic Content Infrastructure (GACI) that uses a single orchestrator agent, triggered by Jira or Aha workflow events and grounded in a product/feature registry maintained by the product team, to spawn role-specific content generation agents for each downstream content type. The resulting drafts — alongside existing content under review and tracked changes — are delivered directly into the SME’s existing workflow as structured human-in-the-loop approval tasks. Approved content flows into a centralized, living knowledge repository, discoverable by AI agents across surfaces like Slack.</w:t>
      </w:r>
    </w:p>
    <w:p>
      <w:pPr>
        <w:spacing w:after="80" w:before="0"/>
      </w:pPr>
    </w:p>
    <w:p>
      <w:pPr>
        <w:spacing w:after="140" w:before="0"/>
      </w:pPr>
      <w:r>
        <w:rPr>
          <w:rFonts w:ascii="Arial" w:cs="Arial" w:eastAsia="Arial" w:hAnsi="Arial"/>
          <w:color w:val="333333"/>
          <w:sz w:val="20"/>
          <w:szCs w:val="20"/>
        </w:rPr>
        <w:t xml:space="preserve">A core design principle of GACI is that it does not impose new process on the product team. The product/feature registry is not a separate tool — it is a set of structured fields on the artifacts the product team is already managing in Jira or Aha. GACI is designed to extract signal from workflow discipline that already exists, not to create new obligations.</w:t>
      </w:r>
    </w:p>
    <w:p>
      <w:pPr>
        <w:spacing w:after="80" w:before="0"/>
      </w:pPr>
    </w:p>
    <w:p>
      <w:pPr>
        <w:spacing w:after="140" w:before="0"/>
      </w:pPr>
      <w:r>
        <w:rPr>
          <w:rFonts w:ascii="Arial" w:cs="Arial" w:eastAsia="Arial" w:hAnsi="Arial"/>
          <w:color w:val="333333"/>
          <w:sz w:val="20"/>
          <w:szCs w:val="20"/>
        </w:rPr>
        <w:t xml:space="preserve">Governance is not an afterthought. The architecture is built on the ACR Framework™ — a six-pillar runtime control standard for agentic AI systems — ensuring that every agent action is identity-bound, policy-constrained, auditable, and subject to human authority before publication.</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60" w:before="0"/>
            </w:pPr>
            <w:r>
              <w:rPr>
                <w:rFonts w:ascii="Arial" w:cs="Arial" w:eastAsia="Arial" w:hAnsi="Arial"/>
                <w:b/>
                <w:bCs/>
                <w:color w:val="1F3864"/>
                <w:sz w:val="18"/>
                <w:szCs w:val="18"/>
              </w:rPr>
              <w:t xml:space="preserve">Strategic Position</w:t>
            </w:r>
          </w:p>
          <w:p>
            <w:pPr>
              <w:spacing w:after="0" w:before="0"/>
            </w:pPr>
            <w:r>
              <w:rPr>
                <w:rFonts w:ascii="Arial" w:cs="Arial" w:eastAsia="Arial" w:hAnsi="Arial"/>
                <w:color w:val="333333"/>
                <w:sz w:val="19"/>
                <w:szCs w:val="19"/>
              </w:rPr>
              <w:t xml:space="preserve">This is not a documentation automation tool. It is governed knowledge infrastructure — the difference between a helpful workflow shortcut and a system enterprises can trust with their operational content.</w:t>
            </w:r>
          </w:p>
        </w:tc>
      </w:tr>
    </w:tbl>
    <w:p>
      <w:pPr>
        <w:spacing w:after="200" w:before="0"/>
      </w:pPr>
    </w:p>
    <w:p>
      <w:pPr>
        <w:pStyle w:val="Heading1"/>
        <w:spacing w:after="160" w:before="400"/>
      </w:pPr>
      <w:r>
        <w:rPr>
          <w:rFonts w:ascii="Arial" w:cs="Arial" w:eastAsia="Arial" w:hAnsi="Arial"/>
          <w:b/>
          <w:bCs/>
          <w:color w:val="1F3864"/>
          <w:sz w:val="32"/>
          <w:szCs w:val="32"/>
        </w:rPr>
        <w:t xml:space="preserve">1.  The Problem</w:t>
      </w:r>
    </w:p>
    <w:p>
      <w:pPr>
        <w:pStyle w:val="Heading2"/>
        <w:spacing w:after="120" w:before="280"/>
      </w:pPr>
      <w:r>
        <w:rPr>
          <w:rFonts w:ascii="Arial" w:cs="Arial" w:eastAsia="Arial" w:hAnsi="Arial"/>
          <w:b/>
          <w:bCs/>
          <w:color w:val="2E75B6"/>
          <w:sz w:val="26"/>
          <w:szCs w:val="26"/>
        </w:rPr>
        <w:t xml:space="preserve">1.1  Siloed Content, Repeated Effort, Broken Trust</w:t>
      </w:r>
    </w:p>
    <w:p>
      <w:pPr>
        <w:spacing w:after="140" w:before="0"/>
      </w:pPr>
      <w:r>
        <w:rPr>
          <w:rFonts w:ascii="Arial" w:cs="Arial" w:eastAsia="Arial" w:hAnsi="Arial"/>
          <w:color w:val="333333"/>
          <w:sz w:val="20"/>
          <w:szCs w:val="20"/>
        </w:rPr>
        <w:t xml:space="preserve">In any enterprise that ships products or manages third-party platforms, a single product change creates parallel, uncoordinated documentation work across multiple functions:</w:t>
      </w:r>
    </w:p>
    <w:p>
      <w:pPr>
        <w:spacing w:after="80" w:before="0"/>
      </w:pPr>
    </w:p>
    <w:p>
      <w:pPr>
        <w:pStyle w:val="ListParagraph"/>
        <w:numPr>
          <w:ilvl w:val="0"/>
          <w:numId w:val="2"/>
        </w:numPr>
        <w:spacing w:after="80" w:before="0"/>
      </w:pPr>
      <w:r>
        <w:rPr>
          <w:rFonts w:ascii="Arial" w:cs="Arial" w:eastAsia="Arial" w:hAnsi="Arial"/>
          <w:b w:val="false"/>
          <w:bCs w:val="false"/>
          <w:color w:val="333333"/>
          <w:sz w:val="20"/>
          <w:szCs w:val="20"/>
        </w:rPr>
        <w:t xml:space="preserve">The Product Owner creates release notes and briefs the team verbally.</w:t>
      </w:r>
    </w:p>
    <w:p>
      <w:pPr>
        <w:pStyle w:val="ListParagraph"/>
        <w:numPr>
          <w:ilvl w:val="0"/>
          <w:numId w:val="2"/>
        </w:numPr>
        <w:spacing w:after="80" w:before="0"/>
      </w:pPr>
      <w:r>
        <w:rPr>
          <w:rFonts w:ascii="Arial" w:cs="Arial" w:eastAsia="Arial" w:hAnsi="Arial"/>
          <w:b w:val="false"/>
          <w:bCs w:val="false"/>
          <w:color w:val="333333"/>
          <w:sz w:val="20"/>
          <w:szCs w:val="20"/>
        </w:rPr>
        <w:t xml:space="preserve">The CS team creates their own workflow documentation after a separate conversation with the PO.</w:t>
      </w:r>
    </w:p>
    <w:p>
      <w:pPr>
        <w:pStyle w:val="ListParagraph"/>
        <w:numPr>
          <w:ilvl w:val="0"/>
          <w:numId w:val="2"/>
        </w:numPr>
        <w:spacing w:after="80" w:before="0"/>
      </w:pPr>
      <w:r>
        <w:rPr>
          <w:rFonts w:ascii="Arial" w:cs="Arial" w:eastAsia="Arial" w:hAnsi="Arial"/>
          <w:b w:val="false"/>
          <w:bCs w:val="false"/>
          <w:color w:val="333333"/>
          <w:sz w:val="20"/>
          <w:szCs w:val="20"/>
        </w:rPr>
        <w:t xml:space="preserve">The PMM team creates an enablement deck after yet another meeting.</w:t>
      </w:r>
    </w:p>
    <w:p>
      <w:pPr>
        <w:pStyle w:val="ListParagraph"/>
        <w:numPr>
          <w:ilvl w:val="0"/>
          <w:numId w:val="2"/>
        </w:numPr>
        <w:spacing w:after="80" w:before="0"/>
      </w:pPr>
      <w:r>
        <w:rPr>
          <w:rFonts w:ascii="Arial" w:cs="Arial" w:eastAsia="Arial" w:hAnsi="Arial"/>
          <w:b w:val="false"/>
          <w:bCs w:val="false"/>
          <w:color w:val="333333"/>
          <w:sz w:val="20"/>
          <w:szCs w:val="20"/>
        </w:rPr>
        <w:t xml:space="preserve">The Incident Management team writes their own runbook — or doesn’t, until after the first incident.</w:t>
      </w:r>
    </w:p>
    <w:p>
      <w:pPr>
        <w:pStyle w:val="ListParagraph"/>
        <w:numPr>
          <w:ilvl w:val="0"/>
          <w:numId w:val="2"/>
        </w:numPr>
        <w:spacing w:after="80" w:before="0"/>
      </w:pPr>
      <w:r>
        <w:rPr>
          <w:rFonts w:ascii="Arial" w:cs="Arial" w:eastAsia="Arial" w:hAnsi="Arial"/>
          <w:b w:val="false"/>
          <w:bCs w:val="false"/>
          <w:color w:val="333333"/>
          <w:sz w:val="20"/>
          <w:szCs w:val="20"/>
        </w:rPr>
        <w:t xml:space="preserve">None of these outputs are linked. When the feature changes, the cycle repeats.</w:t>
      </w:r>
    </w:p>
    <w:p>
      <w:pPr>
        <w:spacing w:after="120" w:before="0"/>
      </w:pPr>
    </w:p>
    <w:p>
      <w:pPr>
        <w:spacing w:after="140" w:before="0"/>
      </w:pPr>
      <w:r>
        <w:rPr>
          <w:rFonts w:ascii="Arial" w:cs="Arial" w:eastAsia="Arial" w:hAnsi="Arial"/>
          <w:color w:val="333333"/>
          <w:sz w:val="20"/>
          <w:szCs w:val="20"/>
        </w:rPr>
        <w:t xml:space="preserve">The naive solution is to hire more writers or create a documentation function. That solves the labour problem but not the structural one. If the source of truth about what a product does and what state it’s in does not exist in a single, queryable location, content teams will always be chasing POs for context — regardless of headcount.</w:t>
      </w:r>
    </w:p>
    <w:p>
      <w:pPr>
        <w:pStyle w:val="Heading2"/>
        <w:spacing w:after="120" w:before="280"/>
      </w:pPr>
      <w:r>
        <w:rPr>
          <w:rFonts w:ascii="Arial" w:cs="Arial" w:eastAsia="Arial" w:hAnsi="Arial"/>
          <w:b/>
          <w:bCs/>
          <w:color w:val="2E75B6"/>
          <w:sz w:val="26"/>
          <w:szCs w:val="26"/>
        </w:rPr>
        <w:t xml:space="preserve">1.2  The Real Root Cause</w:t>
      </w:r>
    </w:p>
    <w:p>
      <w:pPr>
        <w:spacing w:after="140" w:before="0"/>
      </w:pPr>
      <w:r>
        <w:rPr>
          <w:rFonts w:ascii="Arial" w:cs="Arial" w:eastAsia="Arial" w:hAnsi="Arial"/>
          <w:color w:val="333333"/>
          <w:sz w:val="20"/>
          <w:szCs w:val="20"/>
        </w:rPr>
        <w:t xml:space="preserve">The root cause is not insufficient documentation effort. It is the absence of a machine-readable product state. Product teams track what they’re building in Jira and Aha. But the state of what is live, deprecated, in beta, or sunset — and what it replaced, or what replaced it — is rarely formalized in a queryable structure. It lives in someone’s head, or in a slide deck, or in a meeting that two out of five teams attended.</w:t>
      </w:r>
    </w:p>
    <w:p>
      <w:pPr>
        <w:spacing w:after="80" w:before="0"/>
      </w:pPr>
    </w:p>
    <w:p>
      <w:pPr>
        <w:spacing w:after="140" w:before="0"/>
      </w:pPr>
      <w:r>
        <w:rPr>
          <w:rFonts w:ascii="Arial" w:cs="Arial" w:eastAsia="Arial" w:hAnsi="Arial"/>
          <w:color w:val="333333"/>
          <w:sz w:val="20"/>
          <w:szCs w:val="20"/>
        </w:rPr>
        <w:t xml:space="preserve">GACI does not solve this by adding a new system. It solves it by treating the product team’s existing workflow as the authoritative registry and instrumenting it.</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18"/>
                <w:szCs w:val="18"/>
              </w:rPr>
              <w:t xml:space="preserve">Pain Point</w:t>
            </w:r>
          </w:p>
        </w:tc>
        <w:tc>
          <w:tcPr>
            <w:tcW w:type="dxa" w:w="61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18"/>
                <w:szCs w:val="18"/>
              </w:rPr>
              <w:t xml:space="preserve">Estimated Impact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333333"/>
                <w:sz w:val="18"/>
                <w:szCs w:val="18"/>
              </w:rPr>
              <w:t xml:space="preserve">3–5 separate PO touchpoints per feature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4–8 hrs SME time per release cycle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333333"/>
                <w:sz w:val="18"/>
                <w:szCs w:val="18"/>
              </w:rPr>
              <w:t xml:space="preserve">Documentation lag (avg. 2–3 cycles behind)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Increased L1 tickets, slower MTTR</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333333"/>
                <w:sz w:val="18"/>
                <w:szCs w:val="18"/>
              </w:rPr>
              <w:t xml:space="preserve">Inconsistent content across CS, Incident, PMM</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Customer trust erosion, sales gaps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333333"/>
                <w:sz w:val="18"/>
                <w:szCs w:val="18"/>
              </w:rPr>
              <w:t xml:space="preserve">No link between content types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Rework on every change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333333"/>
                <w:sz w:val="18"/>
                <w:szCs w:val="18"/>
              </w:rPr>
              <w:t xml:space="preserve">Vendor update to internal doc gap</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Undetected operational risk in SOC environments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333333"/>
                <w:sz w:val="18"/>
                <w:szCs w:val="18"/>
              </w:rPr>
              <w:t xml:space="preserve">No formal product state = no deprecation signal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Stale content served indefinitely</w:t>
            </w:r>
          </w:p>
        </w:tc>
      </w:tr>
    </w:tbl>
    <w:p>
      <w:pPr>
        <w:spacing w:after="100" w:before="0"/>
      </w:pPr>
    </w:p>
    <w:p>
      <w:r>
        <w:br w:type="page"/>
      </w:r>
    </w:p>
    <w:p>
      <w:pPr>
        <w:pStyle w:val="Heading1"/>
        <w:spacing w:after="160" w:before="400"/>
      </w:pPr>
      <w:r>
        <w:rPr>
          <w:rFonts w:ascii="Arial" w:cs="Arial" w:eastAsia="Arial" w:hAnsi="Arial"/>
          <w:b/>
          <w:bCs/>
          <w:color w:val="1F3864"/>
          <w:sz w:val="32"/>
          <w:szCs w:val="32"/>
        </w:rPr>
        <w:t xml:space="preserve">2.  Architecture: The Governed Agentic Content Infrastructure</w:t>
      </w:r>
    </w:p>
    <w:p>
      <w:pPr>
        <w:spacing w:after="140" w:before="0"/>
      </w:pPr>
      <w:r>
        <w:rPr>
          <w:rFonts w:ascii="Arial" w:cs="Arial" w:eastAsia="Arial" w:hAnsi="Arial"/>
          <w:color w:val="333333"/>
          <w:sz w:val="20"/>
          <w:szCs w:val="20"/>
        </w:rPr>
        <w:t xml:space="preserve">GACI is structured around four layers: a product/feature registry, a trigger and orchestration layer, a role-specific content generation layer, and a governed living knowledge repository. The registry is the foundation — everything else flows from it.</w:t>
      </w:r>
    </w:p>
    <w:p>
      <w:pPr>
        <w:pStyle w:val="Heading2"/>
        <w:spacing w:after="120" w:before="280"/>
      </w:pPr>
      <w:r>
        <w:rPr>
          <w:rFonts w:ascii="Arial" w:cs="Arial" w:eastAsia="Arial" w:hAnsi="Arial"/>
          <w:b/>
          <w:bCs/>
          <w:color w:val="2E75B6"/>
          <w:sz w:val="26"/>
          <w:szCs w:val="26"/>
        </w:rPr>
        <w:t xml:space="preserve">2.1  The Product / Feature Registry</w:t>
      </w:r>
    </w:p>
    <w:p>
      <w:pPr>
        <w:spacing w:after="140" w:before="0"/>
      </w:pPr>
      <w:r>
        <w:rPr>
          <w:rFonts w:ascii="Arial" w:cs="Arial" w:eastAsia="Arial" w:hAnsi="Arial"/>
          <w:color w:val="333333"/>
          <w:sz w:val="20"/>
          <w:szCs w:val="20"/>
        </w:rPr>
        <w:t xml:space="preserve">The registry is not a new tool. It is a structured extension of what the product team already does in Jira or Aha. A small set of required fields on every product epic or feature issue defines the machine-readable state that GACI depends on.</w:t>
      </w:r>
    </w:p>
    <w:p>
      <w:pPr>
        <w:spacing w:after="100" w:before="0"/>
      </w:pPr>
    </w:p>
    <w:p>
      <w:pPr>
        <w:spacing w:after="100" w:before="200"/>
      </w:pPr>
      <w:r>
        <w:rPr>
          <w:rFonts w:ascii="Arial" w:cs="Arial" w:eastAsia="Arial" w:hAnsi="Arial"/>
          <w:b/>
          <w:bCs/>
          <w:color w:val="333333"/>
          <w:sz w:val="22"/>
          <w:szCs w:val="22"/>
        </w:rPr>
        <w:t xml:space="preserve">Required Registry Fields (on Jira Epic or Aha Feature)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560"/>
        <w:gridCol w:w="1600"/>
        <w:gridCol w:w="140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Type</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Values</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Owner</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product_status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Select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Active / Beta / Deprecated / Sunset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Product Owner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content_scope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Multi-select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CS / PMM / Incident / Release Notes / None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Product Owner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deprecation_reason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Text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Free text — required when status = Deprecated or Sunset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Product Owner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successor_feature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Jira/Aha link</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Optional link to replacement feature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Product Owner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sunset_date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Date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Required when status = Sunset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Product Owner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60" w:before="0"/>
            </w:pPr>
            <w:r>
              <w:rPr>
                <w:rFonts w:ascii="Arial" w:cs="Arial" w:eastAsia="Arial" w:hAnsi="Arial"/>
                <w:b/>
                <w:bCs/>
                <w:color w:val="1F3864"/>
                <w:sz w:val="18"/>
                <w:szCs w:val="18"/>
              </w:rPr>
              <w:t xml:space="preserve">Design Principle: No New Obligations</w:t>
            </w:r>
          </w:p>
          <w:p>
            <w:pPr>
              <w:spacing w:after="0" w:before="0"/>
            </w:pPr>
            <w:r>
              <w:rPr>
                <w:rFonts w:ascii="Arial" w:cs="Arial" w:eastAsia="Arial" w:hAnsi="Arial"/>
                <w:color w:val="333333"/>
                <w:sz w:val="19"/>
                <w:szCs w:val="19"/>
              </w:rPr>
              <w:t xml:space="preserve">The registry does not ask the product team to do extra work. It asks them to be explicit about decisions they are already making. If a product is being deprecated, someone already knows that. The registry makes it machine-readable.</w:t>
            </w:r>
          </w:p>
        </w:tc>
      </w:tr>
    </w:tbl>
    <w:p>
      <w:pPr>
        <w:spacing w:after="140" w:before="0"/>
      </w:pPr>
    </w:p>
    <w:p>
      <w:pPr>
        <w:spacing w:after="100" w:before="200"/>
      </w:pPr>
      <w:r>
        <w:rPr>
          <w:rFonts w:ascii="Arial" w:cs="Arial" w:eastAsia="Arial" w:hAnsi="Arial"/>
          <w:b/>
          <w:bCs/>
          <w:color w:val="333333"/>
          <w:sz w:val="22"/>
          <w:szCs w:val="22"/>
        </w:rPr>
        <w:t xml:space="preserve">Deprecation &amp; Sunset: Human Decides, System Executes</w:t>
      </w:r>
    </w:p>
    <w:p>
      <w:pPr>
        <w:spacing w:after="140" w:before="0"/>
      </w:pPr>
      <w:r>
        <w:rPr>
          <w:rFonts w:ascii="Arial" w:cs="Arial" w:eastAsia="Arial" w:hAnsi="Arial"/>
          <w:color w:val="333333"/>
          <w:sz w:val="20"/>
          <w:szCs w:val="20"/>
        </w:rPr>
        <w:t xml:space="preserve">When a Product Owner sets product_status to Deprecated or Sunset, they are making an explicit declaration — not triggering an automatic process. The system responds by creating a content lifecycle review task assigned to the relevant SMEs. A successor_feature link is the standard path: content is updated to reference the replacement. The PO can explicitly leave it blank, indicating there is no replacement — and the system treats this as a full archive trigger, not an error.</w:t>
      </w:r>
    </w:p>
    <w:p>
      <w:pPr>
        <w:spacing w:after="100" w:before="200"/>
      </w:pPr>
      <w:r>
        <w:rPr>
          <w:rFonts w:ascii="Arial" w:cs="Arial" w:eastAsia="Arial" w:hAnsi="Arial"/>
          <w:b/>
          <w:bCs/>
          <w:color w:val="333333"/>
          <w:sz w:val="22"/>
          <w:szCs w:val="22"/>
        </w:rPr>
        <w:t xml:space="preserve">Content Lifecycle States (Repository-Side)</w:t>
      </w:r>
    </w:p>
    <w:p>
      <w:pPr>
        <w:pStyle w:val="ListParagraph"/>
        <w:numPr>
          <w:ilvl w:val="0"/>
          <w:numId w:val="2"/>
        </w:numPr>
        <w:spacing w:after="80" w:before="0"/>
      </w:pPr>
      <w:r>
        <w:rPr>
          <w:rFonts w:ascii="Arial" w:cs="Arial" w:eastAsia="Arial" w:hAnsi="Arial"/>
          <w:b w:val="false"/>
          <w:bCs w:val="false"/>
          <w:color w:val="333333"/>
          <w:sz w:val="20"/>
          <w:szCs w:val="20"/>
        </w:rPr>
        <w:t xml:space="preserve">Active — approved, indexed, returned in queries</w:t>
      </w:r>
    </w:p>
    <w:p>
      <w:pPr>
        <w:pStyle w:val="ListParagraph"/>
        <w:numPr>
          <w:ilvl w:val="0"/>
          <w:numId w:val="2"/>
        </w:numPr>
        <w:spacing w:after="80" w:before="0"/>
      </w:pPr>
      <w:r>
        <w:rPr>
          <w:rFonts w:ascii="Arial" w:cs="Arial" w:eastAsia="Arial" w:hAnsi="Arial"/>
          <w:b w:val="false"/>
          <w:bCs w:val="false"/>
          <w:color w:val="333333"/>
          <w:sz w:val="20"/>
          <w:szCs w:val="20"/>
        </w:rPr>
        <w:t xml:space="preserve">Under Review — pending SME approval, not yet indexed</w:t>
      </w:r>
    </w:p>
    <w:p>
      <w:pPr>
        <w:pStyle w:val="ListParagraph"/>
        <w:numPr>
          <w:ilvl w:val="0"/>
          <w:numId w:val="2"/>
        </w:numPr>
        <w:spacing w:after="80" w:before="0"/>
      </w:pPr>
      <w:r>
        <w:rPr>
          <w:rFonts w:ascii="Arial" w:cs="Arial" w:eastAsia="Arial" w:hAnsi="Arial"/>
          <w:b w:val="false"/>
          <w:bCs w:val="false"/>
          <w:color w:val="333333"/>
          <w:sz w:val="20"/>
          <w:szCs w:val="20"/>
        </w:rPr>
        <w:t xml:space="preserve">Archived — no successor; suppressed from retrieval, retained for audit</w:t>
      </w:r>
    </w:p>
    <w:p>
      <w:pPr>
        <w:pStyle w:val="ListParagraph"/>
        <w:numPr>
          <w:ilvl w:val="0"/>
          <w:numId w:val="2"/>
        </w:numPr>
        <w:spacing w:after="80" w:before="0"/>
      </w:pPr>
      <w:r>
        <w:rPr>
          <w:rFonts w:ascii="Arial" w:cs="Arial" w:eastAsia="Arial" w:hAnsi="Arial"/>
          <w:b w:val="false"/>
          <w:bCs w:val="false"/>
          <w:color w:val="333333"/>
          <w:sz w:val="20"/>
          <w:szCs w:val="20"/>
        </w:rPr>
        <w:t xml:space="preserve">Redirected — successor confirmed; queries return successor content with a migration note</w:t>
      </w:r>
    </w:p>
    <w:p>
      <w:pPr>
        <w:pStyle w:val="ListParagraph"/>
        <w:numPr>
          <w:ilvl w:val="0"/>
          <w:numId w:val="2"/>
        </w:numPr>
        <w:spacing w:after="80" w:before="0"/>
      </w:pPr>
      <w:r>
        <w:rPr>
          <w:rFonts w:ascii="Arial" w:cs="Arial" w:eastAsia="Arial" w:hAnsi="Arial"/>
          <w:b w:val="false"/>
          <w:bCs w:val="false"/>
          <w:color w:val="333333"/>
          <w:sz w:val="20"/>
          <w:szCs w:val="20"/>
        </w:rPr>
        <w:t xml:space="preserve">Orphaned — references a registry entry that no longer exists; flagged for SME triage</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after="60" w:before="0"/>
            </w:pPr>
            <w:r>
              <w:rPr>
                <w:rFonts w:ascii="Arial" w:cs="Arial" w:eastAsia="Arial" w:hAnsi="Arial"/>
                <w:b/>
                <w:bCs/>
                <w:color w:val="7B4F00"/>
                <w:sz w:val="18"/>
                <w:szCs w:val="18"/>
              </w:rPr>
              <w:t xml:space="preserve">⚠  UNSOLVED: Registry Adoption Is an Organizational Problem</w:t>
            </w:r>
          </w:p>
          <w:p>
            <w:pPr>
              <w:spacing w:after="0" w:before="0"/>
            </w:pPr>
            <w:r>
              <w:rPr>
                <w:rFonts w:ascii="Arial" w:cs="Arial" w:eastAsia="Arial" w:hAnsi="Arial"/>
                <w:color w:val="333333"/>
                <w:sz w:val="19"/>
                <w:szCs w:val="19"/>
              </w:rPr>
              <w:t xml:space="preserve">GACI depends on the product team maintaining registry field hygiene. Recommended mitigation: make product_status a required field on epic closure in Jira/Aha. This creates a workflow gate. This is a configuration decision for each deployment, not a GACI feature.</w:t>
            </w:r>
          </w:p>
        </w:tc>
      </w:tr>
    </w:tbl>
    <w:p>
      <w:pPr>
        <w:spacing w:after="200" w:before="0"/>
      </w:pPr>
    </w:p>
    <w:p>
      <w:pPr>
        <w:pStyle w:val="Heading2"/>
        <w:spacing w:after="120" w:before="280"/>
      </w:pPr>
      <w:r>
        <w:rPr>
          <w:rFonts w:ascii="Arial" w:cs="Arial" w:eastAsia="Arial" w:hAnsi="Arial"/>
          <w:b/>
          <w:bCs/>
          <w:color w:val="2E75B6"/>
          <w:sz w:val="26"/>
          <w:szCs w:val="26"/>
        </w:rPr>
        <w:t xml:space="preserve">2.2  Layer 1: Trigger &amp; Orchestrator Agent</w:t>
      </w:r>
    </w:p>
    <w:p>
      <w:pPr>
        <w:spacing w:after="140" w:before="0"/>
      </w:pPr>
      <w:r>
        <w:rPr>
          <w:rFonts w:ascii="Arial" w:cs="Arial" w:eastAsia="Arial" w:hAnsi="Arial"/>
          <w:color w:val="333333"/>
          <w:sz w:val="20"/>
          <w:szCs w:val="20"/>
        </w:rPr>
        <w:t xml:space="preserve">The orchestrator monitors Jira and Aha for registry state changes and workflow events. It is the single entry point for the content pipeline and does not generate content itself.</w:t>
      </w:r>
    </w:p>
    <w:p>
      <w:pPr>
        <w:spacing w:after="100" w:before="0"/>
      </w:pPr>
    </w:p>
    <w:p>
      <w:pPr>
        <w:spacing w:after="100" w:before="200"/>
      </w:pPr>
      <w:r>
        <w:rPr>
          <w:rFonts w:ascii="Arial" w:cs="Arial" w:eastAsia="Arial" w:hAnsi="Arial"/>
          <w:b/>
          <w:bCs/>
          <w:color w:val="333333"/>
          <w:sz w:val="22"/>
          <w:szCs w:val="22"/>
        </w:rPr>
        <w:t xml:space="preserve">Trigger Events</w:t>
      </w:r>
    </w:p>
    <w:p>
      <w:pPr>
        <w:pStyle w:val="ListParagraph"/>
        <w:numPr>
          <w:ilvl w:val="0"/>
          <w:numId w:val="2"/>
        </w:numPr>
        <w:spacing w:after="80" w:before="0"/>
      </w:pPr>
      <w:r>
        <w:rPr>
          <w:rFonts w:ascii="Arial" w:cs="Arial" w:eastAsia="Arial" w:hAnsi="Arial"/>
          <w:b w:val="false"/>
          <w:bCs w:val="false"/>
          <w:color w:val="333333"/>
          <w:sz w:val="20"/>
          <w:szCs w:val="20"/>
        </w:rPr>
        <w:t xml:space="preserve">Feature status → QA Ready, GA, or Release Notes Published (content generation trigger)</w:t>
      </w:r>
    </w:p>
    <w:p>
      <w:pPr>
        <w:pStyle w:val="ListParagraph"/>
        <w:numPr>
          <w:ilvl w:val="0"/>
          <w:numId w:val="2"/>
        </w:numPr>
        <w:spacing w:after="80" w:before="0"/>
      </w:pPr>
      <w:r>
        <w:rPr>
          <w:rFonts w:ascii="Arial" w:cs="Arial" w:eastAsia="Arial" w:hAnsi="Arial"/>
          <w:b w:val="false"/>
          <w:bCs w:val="false"/>
          <w:color w:val="333333"/>
          <w:sz w:val="20"/>
          <w:szCs w:val="20"/>
        </w:rPr>
        <w:t xml:space="preserve">product_status → Deprecated or Sunset (content lifecycle review trigger)</w:t>
      </w:r>
    </w:p>
    <w:p>
      <w:pPr>
        <w:pStyle w:val="ListParagraph"/>
        <w:numPr>
          <w:ilvl w:val="0"/>
          <w:numId w:val="2"/>
        </w:numPr>
        <w:spacing w:after="80" w:before="0"/>
      </w:pPr>
      <w:r>
        <w:rPr>
          <w:rFonts w:ascii="Arial" w:cs="Arial" w:eastAsia="Arial" w:hAnsi="Arial"/>
          <w:b w:val="false"/>
          <w:bCs w:val="false"/>
          <w:color w:val="333333"/>
          <w:sz w:val="20"/>
          <w:szCs w:val="20"/>
        </w:rPr>
        <w:t xml:space="preserve">External: vendor RSS or API change detected for a managed platform</w:t>
      </w:r>
    </w:p>
    <w:p>
      <w:pPr>
        <w:pStyle w:val="ListParagraph"/>
        <w:numPr>
          <w:ilvl w:val="0"/>
          <w:numId w:val="2"/>
        </w:numPr>
        <w:spacing w:after="80" w:before="0"/>
      </w:pPr>
      <w:r>
        <w:rPr>
          <w:rFonts w:ascii="Arial" w:cs="Arial" w:eastAsia="Arial" w:hAnsi="Arial"/>
          <w:b w:val="false"/>
          <w:bCs w:val="false"/>
          <w:color w:val="333333"/>
          <w:sz w:val="20"/>
          <w:szCs w:val="20"/>
        </w:rPr>
        <w:t xml:space="preserve">Manual: PO or product team slash-command override</w:t>
      </w:r>
    </w:p>
    <w:p>
      <w:pPr>
        <w:spacing w:after="100" w:before="0"/>
      </w:pPr>
    </w:p>
    <w:p>
      <w:pPr>
        <w:spacing w:after="100" w:before="200"/>
      </w:pPr>
      <w:r>
        <w:rPr>
          <w:rFonts w:ascii="Arial" w:cs="Arial" w:eastAsia="Arial" w:hAnsi="Arial"/>
          <w:b/>
          <w:bCs/>
          <w:color w:val="333333"/>
          <w:sz w:val="22"/>
          <w:szCs w:val="22"/>
        </w:rPr>
        <w:t xml:space="preserve">Orchestrator Responsibilities</w:t>
      </w:r>
    </w:p>
    <w:p>
      <w:pPr>
        <w:pStyle w:val="ListParagraph"/>
        <w:numPr>
          <w:ilvl w:val="0"/>
          <w:numId w:val="2"/>
        </w:numPr>
        <w:spacing w:after="80" w:before="0"/>
      </w:pPr>
      <w:r>
        <w:rPr>
          <w:rFonts w:ascii="Arial" w:cs="Arial" w:eastAsia="Arial" w:hAnsi="Arial"/>
          <w:b w:val="false"/>
          <w:bCs w:val="false"/>
          <w:color w:val="333333"/>
          <w:sz w:val="20"/>
          <w:szCs w:val="20"/>
        </w:rPr>
        <w:t xml:space="preserve">Parse the triggering event and extract feature/change metadata from the registry</w:t>
      </w:r>
    </w:p>
    <w:p>
      <w:pPr>
        <w:pStyle w:val="ListParagraph"/>
        <w:numPr>
          <w:ilvl w:val="0"/>
          <w:numId w:val="2"/>
        </w:numPr>
        <w:spacing w:after="80" w:before="0"/>
      </w:pPr>
      <w:r>
        <w:rPr>
          <w:rFonts w:ascii="Arial" w:cs="Arial" w:eastAsia="Arial" w:hAnsi="Arial"/>
          <w:b w:val="false"/>
          <w:bCs w:val="false"/>
          <w:color w:val="333333"/>
          <w:sz w:val="20"/>
          <w:szCs w:val="20"/>
        </w:rPr>
        <w:t xml:space="preserve">Determine content scope from the content_scope registry field — not hardcoded assumptions</w:t>
      </w:r>
    </w:p>
    <w:p>
      <w:pPr>
        <w:pStyle w:val="ListParagraph"/>
        <w:numPr>
          <w:ilvl w:val="0"/>
          <w:numId w:val="2"/>
        </w:numPr>
        <w:spacing w:after="80" w:before="0"/>
      </w:pPr>
      <w:r>
        <w:rPr>
          <w:rFonts w:ascii="Arial" w:cs="Arial" w:eastAsia="Arial" w:hAnsi="Arial"/>
          <w:b w:val="false"/>
          <w:bCs w:val="false"/>
          <w:color w:val="333333"/>
          <w:sz w:val="20"/>
          <w:szCs w:val="20"/>
        </w:rPr>
        <w:t xml:space="preserve">Query the living repo for all existing content blocks linked to this feature</w:t>
      </w:r>
    </w:p>
    <w:p>
      <w:pPr>
        <w:pStyle w:val="ListParagraph"/>
        <w:numPr>
          <w:ilvl w:val="0"/>
          <w:numId w:val="2"/>
        </w:numPr>
        <w:spacing w:after="80" w:before="0"/>
      </w:pPr>
      <w:r>
        <w:rPr>
          <w:rFonts w:ascii="Arial" w:cs="Arial" w:eastAsia="Arial" w:hAnsi="Arial"/>
          <w:b w:val="false"/>
          <w:bCs w:val="false"/>
          <w:color w:val="333333"/>
          <w:sz w:val="20"/>
          <w:szCs w:val="20"/>
        </w:rPr>
        <w:t xml:space="preserve">Spawn only the sub-agents corresponding to the declared content scope</w:t>
      </w:r>
    </w:p>
    <w:p>
      <w:pPr>
        <w:pStyle w:val="ListParagraph"/>
        <w:numPr>
          <w:ilvl w:val="0"/>
          <w:numId w:val="2"/>
        </w:numPr>
        <w:spacing w:after="80" w:before="0"/>
      </w:pPr>
      <w:r>
        <w:rPr>
          <w:rFonts w:ascii="Arial" w:cs="Arial" w:eastAsia="Arial" w:hAnsi="Arial"/>
          <w:b w:val="false"/>
          <w:bCs w:val="false"/>
          <w:color w:val="333333"/>
          <w:sz w:val="20"/>
          <w:szCs w:val="20"/>
        </w:rPr>
        <w:t xml:space="preserve">Create the parent Jira/Aha task and coordinate subtask creation per sub-agent</w:t>
      </w:r>
    </w:p>
    <w:p>
      <w:pPr>
        <w:pStyle w:val="ListParagraph"/>
        <w:numPr>
          <w:ilvl w:val="0"/>
          <w:numId w:val="2"/>
        </w:numPr>
        <w:spacing w:after="80" w:before="0"/>
      </w:pPr>
      <w:r>
        <w:rPr>
          <w:rFonts w:ascii="Arial" w:cs="Arial" w:eastAsia="Arial" w:hAnsi="Arial"/>
          <w:b w:val="false"/>
          <w:bCs w:val="false"/>
          <w:color w:val="333333"/>
          <w:sz w:val="20"/>
          <w:szCs w:val="20"/>
        </w:rPr>
        <w:t xml:space="preserve">For deprecation triggers: spawn a lifecycle review task, not content generation</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60" w:before="0"/>
            </w:pPr>
            <w:r>
              <w:rPr>
                <w:rFonts w:ascii="Arial" w:cs="Arial" w:eastAsia="Arial" w:hAnsi="Arial"/>
                <w:b/>
                <w:bCs/>
                <w:color w:val="1F3864"/>
                <w:sz w:val="18"/>
                <w:szCs w:val="18"/>
              </w:rPr>
              <w:t xml:space="preserve">ACR Control: Identity &amp; Purpose Binding (Pillar 1)</w:t>
            </w:r>
          </w:p>
          <w:p>
            <w:pPr>
              <w:spacing w:after="0" w:before="0"/>
            </w:pPr>
            <w:r>
              <w:rPr>
                <w:rFonts w:ascii="Arial" w:cs="Arial" w:eastAsia="Arial" w:hAnsi="Arial"/>
                <w:color w:val="333333"/>
                <w:sz w:val="19"/>
                <w:szCs w:val="19"/>
              </w:rPr>
              <w:t xml:space="preserve">The orchestrator agent is registered with a unique identity, defined purpose (content pipeline coordination), and explicit scope. It cannot access production systems, publish content, or modify the registry.</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after="60" w:before="0"/>
            </w:pPr>
            <w:r>
              <w:rPr>
                <w:rFonts w:ascii="Arial" w:cs="Arial" w:eastAsia="Arial" w:hAnsi="Arial"/>
                <w:b/>
                <w:bCs/>
                <w:color w:val="7B4F00"/>
                <w:sz w:val="18"/>
                <w:szCs w:val="18"/>
              </w:rPr>
              <w:t xml:space="preserve">⚠  UNSOLVED: Trigger Normalization Across Customer Environments</w:t>
            </w:r>
          </w:p>
          <w:p>
            <w:pPr>
              <w:spacing w:after="0" w:before="0"/>
            </w:pPr>
            <w:r>
              <w:rPr>
                <w:rFonts w:ascii="Arial" w:cs="Arial" w:eastAsia="Arial" w:hAnsi="Arial"/>
                <w:color w:val="333333"/>
                <w:sz w:val="19"/>
                <w:szCs w:val="19"/>
              </w:rPr>
              <w:t xml:space="preserve">Jira and Aha use different field schemas and status naming conventions per customer deployment. A customer onboarding mapping interface is required and is not in MVP scope.</w:t>
            </w:r>
          </w:p>
        </w:tc>
      </w:tr>
    </w:tbl>
    <w:p>
      <w:pPr>
        <w:spacing w:after="200" w:before="0"/>
      </w:pPr>
    </w:p>
    <w:p>
      <w:pPr>
        <w:pStyle w:val="Heading2"/>
        <w:spacing w:after="120" w:before="280"/>
      </w:pPr>
      <w:r>
        <w:rPr>
          <w:rFonts w:ascii="Arial" w:cs="Arial" w:eastAsia="Arial" w:hAnsi="Arial"/>
          <w:b/>
          <w:bCs/>
          <w:color w:val="2E75B6"/>
          <w:sz w:val="26"/>
          <w:szCs w:val="26"/>
        </w:rPr>
        <w:t xml:space="preserve">2.3  Layer 2: Role-Specific Content Generation Agents</w:t>
      </w:r>
    </w:p>
    <w:p>
      <w:pPr>
        <w:spacing w:after="140" w:before="0"/>
      </w:pPr>
      <w:r>
        <w:rPr>
          <w:rFonts w:ascii="Arial" w:cs="Arial" w:eastAsia="Arial" w:hAnsi="Arial"/>
          <w:color w:val="333333"/>
          <w:sz w:val="20"/>
          <w:szCs w:val="20"/>
        </w:rPr>
        <w:t xml:space="preserve">Once the orchestrator has assembled a context package, it spawns one sub-agent per content type declared in the registry’s content_scope field. Sub-agents are independent, scoped, and policy-constrained. They do not communicate with each other.</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2760"/>
        <w:gridCol w:w="8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Agent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Output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Audience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Existing Content Action</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CS Documentation Agent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Support guide, troubleshooting flow, FAQ delta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Customer Service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Diff against existing CS docs; tracked changes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PMM Enablement Agent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Pitch points, competitive delta, battlecard update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Product Marketing</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Update existing enablement docs; flag gaps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Incident Management Agent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Runbook update, SOP delta, alert threshold changes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SOC / Incident Response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Versioned diff; mandatory SME sign-off</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Release Notes Agent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Customer-facing release note, internal changelog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Product + Customers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New content per release; linked to registry entry</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60" w:before="0"/>
            </w:pPr>
            <w:r>
              <w:rPr>
                <w:rFonts w:ascii="Arial" w:cs="Arial" w:eastAsia="Arial" w:hAnsi="Arial"/>
                <w:b/>
                <w:bCs/>
                <w:color w:val="1F3864"/>
                <w:sz w:val="18"/>
                <w:szCs w:val="18"/>
              </w:rPr>
              <w:t xml:space="preserve">ACR Control: Behavioral Policy Enforcement (Pillar 2)</w:t>
            </w:r>
          </w:p>
          <w:p>
            <w:pPr>
              <w:spacing w:after="0" w:before="0"/>
            </w:pPr>
            <w:r>
              <w:rPr>
                <w:rFonts w:ascii="Arial" w:cs="Arial" w:eastAsia="Arial" w:hAnsi="Arial"/>
                <w:color w:val="333333"/>
                <w:sz w:val="19"/>
                <w:szCs w:val="19"/>
              </w:rPr>
              <w:t xml:space="preserve">Each sub-agent operates under a runtime guardrail policy. The Incident Management Agent cannot publish without human approval, has a confidence floor of 90% before draft generation, and cannot access customer data.</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after="60" w:before="0"/>
            </w:pPr>
            <w:r>
              <w:rPr>
                <w:rFonts w:ascii="Arial" w:cs="Arial" w:eastAsia="Arial" w:hAnsi="Arial"/>
                <w:b/>
                <w:bCs/>
                <w:color w:val="7B4F00"/>
                <w:sz w:val="18"/>
                <w:szCs w:val="18"/>
              </w:rPr>
              <w:t xml:space="preserve">⚠  UNSOLVED: Content Quality at Thin Context</w:t>
            </w:r>
          </w:p>
          <w:p>
            <w:pPr>
              <w:spacing w:after="0" w:before="0"/>
            </w:pPr>
            <w:r>
              <w:rPr>
                <w:rFonts w:ascii="Arial" w:cs="Arial" w:eastAsia="Arial" w:hAnsi="Arial"/>
                <w:color w:val="333333"/>
                <w:sz w:val="19"/>
                <w:szCs w:val="19"/>
              </w:rPr>
              <w:t xml:space="preserve">Sub-agents will generate weak drafts when source context is sparse. Confidence scoring must be surfaced to the SME, not hidden. A style enforcement pass is not yet designed.</w:t>
            </w:r>
          </w:p>
        </w:tc>
      </w:tr>
    </w:tbl>
    <w:p>
      <w:pPr>
        <w:spacing w:after="200" w:before="0"/>
      </w:pPr>
    </w:p>
    <w:p>
      <w:pPr>
        <w:pStyle w:val="Heading2"/>
        <w:spacing w:after="120" w:before="280"/>
      </w:pPr>
      <w:r>
        <w:rPr>
          <w:rFonts w:ascii="Arial" w:cs="Arial" w:eastAsia="Arial" w:hAnsi="Arial"/>
          <w:b/>
          <w:bCs/>
          <w:color w:val="2E75B6"/>
          <w:sz w:val="26"/>
          <w:szCs w:val="26"/>
        </w:rPr>
        <w:t xml:space="preserve">2.4  Layer 3: Human-in-the-Loop Approval Package</w:t>
      </w:r>
    </w:p>
    <w:p>
      <w:pPr>
        <w:spacing w:after="140" w:before="0"/>
      </w:pPr>
      <w:r>
        <w:rPr>
          <w:rFonts w:ascii="Arial" w:cs="Arial" w:eastAsia="Arial" w:hAnsi="Arial"/>
          <w:color w:val="333333"/>
          <w:sz w:val="20"/>
          <w:szCs w:val="20"/>
        </w:rPr>
        <w:t xml:space="preserve">The system delivers a structured package inside the SME’s existing workflow. No new tools. No context switching. Everything lives in Jira or Aha.</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60" w:before="0"/>
            </w:pPr>
            <w:r>
              <w:rPr>
                <w:rFonts w:ascii="Arial" w:cs="Arial" w:eastAsia="Arial" w:hAnsi="Arial"/>
                <w:b/>
                <w:bCs/>
                <w:color w:val="333333"/>
                <w:sz w:val="18"/>
                <w:szCs w:val="18"/>
              </w:rPr>
              <w:t xml:space="preserve">What the SME Receives in Jira / Aha (Per Subtask)</w:t>
            </w:r>
          </w:p>
          <w:p>
            <w:pPr>
              <w:spacing w:after="0" w:before="0"/>
            </w:pPr>
            <w:r>
              <w:rPr>
                <w:rFonts w:ascii="Arial" w:cs="Arial" w:eastAsia="Arial" w:hAnsi="Arial"/>
                <w:color w:val="333333"/>
                <w:sz w:val="19"/>
                <w:szCs w:val="19"/>
              </w:rPr>
              <w:t xml:space="preserve">Feature / Change: [Registry entry title and description]
Product status: [Active / Beta / Deprecated / Sunset]
Existing content under your purview: [linked list with version and last-updated date]
Drafted changes (tracked changes): [inline diff of proposed edits to existing content]
New content to create: [draft where no prior content exists]
Confidence score: [agent self-assessed; items below threshold flagged RED]
Required action: Approve / Edit / Reject — closes subtask and triggers repo update</w:t>
            </w:r>
          </w:p>
        </w:tc>
      </w:tr>
    </w:tbl>
    <w:p>
      <w:pPr>
        <w:spacing w:after="140" w:before="0"/>
      </w:pPr>
    </w:p>
    <w:p>
      <w:pPr>
        <w:spacing w:after="100" w:before="200"/>
      </w:pPr>
      <w:r>
        <w:rPr>
          <w:rFonts w:ascii="Arial" w:cs="Arial" w:eastAsia="Arial" w:hAnsi="Arial"/>
          <w:b/>
          <w:bCs/>
          <w:color w:val="333333"/>
          <w:sz w:val="22"/>
          <w:szCs w:val="22"/>
        </w:rPr>
        <w:t xml:space="preserve">Workflow Mechanics</w:t>
      </w:r>
    </w:p>
    <w:p>
      <w:pPr>
        <w:pStyle w:val="ListParagraph"/>
        <w:numPr>
          <w:ilvl w:val="0"/>
          <w:numId w:val="2"/>
        </w:numPr>
        <w:spacing w:after="80" w:before="0"/>
      </w:pPr>
      <w:r>
        <w:rPr>
          <w:rFonts w:ascii="Arial" w:cs="Arial" w:eastAsia="Arial" w:hAnsi="Arial"/>
          <w:b w:val="false"/>
          <w:bCs w:val="false"/>
          <w:color w:val="333333"/>
          <w:sz w:val="20"/>
          <w:szCs w:val="20"/>
        </w:rPr>
        <w:t xml:space="preserve">Orchestrator creates parent task: ‘[Feature X] Content Bundle — Pending Review’</w:t>
      </w:r>
    </w:p>
    <w:p>
      <w:pPr>
        <w:pStyle w:val="ListParagraph"/>
        <w:numPr>
          <w:ilvl w:val="0"/>
          <w:numId w:val="2"/>
        </w:numPr>
        <w:spacing w:after="80" w:before="0"/>
      </w:pPr>
      <w:r>
        <w:rPr>
          <w:rFonts w:ascii="Arial" w:cs="Arial" w:eastAsia="Arial" w:hAnsi="Arial"/>
          <w:b w:val="false"/>
          <w:bCs w:val="false"/>
          <w:color w:val="333333"/>
          <w:sz w:val="20"/>
          <w:szCs w:val="20"/>
        </w:rPr>
        <w:t xml:space="preserve">Subtasks created per declared content_scope entry, each assigned to the appropriate SME role</w:t>
      </w:r>
    </w:p>
    <w:p>
      <w:pPr>
        <w:pStyle w:val="ListParagraph"/>
        <w:numPr>
          <w:ilvl w:val="0"/>
          <w:numId w:val="2"/>
        </w:numPr>
        <w:spacing w:after="80" w:before="0"/>
      </w:pPr>
      <w:r>
        <w:rPr>
          <w:rFonts w:ascii="Arial" w:cs="Arial" w:eastAsia="Arial" w:hAnsi="Arial"/>
          <w:b w:val="false"/>
          <w:bCs w:val="false"/>
          <w:color w:val="333333"/>
          <w:sz w:val="20"/>
          <w:szCs w:val="20"/>
        </w:rPr>
        <w:t xml:space="preserve">Parent task cannot be closed until all subtasks are resolved (Jira workflow gate)</w:t>
      </w:r>
    </w:p>
    <w:p>
      <w:pPr>
        <w:pStyle w:val="ListParagraph"/>
        <w:numPr>
          <w:ilvl w:val="0"/>
          <w:numId w:val="2"/>
        </w:numPr>
        <w:spacing w:after="80" w:before="0"/>
      </w:pPr>
      <w:r>
        <w:rPr>
          <w:rFonts w:ascii="Arial" w:cs="Arial" w:eastAsia="Arial" w:hAnsi="Arial"/>
          <w:b w:val="false"/>
          <w:bCs w:val="false"/>
          <w:color w:val="333333"/>
          <w:sz w:val="20"/>
          <w:szCs w:val="20"/>
        </w:rPr>
        <w:t xml:space="preserve">Approved subtasks trigger an automatic write to the living knowledge repository</w:t>
      </w:r>
    </w:p>
    <w:p>
      <w:pPr>
        <w:pStyle w:val="ListParagraph"/>
        <w:numPr>
          <w:ilvl w:val="0"/>
          <w:numId w:val="2"/>
        </w:numPr>
        <w:spacing w:after="80" w:before="0"/>
      </w:pPr>
      <w:r>
        <w:rPr>
          <w:rFonts w:ascii="Arial" w:cs="Arial" w:eastAsia="Arial" w:hAnsi="Arial"/>
          <w:b w:val="false"/>
          <w:bCs w:val="false"/>
          <w:color w:val="333333"/>
          <w:sz w:val="20"/>
          <w:szCs w:val="20"/>
        </w:rPr>
        <w:t xml:space="preserve">Rejected subtasks create a feedback record that informs future agent behaviour</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60" w:before="0"/>
            </w:pPr>
            <w:r>
              <w:rPr>
                <w:rFonts w:ascii="Arial" w:cs="Arial" w:eastAsia="Arial" w:hAnsi="Arial"/>
                <w:b/>
                <w:bCs/>
                <w:color w:val="1F3864"/>
                <w:sz w:val="18"/>
                <w:szCs w:val="18"/>
              </w:rPr>
              <w:t xml:space="preserve">ACR Control: Human Authority (Pillar 6)</w:t>
            </w:r>
          </w:p>
          <w:p>
            <w:pPr>
              <w:spacing w:after="0" w:before="0"/>
            </w:pPr>
            <w:r>
              <w:rPr>
                <w:rFonts w:ascii="Arial" w:cs="Arial" w:eastAsia="Arial" w:hAnsi="Arial"/>
                <w:color w:val="333333"/>
                <w:sz w:val="19"/>
                <w:szCs w:val="19"/>
              </w:rPr>
              <w:t xml:space="preserve">All content publication is a high-impact action requiring explicit SME approval. The system cannot bypass this gate. Approvals are logged with timestamp, reviewer identity, and edits made.</w:t>
            </w:r>
          </w:p>
        </w:tc>
      </w:tr>
    </w:tbl>
    <w:p>
      <w:pPr>
        <w:spacing w:after="200" w:before="0"/>
      </w:pPr>
    </w:p>
    <w:p>
      <w:r>
        <w:br w:type="page"/>
      </w:r>
    </w:p>
    <w:p>
      <w:pPr>
        <w:pStyle w:val="Heading1"/>
        <w:spacing w:after="160" w:before="400"/>
      </w:pPr>
      <w:r>
        <w:rPr>
          <w:rFonts w:ascii="Arial" w:cs="Arial" w:eastAsia="Arial" w:hAnsi="Arial"/>
          <w:b/>
          <w:bCs/>
          <w:color w:val="1F3864"/>
          <w:sz w:val="32"/>
          <w:szCs w:val="32"/>
        </w:rPr>
        <w:t xml:space="preserve">3.  The Living Knowledge Repository</w:t>
      </w:r>
    </w:p>
    <w:p>
      <w:pPr>
        <w:spacing w:after="140" w:before="0"/>
      </w:pPr>
      <w:r>
        <w:rPr>
          <w:rFonts w:ascii="Arial" w:cs="Arial" w:eastAsia="Arial" w:hAnsi="Arial"/>
          <w:color w:val="333333"/>
          <w:sz w:val="20"/>
          <w:szCs w:val="20"/>
        </w:rPr>
        <w:t xml:space="preserve">The living knowledge repository is the canonical, governed store for all approved content. It is not a file system. It is a versioned, metadata-rich knowledge base where every content block carries provenance, ownership, version history, lifecycle state, and AI-readable structure.</w:t>
      </w:r>
    </w:p>
    <w:p>
      <w:pPr>
        <w:pStyle w:val="Heading2"/>
        <w:spacing w:after="120" w:before="280"/>
      </w:pPr>
      <w:r>
        <w:rPr>
          <w:rFonts w:ascii="Arial" w:cs="Arial" w:eastAsia="Arial" w:hAnsi="Arial"/>
          <w:b/>
          <w:bCs/>
          <w:color w:val="2E75B6"/>
          <w:sz w:val="26"/>
          <w:szCs w:val="26"/>
        </w:rPr>
        <w:t xml:space="preserve">3.1  Repository Structure</w:t>
      </w:r>
    </w:p>
    <w:p>
      <w:pPr>
        <w:spacing w:after="140" w:before="0"/>
      </w:pPr>
      <w:r>
        <w:rPr>
          <w:rFonts w:ascii="Arial" w:cs="Arial" w:eastAsia="Arial" w:hAnsi="Arial"/>
          <w:color w:val="333333"/>
          <w:sz w:val="20"/>
          <w:szCs w:val="20"/>
        </w:rPr>
        <w:t xml:space="preserve">/repo/{org}/{product-or-platform}/{content-type}/{version}/content.md</w:t>
      </w:r>
    </w:p>
    <w:p>
      <w:pPr>
        <w:spacing w:after="80" w:before="0"/>
      </w:pPr>
    </w:p>
    <w:p>
      <w:pPr>
        <w:spacing w:after="140" w:before="0"/>
      </w:pPr>
      <w:r>
        <w:rPr>
          <w:rFonts w:ascii="Arial" w:cs="Arial" w:eastAsia="Arial" w:hAnsi="Arial"/>
          <w:color w:val="333333"/>
          <w:sz w:val="20"/>
          <w:szCs w:val="20"/>
        </w:rPr>
        <w:t xml:space="preserve">Each block carries: content_type, audience, product, feature, version, lifecycle_state, confidence_score, approved_by, approved_at, source_trigger, agent_id, registry_entry_id.</w:t>
      </w:r>
    </w:p>
    <w:p>
      <w:pPr>
        <w:pStyle w:val="Heading2"/>
        <w:spacing w:after="120" w:before="280"/>
      </w:pPr>
      <w:r>
        <w:rPr>
          <w:rFonts w:ascii="Arial" w:cs="Arial" w:eastAsia="Arial" w:hAnsi="Arial"/>
          <w:b/>
          <w:bCs/>
          <w:color w:val="2E75B6"/>
          <w:sz w:val="26"/>
          <w:szCs w:val="26"/>
        </w:rPr>
        <w:t xml:space="preserve">3.2  Registry-Driven Lifecycle</w:t>
      </w:r>
    </w:p>
    <w:p>
      <w:pPr>
        <w:spacing w:after="140" w:before="0"/>
      </w:pPr>
      <w:r>
        <w:rPr>
          <w:rFonts w:ascii="Arial" w:cs="Arial" w:eastAsia="Arial" w:hAnsi="Arial"/>
          <w:color w:val="333333"/>
          <w:sz w:val="20"/>
          <w:szCs w:val="20"/>
        </w:rPr>
        <w:t xml:space="preserve">The repository does not manage its own lifecycle independently. It takes its signals from the product/feature registry.</w:t>
      </w:r>
    </w:p>
    <w:p>
      <w:pPr>
        <w:spacing w:after="80" w:before="0"/>
      </w:pPr>
    </w:p>
    <w:p>
      <w:pPr>
        <w:pStyle w:val="ListParagraph"/>
        <w:numPr>
          <w:ilvl w:val="0"/>
          <w:numId w:val="2"/>
        </w:numPr>
        <w:spacing w:after="80" w:before="0"/>
      </w:pPr>
      <w:r>
        <w:rPr>
          <w:rFonts w:ascii="Arial" w:cs="Arial" w:eastAsia="Arial" w:hAnsi="Arial"/>
          <w:b w:val="false"/>
          <w:bCs w:val="false"/>
          <w:color w:val="333333"/>
          <w:sz w:val="20"/>
          <w:szCs w:val="20"/>
        </w:rPr>
        <w:t xml:space="preserve">Deprecated: content blocks marked Under Review; lifecycle task created for SME confirmation</w:t>
      </w:r>
    </w:p>
    <w:p>
      <w:pPr>
        <w:pStyle w:val="ListParagraph"/>
        <w:numPr>
          <w:ilvl w:val="0"/>
          <w:numId w:val="2"/>
        </w:numPr>
        <w:spacing w:after="80" w:before="0"/>
      </w:pPr>
      <w:r>
        <w:rPr>
          <w:rFonts w:ascii="Arial" w:cs="Arial" w:eastAsia="Arial" w:hAnsi="Arial"/>
          <w:b w:val="false"/>
          <w:bCs w:val="false"/>
          <w:color w:val="333333"/>
          <w:sz w:val="20"/>
          <w:szCs w:val="20"/>
        </w:rPr>
        <w:t xml:space="preserve">Sunset (no successor): SME confirms no replacement; content moved to Archived state</w:t>
      </w:r>
    </w:p>
    <w:p>
      <w:pPr>
        <w:pStyle w:val="ListParagraph"/>
        <w:numPr>
          <w:ilvl w:val="0"/>
          <w:numId w:val="2"/>
        </w:numPr>
        <w:spacing w:after="80" w:before="0"/>
      </w:pPr>
      <w:r>
        <w:rPr>
          <w:rFonts w:ascii="Arial" w:cs="Arial" w:eastAsia="Arial" w:hAnsi="Arial"/>
          <w:b w:val="false"/>
          <w:bCs w:val="false"/>
          <w:color w:val="333333"/>
          <w:sz w:val="20"/>
          <w:szCs w:val="20"/>
        </w:rPr>
        <w:t xml:space="preserve">Sunset (with successor): content is Redirected; queries return successor content with migration note</w:t>
      </w:r>
    </w:p>
    <w:p>
      <w:pPr>
        <w:pStyle w:val="ListParagraph"/>
        <w:numPr>
          <w:ilvl w:val="0"/>
          <w:numId w:val="2"/>
        </w:numPr>
        <w:spacing w:after="80" w:before="0"/>
      </w:pPr>
      <w:r>
        <w:rPr>
          <w:rFonts w:ascii="Arial" w:cs="Arial" w:eastAsia="Arial" w:hAnsi="Arial"/>
          <w:b w:val="false"/>
          <w:bCs w:val="false"/>
          <w:color w:val="333333"/>
          <w:sz w:val="20"/>
          <w:szCs w:val="20"/>
        </w:rPr>
        <w:t xml:space="preserve">Orphaned content: automatically flagged for SME triage queue</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F0E0" w:val="clear"/>
            <w:tcMar>
              <w:top w:type="dxa" w:w="120"/>
              <w:left w:type="dxa" w:w="200"/>
              <w:bottom w:type="dxa" w:w="120"/>
              <w:right w:type="dxa" w:w="200"/>
            </w:tcMar>
          </w:tcPr>
          <w:p>
            <w:pPr>
              <w:spacing w:after="60" w:before="0"/>
            </w:pPr>
            <w:r>
              <w:rPr>
                <w:rFonts w:ascii="Arial" w:cs="Arial" w:eastAsia="Arial" w:hAnsi="Arial"/>
                <w:b/>
                <w:bCs/>
                <w:color w:val="1A4D2E"/>
                <w:sz w:val="18"/>
                <w:szCs w:val="18"/>
              </w:rPr>
              <w:t xml:space="preserve">✓  RESOLVED: Content Deprecation via Registry</w:t>
            </w:r>
          </w:p>
          <w:p>
            <w:pPr>
              <w:spacing w:after="0" w:before="0"/>
            </w:pPr>
            <w:r>
              <w:rPr>
                <w:rFonts w:ascii="Arial" w:cs="Arial" w:eastAsia="Arial" w:hAnsi="Arial"/>
                <w:color w:val="333333"/>
                <w:sz w:val="19"/>
                <w:szCs w:val="19"/>
              </w:rPr>
              <w:t xml:space="preserve">Deprecation is now registry-driven, not repository-driven. The product team’s existing workflow state is the trigger. Orphaned content detection closes the gap for content created before GACI was deployed.</w:t>
            </w:r>
          </w:p>
        </w:tc>
      </w:tr>
    </w:tbl>
    <w:p>
      <w:pPr>
        <w:spacing w:after="200" w:before="0"/>
      </w:pPr>
    </w:p>
    <w:p>
      <w:pPr>
        <w:pStyle w:val="Heading2"/>
        <w:spacing w:after="120" w:before="280"/>
      </w:pPr>
      <w:r>
        <w:rPr>
          <w:rFonts w:ascii="Arial" w:cs="Arial" w:eastAsia="Arial" w:hAnsi="Arial"/>
          <w:b/>
          <w:bCs/>
          <w:color w:val="2E75B6"/>
          <w:sz w:val="26"/>
          <w:szCs w:val="26"/>
        </w:rPr>
        <w:t xml:space="preserve">3.3  Discoverability Layer</w:t>
      </w:r>
    </w:p>
    <w:p>
      <w:pPr>
        <w:spacing w:after="140" w:before="0"/>
      </w:pPr>
      <w:r>
        <w:rPr>
          <w:rFonts w:ascii="Arial" w:cs="Arial" w:eastAsia="Arial" w:hAnsi="Arial"/>
          <w:color w:val="333333"/>
          <w:sz w:val="20"/>
          <w:szCs w:val="20"/>
        </w:rPr>
        <w:t xml:space="preserve">Approved, Active content is indexed in a vector store and made available to AI agents on communication surfaces. Archived and Orphaned content is excluded from retrieval but retained for audit.</w:t>
      </w:r>
    </w:p>
    <w:p>
      <w:pPr>
        <w:spacing w:after="100" w:before="0"/>
      </w:pPr>
    </w:p>
    <w:p>
      <w:pPr>
        <w:spacing w:after="100" w:before="200"/>
      </w:pPr>
      <w:r>
        <w:rPr>
          <w:rFonts w:ascii="Arial" w:cs="Arial" w:eastAsia="Arial" w:hAnsi="Arial"/>
          <w:b/>
          <w:bCs/>
          <w:color w:val="333333"/>
          <w:sz w:val="22"/>
          <w:szCs w:val="22"/>
        </w:rPr>
        <w:t xml:space="preserve">Query Flow (Slack Example)</w:t>
      </w:r>
    </w:p>
    <w:p>
      <w:pPr>
        <w:pStyle w:val="ListParagraph"/>
        <w:numPr>
          <w:ilvl w:val="0"/>
          <w:numId w:val="2"/>
        </w:numPr>
        <w:spacing w:after="80" w:before="0"/>
      </w:pPr>
      <w:r>
        <w:rPr>
          <w:rFonts w:ascii="Arial" w:cs="Arial" w:eastAsia="Arial" w:hAnsi="Arial"/>
          <w:b w:val="false"/>
          <w:bCs w:val="false"/>
          <w:color w:val="333333"/>
          <w:sz w:val="20"/>
          <w:szCs w:val="20"/>
        </w:rPr>
        <w:t xml:space="preserve">User asks: ‘What’s the current CS guidance for the SentinelOne v8 upgrade?’</w:t>
      </w:r>
    </w:p>
    <w:p>
      <w:pPr>
        <w:pStyle w:val="ListParagraph"/>
        <w:numPr>
          <w:ilvl w:val="0"/>
          <w:numId w:val="2"/>
        </w:numPr>
        <w:spacing w:after="80" w:before="0"/>
      </w:pPr>
      <w:r>
        <w:rPr>
          <w:rFonts w:ascii="Arial" w:cs="Arial" w:eastAsia="Arial" w:hAnsi="Arial"/>
          <w:b w:val="false"/>
          <w:bCs w:val="false"/>
          <w:color w:val="333333"/>
          <w:sz w:val="20"/>
          <w:szCs w:val="20"/>
        </w:rPr>
        <w:t xml:space="preserve">Slack agent queries vector store with role-aware context (user’s department / permissions)</w:t>
      </w:r>
    </w:p>
    <w:p>
      <w:pPr>
        <w:pStyle w:val="ListParagraph"/>
        <w:numPr>
          <w:ilvl w:val="0"/>
          <w:numId w:val="2"/>
        </w:numPr>
        <w:spacing w:after="80" w:before="0"/>
      </w:pPr>
      <w:r>
        <w:rPr>
          <w:rFonts w:ascii="Arial" w:cs="Arial" w:eastAsia="Arial" w:hAnsi="Arial"/>
          <w:b w:val="false"/>
          <w:bCs w:val="false"/>
          <w:color w:val="333333"/>
          <w:sz w:val="20"/>
          <w:szCs w:val="20"/>
        </w:rPr>
        <w:t xml:space="preserve">Retrieval returns most recent Active CS block for that product/version</w:t>
      </w:r>
    </w:p>
    <w:p>
      <w:pPr>
        <w:pStyle w:val="ListParagraph"/>
        <w:numPr>
          <w:ilvl w:val="0"/>
          <w:numId w:val="2"/>
        </w:numPr>
        <w:spacing w:after="80" w:before="0"/>
      </w:pPr>
      <w:r>
        <w:rPr>
          <w:rFonts w:ascii="Arial" w:cs="Arial" w:eastAsia="Arial" w:hAnsi="Arial"/>
          <w:b w:val="false"/>
          <w:bCs w:val="false"/>
          <w:color w:val="333333"/>
          <w:sz w:val="20"/>
          <w:szCs w:val="20"/>
        </w:rPr>
        <w:t xml:space="preserve">Response delivered inline with: source citation, version, approval date, SME name, lifecycle state</w:t>
      </w:r>
    </w:p>
    <w:p>
      <w:pPr>
        <w:pStyle w:val="ListParagraph"/>
        <w:numPr>
          <w:ilvl w:val="0"/>
          <w:numId w:val="2"/>
        </w:numPr>
        <w:spacing w:after="80" w:before="0"/>
      </w:pPr>
      <w:r>
        <w:rPr>
          <w:rFonts w:ascii="Arial" w:cs="Arial" w:eastAsia="Arial" w:hAnsi="Arial"/>
          <w:b w:val="false"/>
          <w:bCs w:val="false"/>
          <w:color w:val="333333"/>
          <w:sz w:val="20"/>
          <w:szCs w:val="20"/>
        </w:rPr>
        <w:t xml:space="preserve">If no confident match: surfaces a knowledge gap flag — not a hallucination; creates a gap task in Jira</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after="60" w:before="0"/>
            </w:pPr>
            <w:r>
              <w:rPr>
                <w:rFonts w:ascii="Arial" w:cs="Arial" w:eastAsia="Arial" w:hAnsi="Arial"/>
                <w:b/>
                <w:bCs/>
                <w:color w:val="7B4F00"/>
                <w:sz w:val="18"/>
                <w:szCs w:val="18"/>
              </w:rPr>
              <w:t xml:space="preserve">⚠  UNSOLVED: Repository Sync Reliability</w:t>
            </w:r>
          </w:p>
          <w:p>
            <w:pPr>
              <w:spacing w:after="0" w:before="0"/>
            </w:pPr>
            <w:r>
              <w:rPr>
                <w:rFonts w:ascii="Arial" w:cs="Arial" w:eastAsia="Arial" w:hAnsi="Arial"/>
                <w:color w:val="333333"/>
                <w:sz w:val="19"/>
                <w:szCs w:val="19"/>
              </w:rPr>
              <w:t xml:space="preserve">The write path from approved Jira subtask to repository is the highest-risk engineering touchpoint. Idempotent writes, retry logic, and a reconciliation job are required. Multi-tenant content isolation has not been stress-tested.</w:t>
            </w:r>
          </w:p>
        </w:tc>
      </w:tr>
    </w:tbl>
    <w:p>
      <w:pPr>
        <w:spacing w:after="200" w:before="0"/>
      </w:pPr>
    </w:p>
    <w:p>
      <w:r>
        <w:br w:type="page"/>
      </w:r>
    </w:p>
    <w:p>
      <w:pPr>
        <w:pStyle w:val="Heading1"/>
        <w:spacing w:after="160" w:before="400"/>
      </w:pPr>
      <w:r>
        <w:rPr>
          <w:rFonts w:ascii="Arial" w:cs="Arial" w:eastAsia="Arial" w:hAnsi="Arial"/>
          <w:b/>
          <w:bCs/>
          <w:color w:val="1F3864"/>
          <w:sz w:val="32"/>
          <w:szCs w:val="32"/>
        </w:rPr>
        <w:t xml:space="preserve">4.  The Variance Detection Agent: Bottom-Up Feedback Loop</w:t>
      </w:r>
    </w:p>
    <w:p>
      <w:pPr>
        <w:spacing w:after="140" w:before="0"/>
      </w:pPr>
      <w:r>
        <w:rPr>
          <w:rFonts w:ascii="Arial" w:cs="Arial" w:eastAsia="Arial" w:hAnsi="Arial"/>
          <w:color w:val="333333"/>
          <w:sz w:val="20"/>
          <w:szCs w:val="20"/>
        </w:rPr>
        <w:t xml:space="preserve">Every other component of GACI flows top-down: product state triggers content generation, which flows through SME review, which populates the repository. The Variance Detection Agent (VDA) runs in the opposite direction. It observes how frontline teams actually document their work in case management systems, and surfaces the gap between what the documentation says and what practitioners are doing in the field.</w:t>
      </w:r>
    </w:p>
    <w:p>
      <w:pPr>
        <w:pStyle w:val="Heading2"/>
        <w:spacing w:after="120" w:before="280"/>
      </w:pPr>
      <w:r>
        <w:rPr>
          <w:rFonts w:ascii="Arial" w:cs="Arial" w:eastAsia="Arial" w:hAnsi="Arial"/>
          <w:b/>
          <w:bCs/>
          <w:color w:val="2E75B6"/>
          <w:sz w:val="26"/>
          <w:szCs w:val="26"/>
        </w:rPr>
        <w:t xml:space="preserve">4.1  How It Works</w:t>
      </w:r>
    </w:p>
    <w:p>
      <w:pPr>
        <w:spacing w:after="140" w:before="0"/>
      </w:pPr>
      <w:r>
        <w:rPr>
          <w:rFonts w:ascii="Arial" w:cs="Arial" w:eastAsia="Arial" w:hAnsi="Arial"/>
          <w:color w:val="333333"/>
          <w:sz w:val="20"/>
          <w:szCs w:val="20"/>
        </w:rPr>
        <w:t xml:space="preserve">The VDA operates as a continuous background observer on case notes and ticket documentation within a defined scope. It does not read customer PII. It reads the practitioner’s own documentation and compares patterns against the approved content in the repository.</w:t>
      </w:r>
    </w:p>
    <w:p>
      <w:pPr>
        <w:spacing w:after="100" w:before="0"/>
      </w:pPr>
    </w:p>
    <w:p>
      <w:pPr>
        <w:spacing w:after="100" w:before="200"/>
      </w:pPr>
      <w:r>
        <w:rPr>
          <w:rFonts w:ascii="Arial" w:cs="Arial" w:eastAsia="Arial" w:hAnsi="Arial"/>
          <w:b/>
          <w:bCs/>
          <w:color w:val="333333"/>
          <w:sz w:val="22"/>
          <w:szCs w:val="22"/>
        </w:rPr>
        <w:t xml:space="preserve">Signal Detection</w:t>
      </w:r>
    </w:p>
    <w:p>
      <w:pPr>
        <w:pStyle w:val="ListParagraph"/>
        <w:numPr>
          <w:ilvl w:val="0"/>
          <w:numId w:val="2"/>
        </w:numPr>
        <w:spacing w:after="80" w:before="0"/>
      </w:pPr>
      <w:r>
        <w:rPr>
          <w:rFonts w:ascii="Arial" w:cs="Arial" w:eastAsia="Arial" w:hAnsi="Arial"/>
          <w:b w:val="false"/>
          <w:bCs w:val="false"/>
          <w:color w:val="333333"/>
          <w:sz w:val="20"/>
          <w:szCs w:val="20"/>
        </w:rPr>
        <w:t xml:space="preserve">The agent embeds incoming case note patterns and compares them against the current approved content block</w:t>
      </w:r>
    </w:p>
    <w:p>
      <w:pPr>
        <w:pStyle w:val="ListParagraph"/>
        <w:numPr>
          <w:ilvl w:val="0"/>
          <w:numId w:val="2"/>
        </w:numPr>
        <w:spacing w:after="80" w:before="0"/>
      </w:pPr>
      <w:r>
        <w:rPr>
          <w:rFonts w:ascii="Arial" w:cs="Arial" w:eastAsia="Arial" w:hAnsi="Arial"/>
          <w:b w:val="false"/>
          <w:bCs w:val="false"/>
          <w:color w:val="333333"/>
          <w:sz w:val="20"/>
          <w:szCs w:val="20"/>
        </w:rPr>
        <w:t xml:space="preserve">Variance is scored as semantic distance from approved guidance</w:t>
      </w:r>
    </w:p>
    <w:p>
      <w:pPr>
        <w:pStyle w:val="ListParagraph"/>
        <w:numPr>
          <w:ilvl w:val="0"/>
          <w:numId w:val="2"/>
        </w:numPr>
        <w:spacing w:after="80" w:before="0"/>
      </w:pPr>
      <w:r>
        <w:rPr>
          <w:rFonts w:ascii="Arial" w:cs="Arial" w:eastAsia="Arial" w:hAnsi="Arial"/>
          <w:b w:val="false"/>
          <w:bCs w:val="false"/>
          <w:color w:val="333333"/>
          <w:sz w:val="20"/>
          <w:szCs w:val="20"/>
        </w:rPr>
        <w:t xml:space="preserve">Variance instances are counted within a rolling time window (default: 30 days)</w:t>
      </w:r>
    </w:p>
    <w:p>
      <w:pPr>
        <w:pStyle w:val="ListParagraph"/>
        <w:numPr>
          <w:ilvl w:val="0"/>
          <w:numId w:val="2"/>
        </w:numPr>
        <w:spacing w:after="80" w:before="0"/>
      </w:pPr>
      <w:r>
        <w:rPr>
          <w:rFonts w:ascii="Arial" w:cs="Arial" w:eastAsia="Arial" w:hAnsi="Arial"/>
          <w:b w:val="false"/>
          <w:bCs w:val="false"/>
          <w:color w:val="333333"/>
          <w:sz w:val="20"/>
          <w:szCs w:val="20"/>
        </w:rPr>
        <w:t xml:space="preserve">Two thresholds configured per team: a monitoring threshold and a review threshold</w:t>
      </w:r>
    </w:p>
    <w:p>
      <w:pPr>
        <w:spacing w:after="140" w:before="0"/>
      </w:pPr>
    </w:p>
    <w:p>
      <w:pPr>
        <w:spacing w:after="100" w:before="200"/>
      </w:pPr>
      <w:r>
        <w:rPr>
          <w:rFonts w:ascii="Arial" w:cs="Arial" w:eastAsia="Arial" w:hAnsi="Arial"/>
          <w:b/>
          <w:bCs/>
          <w:color w:val="333333"/>
          <w:sz w:val="22"/>
          <w:szCs w:val="22"/>
        </w:rPr>
        <w:t xml:space="preserve">Default Threshold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200"/>
        <w:gridCol w:w="2000"/>
        <w:gridCol w:w="3720"/>
        <w:gridCol w:w="1000"/>
      </w:tblGrid>
      <w:t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Threshold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Default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Meaning</w:t>
            </w:r>
          </w:p>
        </w:tc>
        <w:tc>
          <w:tcPr>
            <w:tcW w:type="dxa" w:w="3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Action</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Monitoring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20% of cases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Signal noted, no action</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Logged silently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Review</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40% of cases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Pattern is systemic</w:t>
            </w:r>
          </w:p>
        </w:tc>
        <w:tc>
          <w:tcPr>
            <w:tcW w:type="dxa" w:w="3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Review task created and assigned to CSM Manager</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Escalation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60% of cases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Documentation is operationally misaligned</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Review task + PO notified + flagged in registry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
            </w:r>
          </w:p>
        </w:tc>
      </w:tr>
    </w:tbl>
    <w:p>
      <w:pPr>
        <w:spacing w:after="200" w:before="0"/>
      </w:pPr>
    </w:p>
    <w:p>
      <w:pPr>
        <w:pStyle w:val="Heading2"/>
        <w:spacing w:after="120" w:before="280"/>
      </w:pPr>
      <w:r>
        <w:rPr>
          <w:rFonts w:ascii="Arial" w:cs="Arial" w:eastAsia="Arial" w:hAnsi="Arial"/>
          <w:b/>
          <w:bCs/>
          <w:color w:val="2E75B6"/>
          <w:sz w:val="26"/>
          <w:szCs w:val="26"/>
        </w:rPr>
        <w:t xml:space="preserve">4.2  Variance Signal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600"/>
        <w:gridCol w:w="1760"/>
        <w:gridCol w:w="140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Signal Type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Description</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Example</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Routes To</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Undocumented workaround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Practitioners using an approach not in current docs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CS team documenting a manual step with no official guidance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CSM Manager + PO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Direct contradiction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Practitioner documentation explicitly conflicts with approved content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Incident team applying different alert threshold than runbook specifies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CSM Manager + Incident Lead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Coverage gap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Cases describe a scenario entirely absent from current content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Sales team documenting a customer objection not addressed in PMM material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CSM Manager + PMM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
            </w:r>
          </w:p>
        </w:tc>
      </w:tr>
    </w:tbl>
    <w:p>
      <w:pPr>
        <w:spacing w:after="200" w:before="0"/>
      </w:pPr>
    </w:p>
    <w:p>
      <w:pPr>
        <w:pStyle w:val="Heading2"/>
        <w:spacing w:after="120" w:before="280"/>
      </w:pPr>
      <w:r>
        <w:rPr>
          <w:rFonts w:ascii="Arial" w:cs="Arial" w:eastAsia="Arial" w:hAnsi="Arial"/>
          <w:b/>
          <w:bCs/>
          <w:color w:val="2E75B6"/>
          <w:sz w:val="26"/>
          <w:szCs w:val="26"/>
        </w:rPr>
        <w:t xml:space="preserve">4.3  ACR Governance for the VDA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60" w:before="0"/>
            </w:pPr>
            <w:r>
              <w:rPr>
                <w:rFonts w:ascii="Arial" w:cs="Arial" w:eastAsia="Arial" w:hAnsi="Arial"/>
                <w:b/>
                <w:bCs/>
                <w:color w:val="1F3864"/>
                <w:sz w:val="18"/>
                <w:szCs w:val="18"/>
              </w:rPr>
              <w:t xml:space="preserve">ACR Controls: VDA-Specific Requirements</w:t>
            </w:r>
          </w:p>
          <w:p>
            <w:pPr>
              <w:spacing w:after="0" w:before="0"/>
            </w:pPr>
            <w:r>
              <w:rPr>
                <w:rFonts w:ascii="Arial" w:cs="Arial" w:eastAsia="Arial" w:hAnsi="Arial"/>
                <w:color w:val="333333"/>
                <w:sz w:val="19"/>
                <w:szCs w:val="19"/>
              </w:rPr>
              <w:t xml:space="preserve">Pillar 1: The VDA is registered as read-only on case data. It cannot write to cases, access customer PII, or modify the repository.
Pillar 2: The VDA operates only on practitioner-authored fields. It is explicitly prohibited from processing customer-authored fields without a separate scoped registration.
Pillar 4: Every variance detection event is logged with anonymized case ID, content block compared, similarity score, and classification.
Pillar 6: The VDA never updates documentation autonomously. A human makes every content decision.</w:t>
            </w:r>
          </w:p>
        </w:tc>
      </w:tr>
    </w:tbl>
    <w:p>
      <w:pPr>
        <w:spacing w:after="200" w:before="0"/>
      </w:pPr>
    </w:p>
    <w:p>
      <w:r>
        <w:br w:type="page"/>
      </w:r>
    </w:p>
    <w:p>
      <w:pPr>
        <w:pStyle w:val="Heading1"/>
        <w:spacing w:after="160" w:before="400"/>
      </w:pPr>
      <w:r>
        <w:rPr>
          <w:rFonts w:ascii="Arial" w:cs="Arial" w:eastAsia="Arial" w:hAnsi="Arial"/>
          <w:b/>
          <w:bCs/>
          <w:color w:val="1F3864"/>
          <w:sz w:val="32"/>
          <w:szCs w:val="32"/>
        </w:rPr>
        <w:t xml:space="preserve">5.  Governance: ACR Framework™ Integration</w:t>
      </w:r>
    </w:p>
    <w:p>
      <w:pPr>
        <w:spacing w:after="140" w:before="0"/>
      </w:pPr>
      <w:r>
        <w:rPr>
          <w:rFonts w:ascii="Arial" w:cs="Arial" w:eastAsia="Arial" w:hAnsi="Arial"/>
          <w:color w:val="333333"/>
          <w:sz w:val="20"/>
          <w:szCs w:val="20"/>
        </w:rPr>
        <w:t xml:space="preserve">GACI is built on the ACR Framework™ — a six-pillar runtime control architecture for agentic AI systems, mapped to ISO 27001, NIST CSF 2.0, ISO/IEC 42001, NIST AI RMF, and MITRE ATLAS. ACR controls are embedded in the execution path of every agent action, not applied as a post-hoc compliance layer.</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18"/>
                <w:szCs w:val="18"/>
              </w:rPr>
              <w:t xml:space="preserve">ACR Pillar</w:t>
            </w:r>
          </w:p>
        </w:tc>
        <w:tc>
          <w:tcPr>
            <w:tcW w:type="dxa" w:w="61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18"/>
                <w:szCs w:val="18"/>
              </w:rPr>
              <w:t xml:space="preserve">GACI Implementation</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333333"/>
                <w:sz w:val="18"/>
                <w:szCs w:val="18"/>
              </w:rPr>
              <w:t xml:space="preserve">1. Identity &amp; Purpose Binding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Every agent — orchestrator, sub-agents, and VDA — has a registered identity, named owner, defined purpose, and explicit scope.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333333"/>
                <w:sz w:val="18"/>
                <w:szCs w:val="18"/>
              </w:rPr>
              <w:t xml:space="preserve">2. Behavioral Policy Enforcement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Runtime guardrails define permitted output formats, confidence thresholds, and approval gates per agent. The VDA is prohibited from accessing customer PII fields.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333333"/>
                <w:sz w:val="18"/>
                <w:szCs w:val="18"/>
              </w:rPr>
              <w:t xml:space="preserve">3. Autonomy Drift Detection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Versioned behavioral baselines per agent. Drift scoring detects outputs outside approved patterns before next execution.</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333333"/>
                <w:sz w:val="18"/>
                <w:szCs w:val="18"/>
              </w:rPr>
              <w:t xml:space="preserve">4. Execution Observability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Full structured trace per execution. VDA logs every variance detection event. Content agents log trigger, sources, confidence, SME reviewer, and approval timestamp.</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333333"/>
                <w:sz w:val="18"/>
                <w:szCs w:val="18"/>
              </w:rPr>
              <w:t xml:space="preserve">5. Self-Healing &amp; Containment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Kill switch per agent type. Policy violation triggers sandboxing and escalation. Safe-state recovery prevents partial repository writes.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333333"/>
                <w:sz w:val="18"/>
                <w:szCs w:val="18"/>
              </w:rPr>
              <w:t xml:space="preserve">6. Human Authority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No agent publishes content or updates documentation autonomously. Every publication has a named human accountable for it.</w:t>
            </w:r>
          </w:p>
        </w:tc>
      </w:tr>
    </w:tbl>
    <w:p>
      <w:pPr>
        <w:spacing w:after="200" w:before="0"/>
      </w:pPr>
    </w:p>
    <w:p>
      <w:r>
        <w:br w:type="page"/>
      </w:r>
    </w:p>
    <w:p>
      <w:pPr>
        <w:pStyle w:val="Heading1"/>
        <w:spacing w:after="160" w:before="400"/>
      </w:pPr>
      <w:r>
        <w:rPr>
          <w:rFonts w:ascii="Arial" w:cs="Arial" w:eastAsia="Arial" w:hAnsi="Arial"/>
          <w:b/>
          <w:bCs/>
          <w:color w:val="1F3864"/>
          <w:sz w:val="32"/>
          <w:szCs w:val="32"/>
        </w:rPr>
        <w:t xml:space="preserve">6.  Open Problems — What Is Not Yet Solved</w:t>
      </w:r>
    </w:p>
    <w:p>
      <w:pPr>
        <w:spacing w:after="140" w:before="0"/>
      </w:pPr>
      <w:r>
        <w:rPr>
          <w:rFonts w:ascii="Arial" w:cs="Arial" w:eastAsia="Arial" w:hAnsi="Arial"/>
          <w:color w:val="333333"/>
          <w:sz w:val="20"/>
          <w:szCs w:val="20"/>
        </w:rPr>
        <w:t xml:space="preserve">The following are acknowledged architectural or operational gaps. They are not reasons to delay building — they are the design work that must occur alongside the MVP. Each is a real failure mode at scale.</w:t>
      </w:r>
    </w:p>
    <w:p>
      <w:pPr>
        <w:spacing w:after="100" w:before="0"/>
      </w:pPr>
    </w:p>
    <w:p>
      <w:pPr>
        <w:pStyle w:val="Heading2"/>
        <w:spacing w:after="120" w:before="280"/>
      </w:pPr>
      <w:r>
        <w:rPr>
          <w:rFonts w:ascii="Arial" w:cs="Arial" w:eastAsia="Arial" w:hAnsi="Arial"/>
          <w:b/>
          <w:bCs/>
          <w:color w:val="2E75B6"/>
          <w:sz w:val="26"/>
          <w:szCs w:val="26"/>
        </w:rPr>
        <w:t xml:space="preserve">6.1  Trigger Normalization &amp; Schema Variance</w:t>
      </w:r>
    </w:p>
    <w:p>
      <w:pPr>
        <w:spacing w:after="140" w:before="0"/>
      </w:pPr>
      <w:r>
        <w:rPr>
          <w:rFonts w:ascii="Arial" w:cs="Arial" w:eastAsia="Arial" w:hAnsi="Arial"/>
          <w:color w:val="333333"/>
          <w:sz w:val="20"/>
          <w:szCs w:val="20"/>
        </w:rPr>
        <w:t xml:space="preserve">Every customer uses Jira or Aha differently. A customer onboarding mapping interface is required and is not in MVP scope.</w:t>
      </w:r>
    </w:p>
    <w:p>
      <w:pPr>
        <w:pStyle w:val="Heading2"/>
        <w:spacing w:after="120" w:before="280"/>
      </w:pPr>
      <w:r>
        <w:rPr>
          <w:rFonts w:ascii="Arial" w:cs="Arial" w:eastAsia="Arial" w:hAnsi="Arial"/>
          <w:b/>
          <w:bCs/>
          <w:color w:val="2E75B6"/>
          <w:sz w:val="26"/>
          <w:szCs w:val="26"/>
        </w:rPr>
        <w:t xml:space="preserve">6.2  Vendor Changelog &amp; Case Platform Connector Standardization</w:t>
      </w:r>
    </w:p>
    <w:p>
      <w:pPr>
        <w:spacing w:after="140" w:before="0"/>
      </w:pPr>
      <w:r>
        <w:rPr>
          <w:rFonts w:ascii="Arial" w:cs="Arial" w:eastAsia="Arial" w:hAnsi="Arial"/>
          <w:color w:val="333333"/>
          <w:sz w:val="20"/>
          <w:szCs w:val="20"/>
        </w:rPr>
        <w:t xml:space="preserve">Many vendors do not publish structured changelogs. ServiceNow, Salesforce, Zendesk, and HubSpot each expose case note data differently. Both are post-MVP dependencies.</w:t>
      </w:r>
    </w:p>
    <w:p>
      <w:pPr>
        <w:pStyle w:val="Heading2"/>
        <w:spacing w:after="120" w:before="280"/>
      </w:pPr>
      <w:r>
        <w:rPr>
          <w:rFonts w:ascii="Arial" w:cs="Arial" w:eastAsia="Arial" w:hAnsi="Arial"/>
          <w:b/>
          <w:bCs/>
          <w:color w:val="2E75B6"/>
          <w:sz w:val="26"/>
          <w:szCs w:val="26"/>
        </w:rPr>
        <w:t xml:space="preserve">6.3  Repository Write Reliability</w:t>
      </w:r>
    </w:p>
    <w:p>
      <w:pPr>
        <w:spacing w:after="140" w:before="0"/>
      </w:pPr>
      <w:r>
        <w:rPr>
          <w:rFonts w:ascii="Arial" w:cs="Arial" w:eastAsia="Arial" w:hAnsi="Arial"/>
          <w:color w:val="333333"/>
          <w:sz w:val="20"/>
          <w:szCs w:val="20"/>
        </w:rPr>
        <w:t xml:space="preserve">The write path from approved subtask to repository requires idempotent operations, retry logic, and a reconciliation job. Production infrastructure engineering — not MVP scope.</w:t>
      </w:r>
    </w:p>
    <w:p>
      <w:pPr>
        <w:pStyle w:val="Heading2"/>
        <w:spacing w:after="120" w:before="280"/>
      </w:pPr>
      <w:r>
        <w:rPr>
          <w:rFonts w:ascii="Arial" w:cs="Arial" w:eastAsia="Arial" w:hAnsi="Arial"/>
          <w:b/>
          <w:bCs/>
          <w:color w:val="2E75B6"/>
          <w:sz w:val="26"/>
          <w:szCs w:val="26"/>
        </w:rPr>
        <w:t xml:space="preserve">6.4  High-Stakes Domain SLA Under Time Pressure</w:t>
      </w:r>
    </w:p>
    <w:p>
      <w:pPr>
        <w:spacing w:after="140" w:before="0"/>
      </w:pPr>
      <w:r>
        <w:rPr>
          <w:rFonts w:ascii="Arial" w:cs="Arial" w:eastAsia="Arial" w:hAnsi="Arial"/>
          <w:color w:val="333333"/>
          <w:sz w:val="20"/>
          <w:szCs w:val="20"/>
        </w:rPr>
        <w:t xml:space="preserve">When a vendor update occurs during an active incident, the SME is under maximum pressure. A degraded-mode protocol — what content is surfaced if no approved version exists mid-incident — is undefined.</w:t>
      </w:r>
    </w:p>
    <w:p>
      <w:pPr>
        <w:pStyle w:val="Heading2"/>
        <w:spacing w:after="120" w:before="280"/>
      </w:pPr>
      <w:r>
        <w:rPr>
          <w:rFonts w:ascii="Arial" w:cs="Arial" w:eastAsia="Arial" w:hAnsi="Arial"/>
          <w:b/>
          <w:bCs/>
          <w:color w:val="2E75B6"/>
          <w:sz w:val="26"/>
          <w:szCs w:val="26"/>
        </w:rPr>
        <w:t xml:space="preserve">6.5  Bulk Approval &amp; Governance Theatre</w:t>
      </w:r>
    </w:p>
    <w:p>
      <w:pPr>
        <w:spacing w:after="140" w:before="0"/>
      </w:pPr>
      <w:r>
        <w:rPr>
          <w:rFonts w:ascii="Arial" w:cs="Arial" w:eastAsia="Arial" w:hAnsi="Arial"/>
          <w:color w:val="333333"/>
          <w:sz w:val="20"/>
          <w:szCs w:val="20"/>
        </w:rPr>
        <w:t xml:space="preserve">If SMEs routinely approve subtasks without reviewing, the human-in-the-loop guarantee is theatre. ACR’s audit trail surfaces this via approval velocity and edit-rate metrics. The organizational response is not designed.</w:t>
      </w:r>
    </w:p>
    <w:p>
      <w:pPr>
        <w:pStyle w:val="Heading2"/>
        <w:spacing w:after="120" w:before="280"/>
      </w:pPr>
      <w:r>
        <w:rPr>
          <w:rFonts w:ascii="Arial" w:cs="Arial" w:eastAsia="Arial" w:hAnsi="Arial"/>
          <w:b/>
          <w:bCs/>
          <w:color w:val="2E75B6"/>
          <w:sz w:val="26"/>
          <w:szCs w:val="26"/>
        </w:rPr>
        <w:t xml:space="preserve">6.6  Multi-Tenant Content Isolation</w:t>
      </w:r>
    </w:p>
    <w:p>
      <w:pPr>
        <w:spacing w:after="140" w:before="0"/>
      </w:pPr>
      <w:r>
        <w:rPr>
          <w:rFonts w:ascii="Arial" w:cs="Arial" w:eastAsia="Arial" w:hAnsi="Arial"/>
          <w:color w:val="333333"/>
          <w:sz w:val="20"/>
          <w:szCs w:val="20"/>
        </w:rPr>
        <w:t xml:space="preserve">Strict org-level partitioning in the vector store is mandatory in a productized deployment. Cross-contamination between client organizations is a critical failure mode. Penetration testing has not been performed.</w:t>
      </w:r>
    </w:p>
    <w:p>
      <w:pPr>
        <w:pStyle w:val="Heading2"/>
        <w:spacing w:after="120" w:before="280"/>
      </w:pPr>
      <w:r>
        <w:rPr>
          <w:rFonts w:ascii="Arial" w:cs="Arial" w:eastAsia="Arial" w:hAnsi="Arial"/>
          <w:b/>
          <w:bCs/>
          <w:color w:val="2E75B6"/>
          <w:sz w:val="26"/>
          <w:szCs w:val="26"/>
        </w:rPr>
        <w:t xml:space="preserve">6.7  VDA Velocity Threshold Calibration &amp; Domain Embedding Quality</w:t>
      </w:r>
    </w:p>
    <w:p>
      <w:pPr>
        <w:spacing w:after="140" w:before="0"/>
      </w:pPr>
      <w:r>
        <w:rPr>
          <w:rFonts w:ascii="Arial" w:cs="Arial" w:eastAsia="Arial" w:hAnsi="Arial"/>
          <w:color w:val="333333"/>
          <w:sz w:val="20"/>
          <w:szCs w:val="20"/>
        </w:rPr>
        <w:t xml:space="preserve">The VDA’s spike-vs-drift distinction requires per-deployment velocity threshold tuning. A general-purpose embedding model may produce poor variance scores on highly technical content. Domain-adapted embeddings may be required, particularly in SOC environments.</w:t>
      </w:r>
    </w:p>
    <w:p>
      <w:pPr>
        <w:spacing w:after="200" w:before="0"/>
      </w:pPr>
    </w:p>
    <w:p>
      <w:r>
        <w:br w:type="page"/>
      </w:r>
    </w:p>
    <w:p>
      <w:pPr>
        <w:pStyle w:val="Heading1"/>
        <w:spacing w:after="160" w:before="400"/>
      </w:pPr>
      <w:r>
        <w:rPr>
          <w:rFonts w:ascii="Arial" w:cs="Arial" w:eastAsia="Arial" w:hAnsi="Arial"/>
          <w:b/>
          <w:bCs/>
          <w:color w:val="1F3864"/>
          <w:sz w:val="32"/>
          <w:szCs w:val="32"/>
        </w:rPr>
        <w:t xml:space="preserve">7.  Open Source Strategy &amp; Path to Revenue</w:t>
      </w:r>
    </w:p>
    <w:p>
      <w:pPr>
        <w:spacing w:after="140" w:before="0"/>
      </w:pPr>
      <w:r>
        <w:rPr>
          <w:rFonts w:ascii="Arial" w:cs="Arial" w:eastAsia="Arial" w:hAnsi="Arial"/>
          <w:color w:val="333333"/>
          <w:sz w:val="20"/>
          <w:szCs w:val="20"/>
        </w:rPr>
        <w:t xml:space="preserve">The ACR Framework™ was published as an open specification on GitHub before any commercial deployment. GACI follows the same path. Open publication establishes intellectual ownership, invites real-environment stress testing, and builds the community of practitioners who become the earliest paying customers.</w:t>
      </w:r>
    </w:p>
    <w:p>
      <w:pPr>
        <w:pStyle w:val="Heading2"/>
        <w:spacing w:after="120" w:before="280"/>
      </w:pPr>
      <w:r>
        <w:rPr>
          <w:rFonts w:ascii="Arial" w:cs="Arial" w:eastAsia="Arial" w:hAnsi="Arial"/>
          <w:b/>
          <w:bCs/>
          <w:color w:val="2E75B6"/>
          <w:sz w:val="26"/>
          <w:szCs w:val="26"/>
        </w:rPr>
        <w:t xml:space="preserve">7.1  Why GitHub First</w:t>
      </w:r>
    </w:p>
    <w:p>
      <w:pPr>
        <w:pStyle w:val="ListParagraph"/>
        <w:numPr>
          <w:ilvl w:val="0"/>
          <w:numId w:val="2"/>
        </w:numPr>
        <w:spacing w:after="80" w:before="0"/>
      </w:pPr>
      <w:r>
        <w:rPr>
          <w:rFonts w:ascii="Arial" w:cs="Arial" w:eastAsia="Arial" w:hAnsi="Arial"/>
          <w:b w:val="false"/>
          <w:bCs w:val="false"/>
          <w:color w:val="333333"/>
          <w:sz w:val="20"/>
          <w:szCs w:val="20"/>
        </w:rPr>
        <w:t xml:space="preserve">Timestamped commit history is the practical proof of authorship</w:t>
      </w:r>
    </w:p>
    <w:p>
      <w:pPr>
        <w:pStyle w:val="ListParagraph"/>
        <w:numPr>
          <w:ilvl w:val="0"/>
          <w:numId w:val="2"/>
        </w:numPr>
        <w:spacing w:after="80" w:before="0"/>
      </w:pPr>
      <w:r>
        <w:rPr>
          <w:rFonts w:ascii="Arial" w:cs="Arial" w:eastAsia="Arial" w:hAnsi="Arial"/>
          <w:b w:val="false"/>
          <w:bCs w:val="false"/>
          <w:color w:val="333333"/>
          <w:sz w:val="20"/>
          <w:szCs w:val="20"/>
        </w:rPr>
        <w:t xml:space="preserve">Public specifications attract practitioners who surface failure modes that cannot be found in theory</w:t>
      </w:r>
    </w:p>
    <w:p>
      <w:pPr>
        <w:pStyle w:val="ListParagraph"/>
        <w:numPr>
          <w:ilvl w:val="0"/>
          <w:numId w:val="2"/>
        </w:numPr>
        <w:spacing w:after="80" w:before="0"/>
      </w:pPr>
      <w:r>
        <w:rPr>
          <w:rFonts w:ascii="Arial" w:cs="Arial" w:eastAsia="Arial" w:hAnsi="Arial"/>
          <w:b w:val="false"/>
          <w:bCs w:val="false"/>
          <w:color w:val="333333"/>
          <w:sz w:val="20"/>
          <w:szCs w:val="20"/>
        </w:rPr>
        <w:t xml:space="preserve">Enterprise buyers increasingly require open governance documentation before approving agentic AI procurement</w:t>
      </w:r>
    </w:p>
    <w:p>
      <w:pPr>
        <w:pStyle w:val="ListParagraph"/>
        <w:numPr>
          <w:ilvl w:val="0"/>
          <w:numId w:val="2"/>
        </w:numPr>
        <w:spacing w:after="80" w:before="0"/>
      </w:pPr>
      <w:r>
        <w:rPr>
          <w:rFonts w:ascii="Arial" w:cs="Arial" w:eastAsia="Arial" w:hAnsi="Arial"/>
          <w:b w:val="false"/>
          <w:bCs w:val="false"/>
          <w:color w:val="333333"/>
          <w:sz w:val="20"/>
          <w:szCs w:val="20"/>
        </w:rPr>
        <w:t xml:space="preserve">The ACR Framework™ demonstrated this: the open spec became the foundation of enterprise adoption conversations</w:t>
      </w:r>
    </w:p>
    <w:p>
      <w:pPr>
        <w:spacing w:after="140" w:before="0"/>
      </w:pPr>
    </w:p>
    <w:p>
      <w:pPr>
        <w:pStyle w:val="Heading2"/>
        <w:spacing w:after="120" w:before="280"/>
      </w:pPr>
      <w:r>
        <w:rPr>
          <w:rFonts w:ascii="Arial" w:cs="Arial" w:eastAsia="Arial" w:hAnsi="Arial"/>
          <w:b/>
          <w:bCs/>
          <w:color w:val="2E75B6"/>
          <w:sz w:val="26"/>
          <w:szCs w:val="26"/>
        </w:rPr>
        <w:t xml:space="preserve">7.2  What to Publish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18"/>
                <w:szCs w:val="18"/>
              </w:rPr>
              <w:t xml:space="preserve">Artifact</w:t>
            </w:r>
          </w:p>
        </w:tc>
        <w:tc>
          <w:tcPr>
            <w:tcW w:type="dxa" w:w="61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18"/>
                <w:szCs w:val="18"/>
              </w:rPr>
              <w:t xml:space="preserve">Rationale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333333"/>
                <w:sz w:val="18"/>
                <w:szCs w:val="18"/>
              </w:rPr>
              <w:t xml:space="preserve">This whitepaper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Establishes the design, timestamps ownership</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333333"/>
                <w:sz w:val="18"/>
                <w:szCs w:val="18"/>
              </w:rPr>
              <w:t xml:space="preserve">Registry field schema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Removes the first adoption barrier for practitioners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333333"/>
                <w:sz w:val="18"/>
                <w:szCs w:val="18"/>
              </w:rPr>
              <w:t xml:space="preserve">ACR RACI template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Directly reusable by enterprise governance teams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333333"/>
                <w:sz w:val="18"/>
                <w:szCs w:val="18"/>
              </w:rPr>
              <w:t xml:space="preserve">Orchestrator reference implementation (after MVP)</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Core differentiator; publish once it works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333333"/>
                <w:sz w:val="18"/>
                <w:szCs w:val="18"/>
              </w:rPr>
              <w:t xml:space="preserve">Sub-agent prompt libraries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High community value; builds adoption</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333333"/>
                <w:sz w:val="18"/>
                <w:szCs w:val="18"/>
              </w:rPr>
              <w:t xml:space="preserve">Vector store indexing patterns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Commodity knowledge; publishing costs nothing</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333333"/>
                <w:sz w:val="18"/>
                <w:szCs w:val="18"/>
              </w:rPr>
              <w:t xml:space="preserve">Customer deployment configurations — NO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18"/>
                <w:szCs w:val="18"/>
              </w:rPr>
              <w:t xml:space="preserve">Client-specific; protected</w:t>
            </w:r>
          </w:p>
        </w:tc>
      </w:tr>
    </w:tbl>
    <w:p>
      <w:pPr>
        <w:spacing w:after="140" w:before="0"/>
      </w:pPr>
    </w:p>
    <w:p>
      <w:pPr>
        <w:pStyle w:val="Heading2"/>
        <w:spacing w:after="120" w:before="280"/>
      </w:pPr>
      <w:r>
        <w:rPr>
          <w:rFonts w:ascii="Arial" w:cs="Arial" w:eastAsia="Arial" w:hAnsi="Arial"/>
          <w:b/>
          <w:bCs/>
          <w:color w:val="2E75B6"/>
          <w:sz w:val="26"/>
          <w:szCs w:val="26"/>
        </w:rPr>
        <w:t xml:space="preserve">7.3  License Model</w:t>
      </w:r>
    </w:p>
    <w:p>
      <w:pPr>
        <w:spacing w:after="140" w:before="0"/>
      </w:pPr>
      <w:r>
        <w:rPr>
          <w:rFonts w:ascii="Arial" w:cs="Arial" w:eastAsia="Arial" w:hAnsi="Arial"/>
          <w:color w:val="333333"/>
          <w:sz w:val="20"/>
          <w:szCs w:val="20"/>
        </w:rPr>
        <w:t xml:space="preserve">Source-available license (e.g., Business Source License 1.1) rather than fully open source. Free use for individual practitioners and non-commercial deployments. Paid commercial license required for enterprise deployment or resale. Specification documents published under Creative Commons BY for maximum distribution.</w:t>
      </w:r>
    </w:p>
    <w:p>
      <w:pPr>
        <w:spacing w:after="140" w:before="0"/>
      </w:pPr>
    </w:p>
    <w:p>
      <w:pPr>
        <w:pStyle w:val="Heading2"/>
        <w:spacing w:after="120" w:before="280"/>
      </w:pPr>
      <w:r>
        <w:rPr>
          <w:rFonts w:ascii="Arial" w:cs="Arial" w:eastAsia="Arial" w:hAnsi="Arial"/>
          <w:b/>
          <w:bCs/>
          <w:color w:val="2E75B6"/>
          <w:sz w:val="26"/>
          <w:szCs w:val="26"/>
        </w:rPr>
        <w:t xml:space="preserve">7.4  Revenue Path (Staged)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F0E0" w:val="clear"/>
            <w:tcMar>
              <w:top w:type="dxa" w:w="120"/>
              <w:left w:type="dxa" w:w="200"/>
              <w:bottom w:type="dxa" w:w="120"/>
              <w:right w:type="dxa" w:w="200"/>
            </w:tcMar>
          </w:tcPr>
          <w:p>
            <w:pPr>
              <w:spacing w:after="60" w:before="0"/>
            </w:pPr>
            <w:r>
              <w:rPr>
                <w:rFonts w:ascii="Arial" w:cs="Arial" w:eastAsia="Arial" w:hAnsi="Arial"/>
                <w:b/>
                <w:bCs/>
                <w:color w:val="1A4D2E"/>
                <w:sz w:val="18"/>
                <w:szCs w:val="18"/>
              </w:rPr>
              <w:t xml:space="preserve">THE VISION: AGENTS AS A WORKFORCE</w:t>
            </w:r>
          </w:p>
          <w:p>
            <w:pPr>
              <w:spacing w:after="0" w:before="0"/>
            </w:pPr>
            <w:r>
              <w:rPr>
                <w:rFonts w:ascii="Arial" w:cs="Arial" w:eastAsia="Arial" w:hAnsi="Arial"/>
                <w:color w:val="333333"/>
                <w:sz w:val="19"/>
                <w:szCs w:val="19"/>
              </w:rPr>
              <w:t xml:space="preserve">GACI’s long-term revenue model is not consulting — it is a governed agent workforce that enterprises subscribe to instead of hiring headcount. Each agent has a defined role, a scope it cannot exceed, and a human it answers to. Companies pay a monthly subscription to run the workforce. The agents don’t sleep, don’t quit, and come with built-in accountability structures via ACR. Agentalent.ai — monday.com’s emerging platform for enterprise agent hiring — is the marketplace where GACI’s ACR-certified agents get listed and discovered. GACI’s governance compliance is the differentiator that makes these agents enterprise-hireable, not just enterprise-useful.</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2200"/>
        <w:gridCol w:w="1200"/>
        <w:gridCol w:w="23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Stage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What You Do</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Revenue Model</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Timeline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0: Publish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GitHub repo + whitepaper + registry schema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None — builds ownership and community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Now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1: First Implementation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Paid consulting: one cybersecurity client, one use case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Consulting day rate / fixed fee. $15–30k range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1–3 months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2: Reference Deployment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Document the implementation. Publish sanitized artifacts.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Second client at higher rate. ACR co-marketing.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3–6 months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3: Managed Service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Operate orchestrator and repo for clients. They interact via Jira and Slack.</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Monthly retainer. $2–5k/mo per client.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6–12 months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4: Agent Marketplace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List ACR-certified agents on Agentalent.ai. GACI’s ACR compliance is the differentiator.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Usage-based or subscription per agent.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12–18 months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60" w:before="0"/>
            </w:pPr>
            <w:r>
              <w:rPr>
                <w:rFonts w:ascii="Arial" w:cs="Arial" w:eastAsia="Arial" w:hAnsi="Arial"/>
                <w:b/>
                <w:bCs/>
                <w:color w:val="1F3864"/>
                <w:sz w:val="18"/>
                <w:szCs w:val="18"/>
              </w:rPr>
              <w:t xml:space="preserve">The Honest Bridge</w:t>
            </w:r>
          </w:p>
          <w:p>
            <w:pPr>
              <w:spacing w:after="0" w:before="0"/>
            </w:pPr>
            <w:r>
              <w:rPr>
                <w:rFonts w:ascii="Arial" w:cs="Arial" w:eastAsia="Arial" w:hAnsi="Arial"/>
                <w:color w:val="333333"/>
                <w:sz w:val="19"/>
                <w:szCs w:val="19"/>
              </w:rPr>
              <w:t xml:space="preserve">The gap between publishing on GitHub and earning $2k/month is a single paying client. The first sale does not require the full system to be built — it requires one use case implemented well enough to prove the model. That is a four-to-eight week engagement, not a product launch.</w:t>
            </w:r>
          </w:p>
        </w:tc>
      </w:tr>
    </w:tbl>
    <w:p>
      <w:pPr>
        <w:spacing w:after="200" w:before="0"/>
      </w:pPr>
    </w:p>
    <w:p>
      <w:pPr>
        <w:pStyle w:val="Heading2"/>
        <w:spacing w:after="120" w:before="280"/>
      </w:pPr>
      <w:r>
        <w:rPr>
          <w:rFonts w:ascii="Arial" w:cs="Arial" w:eastAsia="Arial" w:hAnsi="Arial"/>
          <w:b/>
          <w:bCs/>
          <w:color w:val="2E75B6"/>
          <w:sz w:val="26"/>
          <w:szCs w:val="26"/>
        </w:rPr>
        <w:t xml:space="preserve">7.5  The ACR Partnership Advantage</w:t>
      </w:r>
    </w:p>
    <w:p>
      <w:pPr>
        <w:spacing w:after="140" w:before="0"/>
      </w:pPr>
      <w:r>
        <w:rPr>
          <w:rFonts w:ascii="Arial" w:cs="Arial" w:eastAsia="Arial" w:hAnsi="Arial"/>
          <w:color w:val="333333"/>
          <w:sz w:val="20"/>
          <w:szCs w:val="20"/>
        </w:rPr>
        <w:t xml:space="preserve">Working directly with the ACR Framework™ creator means GACI is not just ‘ACR-compatible’ — it is a reference implementation of ACR applied to a specific high-value domain.</w:t>
      </w:r>
    </w:p>
    <w:p>
      <w:pPr>
        <w:spacing w:after="80" w:before="0"/>
      </w:pPr>
    </w:p>
    <w:p>
      <w:pPr>
        <w:pStyle w:val="ListParagraph"/>
        <w:numPr>
          <w:ilvl w:val="0"/>
          <w:numId w:val="2"/>
        </w:numPr>
        <w:spacing w:after="80" w:before="0"/>
      </w:pPr>
      <w:r>
        <w:rPr>
          <w:rFonts w:ascii="Arial" w:cs="Arial" w:eastAsia="Arial" w:hAnsi="Arial"/>
          <w:b w:val="false"/>
          <w:bCs w:val="false"/>
          <w:color w:val="333333"/>
          <w:sz w:val="20"/>
          <w:szCs w:val="20"/>
        </w:rPr>
        <w:t xml:space="preserve">ACR’s growing enterprise audience is GACI’s warm introduction channel</w:t>
      </w:r>
    </w:p>
    <w:p>
      <w:pPr>
        <w:pStyle w:val="ListParagraph"/>
        <w:numPr>
          <w:ilvl w:val="0"/>
          <w:numId w:val="2"/>
        </w:numPr>
        <w:spacing w:after="80" w:before="0"/>
      </w:pPr>
      <w:r>
        <w:rPr>
          <w:rFonts w:ascii="Arial" w:cs="Arial" w:eastAsia="Arial" w:hAnsi="Arial"/>
          <w:b w:val="false"/>
          <w:bCs w:val="false"/>
          <w:color w:val="333333"/>
          <w:sz w:val="20"/>
          <w:szCs w:val="20"/>
        </w:rPr>
        <w:t xml:space="preserve">GACI’s real-world deployments generate the stress-test data that strengthens ACR’s specification</w:t>
      </w:r>
    </w:p>
    <w:p>
      <w:pPr>
        <w:pStyle w:val="ListParagraph"/>
        <w:numPr>
          <w:ilvl w:val="0"/>
          <w:numId w:val="2"/>
        </w:numPr>
        <w:spacing w:after="80" w:before="0"/>
      </w:pPr>
      <w:r>
        <w:rPr>
          <w:rFonts w:ascii="Arial" w:cs="Arial" w:eastAsia="Arial" w:hAnsi="Arial"/>
          <w:b w:val="false"/>
          <w:bCs w:val="false"/>
          <w:color w:val="333333"/>
          <w:sz w:val="20"/>
          <w:szCs w:val="20"/>
        </w:rPr>
        <w:t xml:space="preserve">Joint positioning: ACR provides the governance layer; GACI provides the application layer. Neither competes with the other.</w:t>
      </w:r>
    </w:p>
    <w:p>
      <w:pPr>
        <w:spacing w:after="200" w:before="0"/>
      </w:pPr>
    </w:p>
    <w:p>
      <w:r>
        <w:br w:type="page"/>
      </w:r>
    </w:p>
    <w:p>
      <w:pPr>
        <w:pStyle w:val="Heading1"/>
        <w:spacing w:after="160" w:before="400"/>
      </w:pPr>
      <w:r>
        <w:rPr>
          <w:rFonts w:ascii="Arial" w:cs="Arial" w:eastAsia="Arial" w:hAnsi="Arial"/>
          <w:b/>
          <w:bCs/>
          <w:color w:val="1F3864"/>
          <w:sz w:val="32"/>
          <w:szCs w:val="32"/>
        </w:rPr>
        <w:t xml:space="preserve">8.  Conclusion</w:t>
      </w:r>
    </w:p>
    <w:p>
      <w:pPr>
        <w:spacing w:after="140" w:before="0"/>
      </w:pPr>
      <w:r>
        <w:rPr>
          <w:rFonts w:ascii="Arial" w:cs="Arial" w:eastAsia="Arial" w:hAnsi="Arial"/>
          <w:color w:val="333333"/>
          <w:sz w:val="20"/>
          <w:szCs w:val="20"/>
        </w:rPr>
        <w:t xml:space="preserve">The Governed Agentic Content Infrastructure described in this whitepaper addresses a specific, costly, and structurally persistent problem: the manual, siloed, unlinked documentation work triggered by every product change or vendor update.</w:t>
      </w:r>
    </w:p>
    <w:p>
      <w:pPr>
        <w:spacing w:after="80" w:before="0"/>
      </w:pPr>
    </w:p>
    <w:p>
      <w:pPr>
        <w:spacing w:after="140" w:before="0"/>
      </w:pPr>
      <w:r>
        <w:rPr>
          <w:rFonts w:ascii="Arial" w:cs="Arial" w:eastAsia="Arial" w:hAnsi="Arial"/>
          <w:color w:val="333333"/>
          <w:sz w:val="20"/>
          <w:szCs w:val="20"/>
        </w:rPr>
        <w:t xml:space="preserve">The architecture is grounded in a clear premise: if the product team does not maintain a machine-readable record of what they are building and what state it is in, no downstream content system will compensate for that absence. GACI does not try to. It instruments the workflow discipline that already exists and makes it useful to the entire organization.</w:t>
      </w:r>
    </w:p>
    <w:p>
      <w:pPr>
        <w:spacing w:after="80" w:before="0"/>
      </w:pPr>
    </w:p>
    <w:p>
      <w:pPr>
        <w:spacing w:after="140" w:before="0"/>
      </w:pPr>
      <w:r>
        <w:rPr>
          <w:rFonts w:ascii="Arial" w:cs="Arial" w:eastAsia="Arial" w:hAnsi="Arial"/>
          <w:color w:val="333333"/>
          <w:sz w:val="20"/>
          <w:szCs w:val="20"/>
        </w:rPr>
        <w:t xml:space="preserve">What remains unsolved — trigger normalization, connector standardization, write reliability, incident SLAs, multi-tenant isolation, and VDA threshold calibration — is acknowledged honestly in Section 6. These are engineering problems with known solution patterns. They are not architectural blockers.</w:t>
      </w:r>
    </w:p>
    <w:p>
      <w:pPr>
        <w:spacing w:after="80" w:before="0"/>
      </w:pPr>
    </w:p>
    <w:p>
      <w:pPr>
        <w:spacing w:after="140" w:before="0"/>
      </w:pPr>
      <w:r>
        <w:rPr>
          <w:rFonts w:ascii="Arial" w:cs="Arial" w:eastAsia="Arial" w:hAnsi="Arial"/>
          <w:color w:val="333333"/>
          <w:sz w:val="20"/>
          <w:szCs w:val="20"/>
        </w:rPr>
        <w:t xml:space="preserve">The path forward is the same one the ACR Framework™ took: publish the specification, claim the timestamp, invite the community to stress-test it, and let the first real implementation close the open problems. The shipyard gets built one dry dock at a time.</w:t>
      </w:r>
    </w:p>
    <w:p>
      <w:pPr>
        <w:spacing w:after="200" w:before="0"/>
      </w:pPr>
    </w:p>
    <w:p>
      <w:pPr>
        <w:pBdr>
          <w:bottom w:val="single" w:color="2E75B6" w:sz="4" w:space="1"/>
        </w:pBdr>
        <w:spacing w:after="60" w:before="60"/>
      </w:pPr>
    </w:p>
    <w:p>
      <w:pPr>
        <w:spacing w:after="0" w:before="120"/>
        <w:jc w:val="center"/>
      </w:pPr>
      <w:r>
        <w:rPr>
          <w:rFonts w:ascii="Arial" w:cs="Arial" w:eastAsia="Arial" w:hAnsi="Arial"/>
          <w:b/>
          <w:bCs/>
          <w:color w:val="888888"/>
          <w:sz w:val="18"/>
          <w:szCs w:val="18"/>
        </w:rPr>
        <w:t xml:space="preserve">END OF DOCUMENT — Version 1.2  |  GACI Architecture Specification</w:t>
      </w:r>
    </w:p>
    <w:p>
      <w:pPr>
        <w:spacing w:after="0" w:before="60"/>
        <w:jc w:val="center"/>
      </w:pPr>
      <w:r>
        <w:rPr>
          <w:rFonts w:ascii="Arial" w:cs="Arial" w:eastAsia="Arial" w:hAnsi="Arial"/>
          <w:color w:val="AAAAAA"/>
          <w:sz w:val="16"/>
          <w:szCs w:val="16"/>
        </w:rPr>
        <w:t xml:space="preserve">Copyright © 2026 Stephanie Clark  |  stephanie.aienterprise@proton.me  |  github.com/steph-gpt/gaci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2026-03-25T21:19:21.762Z</dcterms:created>
  <dcterms:modified xsi:type="dcterms:W3CDTF">2026-03-25T21:19:21.763Z</dcterms:modified>
</cp:coreProperties>
</file>

<file path=docProps/custom.xml><?xml version="1.0" encoding="utf-8"?>
<Properties xmlns="http://schemas.openxmlformats.org/officeDocument/2006/custom-properties" xmlns:vt="http://schemas.openxmlformats.org/officeDocument/2006/docPropsVTypes"/>
</file>