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B30CF1">
      <w:pPr>
        <w:spacing w:before="0" w:after="160" w:line="259" w:lineRule="auto"/>
        <w:rPr>
          <w:rFonts w:hint="default" w:ascii="Arial Black" w:hAnsi="Arial Black" w:cs="Arial Black"/>
          <w:b/>
          <w:bCs/>
          <w:sz w:val="72"/>
          <w:szCs w:val="72"/>
          <w:lang w:val="en-US"/>
        </w:rPr>
      </w:pPr>
      <w:r>
        <mc:AlternateContent>
          <mc:Choice Requires="wps">
            <w:drawing>
              <wp:anchor distT="45720" distB="45720" distL="114300" distR="114300" simplePos="0" relativeHeight="251660288" behindDoc="0" locked="0" layoutInCell="1" allowOverlap="1">
                <wp:simplePos x="0" y="0"/>
                <wp:positionH relativeFrom="margin">
                  <wp:posOffset>1841500</wp:posOffset>
                </wp:positionH>
                <wp:positionV relativeFrom="paragraph">
                  <wp:posOffset>8295640</wp:posOffset>
                </wp:positionV>
                <wp:extent cx="3971290" cy="819150"/>
                <wp:effectExtent l="0" t="0" r="0" b="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3971290" cy="819150"/>
                        </a:xfrm>
                        <a:prstGeom prst="rect">
                          <a:avLst/>
                        </a:prstGeom>
                        <a:noFill/>
                        <a:ln w="9525">
                          <a:noFill/>
                          <a:miter lim="800000"/>
                        </a:ln>
                      </wps:spPr>
                      <wps:txbx>
                        <w:txbxContent>
                          <w:p w14:paraId="69FAF5A1">
                            <w:pPr>
                              <w:pStyle w:val="72"/>
                              <w:rPr>
                                <w:sz w:val="28"/>
                                <w:szCs w:val="22"/>
                              </w:rPr>
                            </w:pPr>
                            <w:r>
                              <w:t>ISO/IEC 27001 Toolkit: Version 12</w:t>
                            </w:r>
                            <w:r>
                              <w:br w:type="textWrapping"/>
                            </w:r>
                            <w:r>
                              <w:t>©CertiKit</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45pt;margin-top:653.2pt;height:64.5pt;width:312.7pt;mso-position-horizontal-relative:margin;z-index:251660288;mso-width-relative:page;mso-height-relative:page;" filled="f" stroked="f" coordsize="21600,21600" o:gfxdata="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dmk7LYAAAADQEAAA8AAAAA&#10;AAAAAQAgAAAAIgAAAGRycy9kb3ducmV2LnhtbFBLAQIUABQAAAAIAIdO4kAKPaGcFAIAACoEAAAO&#10;AAAAAAAAAAEAIAAAACcBAABkcnMvZTJvRG9jLnhtbFBLBQYAAAAABgAGAFkBAACtBQAAAAA=&#10;">
                <v:fill on="f" focussize="0,0"/>
                <v:stroke on="f" miterlimit="8" joinstyle="miter"/>
                <v:imagedata o:title=""/>
                <o:lock v:ext="edit" aspectratio="f"/>
                <v:textbox>
                  <w:txbxContent>
                    <w:p w14:paraId="69FAF5A1">
                      <w:pPr>
                        <w:pStyle w:val="72"/>
                        <w:rPr>
                          <w:sz w:val="28"/>
                          <w:szCs w:val="22"/>
                        </w:rPr>
                      </w:pPr>
                      <w:r>
                        <w:t>ISO/IEC 27001 Toolkit: Version 12</w:t>
                      </w:r>
                      <w:r>
                        <w:br w:type="textWrapping"/>
                      </w:r>
                      <w:r>
                        <w:t>©CertiKit</w:t>
                      </w:r>
                    </w:p>
                  </w:txbxContent>
                </v:textbox>
              </v:shape>
            </w:pict>
          </mc:Fallback>
        </mc:AlternateContent>
      </w:r>
      <w:r>
        <w:rPr>
          <w:highlight w:val="green"/>
        </w:rPr>
        <w:br w:type="textWrapping"/>
      </w:r>
      <w:r>
        <w:rPr>
          <w:rFonts w:hint="default" w:ascii="Arial Black" w:hAnsi="Arial Black" w:cs="Arial Black"/>
          <w:b/>
          <w:bCs/>
          <w:sz w:val="72"/>
          <w:szCs w:val="72"/>
          <w:lang w:val="en-US"/>
        </w:rPr>
        <w:t xml:space="preserve">AlphaTech </w:t>
      </w:r>
    </w:p>
    <w:p w14:paraId="38B45A18">
      <w:pPr>
        <w:spacing w:before="0" w:after="160" w:line="259" w:lineRule="auto"/>
        <w:rPr>
          <w:rFonts w:hint="default" w:ascii="Arial Black" w:hAnsi="Arial Black" w:cs="Arial Black"/>
          <w:b/>
          <w:bCs/>
          <w:sz w:val="72"/>
          <w:szCs w:val="72"/>
          <w:lang w:val="en-US"/>
        </w:rPr>
      </w:pPr>
      <w:r>
        <w:rPr>
          <w:rFonts w:hint="default" w:ascii="Arial Black" w:hAnsi="Arial Black" w:cs="Arial Black"/>
          <w:b/>
          <w:bCs/>
          <w:sz w:val="72"/>
          <w:szCs w:val="72"/>
          <w:lang w:val="en-US"/>
        </w:rPr>
        <w:t>Information</w:t>
      </w:r>
      <w:bookmarkStart w:id="15" w:name="_GoBack"/>
      <w:bookmarkEnd w:id="15"/>
    </w:p>
    <w:p w14:paraId="2F61833B">
      <w:pPr>
        <w:spacing w:before="0" w:after="160" w:line="259" w:lineRule="auto"/>
        <w:rPr>
          <w:rFonts w:hint="default" w:ascii="Arial Black" w:hAnsi="Arial Black" w:cs="Arial Black"/>
          <w:b/>
          <w:bCs/>
          <w:sz w:val="72"/>
          <w:szCs w:val="72"/>
        </w:rPr>
      </w:pPr>
      <w:r>
        <w:rPr>
          <w:rFonts w:hint="default" w:ascii="Arial Black" w:hAnsi="Arial Black" w:cs="Arial Black"/>
          <w:b/>
          <w:bCs/>
          <w:sz w:val="72"/>
          <w:szCs w:val="72"/>
        </w:rPr>
        <w:t xml:space="preserve">Security </w:t>
      </w:r>
    </w:p>
    <w:p w14:paraId="3985FDD6">
      <w:pPr>
        <w:spacing w:before="0" w:after="160" w:line="259" w:lineRule="auto"/>
        <w:rPr>
          <w:rFonts w:hint="default" w:ascii="Arial Black" w:hAnsi="Arial Black" w:cs="Arial Black"/>
          <w:b/>
          <w:bCs/>
          <w:sz w:val="72"/>
          <w:szCs w:val="72"/>
        </w:rPr>
      </w:pPr>
      <w:r>
        <w:rPr>
          <w:rFonts w:hint="default" w:ascii="Arial Black" w:hAnsi="Arial Black" w:cs="Arial Black"/>
          <w:b/>
          <w:bCs/>
          <w:sz w:val="72"/>
          <w:szCs w:val="72"/>
        </w:rPr>
        <w:t>Policy</w:t>
      </w:r>
    </w:p>
    <w:p w14:paraId="3919CAEC">
      <w:pPr>
        <w:rPr>
          <w:rFonts w:hint="default" w:ascii="Arial Black" w:hAnsi="Arial Black" w:cs="Arial Black"/>
          <w:b/>
          <w:bCs/>
          <w:sz w:val="52"/>
          <w:szCs w:val="52"/>
        </w:rPr>
      </w:pPr>
    </w:p>
    <w:tbl>
      <w:tblPr>
        <w:tblStyle w:val="22"/>
        <w:tblpPr w:leftFromText="180" w:rightFromText="180" w:vertAnchor="text" w:horzAnchor="page" w:tblpX="1484" w:tblpY="251"/>
        <w:tblW w:w="7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Layout w:type="autofit"/>
        <w:tblCellMar>
          <w:top w:w="28" w:type="dxa"/>
          <w:left w:w="108" w:type="dxa"/>
          <w:bottom w:w="28" w:type="dxa"/>
          <w:right w:w="108" w:type="dxa"/>
        </w:tblCellMar>
      </w:tblPr>
      <w:tblGrid>
        <w:gridCol w:w="3301"/>
        <w:gridCol w:w="4358"/>
      </w:tblGrid>
      <w:tr w14:paraId="0F757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CellMar>
            <w:top w:w="28" w:type="dxa"/>
            <w:left w:w="108" w:type="dxa"/>
            <w:bottom w:w="28" w:type="dxa"/>
            <w:right w:w="108" w:type="dxa"/>
          </w:tblCellMar>
        </w:tblPrEx>
        <w:trPr>
          <w:trHeight w:val="903" w:hRule="atLeast"/>
        </w:trPr>
        <w:tc>
          <w:tcPr>
            <w:tcW w:w="3301" w:type="dxa"/>
            <w:shd w:val="clear" w:color="auto" w:fill="00B050"/>
            <w:vAlign w:val="center"/>
          </w:tcPr>
          <w:p w14:paraId="3AEA3046">
            <w:pPr>
              <w:pStyle w:val="75"/>
              <w:framePr w:hSpace="0" w:wrap="auto" w:vAnchor="margin" w:hAnchor="text" w:xAlign="left" w:yAlign="inline"/>
            </w:pPr>
            <w:bookmarkStart w:id="0" w:name="_Hlk11063652"/>
            <w:r>
              <w:t>DOCUMENT CLASSIFICATION</w:t>
            </w:r>
          </w:p>
        </w:tc>
        <w:tc>
          <w:tcPr>
            <w:tcW w:w="4358" w:type="dxa"/>
            <w:shd w:val="clear" w:color="auto" w:fill="FFFFFF" w:themeFill="background1"/>
            <w:vAlign w:val="center"/>
          </w:tcPr>
          <w:p w14:paraId="4B134E67">
            <w:pPr>
              <w:pStyle w:val="49"/>
            </w:pPr>
            <w:sdt>
              <w:sdtPr>
                <w:rPr>
                  <w:rStyle w:val="56"/>
                </w:rPr>
                <w:alias w:val="Insert classification"/>
                <w:tag w:val="Insert classification"/>
                <w:id w:val="147461911"/>
                <w:placeholder>
                  <w:docPart w:val="{e03d366e-2e9b-4be9-b686-17dfc2520fb7}"/>
                </w:placeholder>
              </w:sdtPr>
              <w:sdtEndPr>
                <w:rPr>
                  <w:rStyle w:val="11"/>
                </w:rPr>
              </w:sdtEndPr>
              <w:sdtContent>
                <w:r>
                  <w:rPr>
                    <w:rStyle w:val="56"/>
                    <w:rFonts w:hint="default"/>
                    <w:lang w:val="en-US"/>
                  </w:rPr>
                  <w:t>Confidential</w:t>
                </w:r>
              </w:sdtContent>
            </w:sdt>
          </w:p>
        </w:tc>
      </w:tr>
      <w:tr w14:paraId="18FCD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903" w:hRule="atLeast"/>
        </w:trPr>
        <w:tc>
          <w:tcPr>
            <w:tcW w:w="3301" w:type="dxa"/>
            <w:shd w:val="clear" w:color="auto" w:fill="00B050"/>
            <w:vAlign w:val="center"/>
          </w:tcPr>
          <w:p w14:paraId="7081BAE6">
            <w:pPr>
              <w:pStyle w:val="75"/>
              <w:framePr w:hSpace="0" w:wrap="auto" w:vAnchor="margin" w:hAnchor="text" w:xAlign="left" w:yAlign="inline"/>
            </w:pPr>
            <w:r>
              <w:t>DOCUMENT REF</w:t>
            </w:r>
          </w:p>
        </w:tc>
        <w:tc>
          <w:tcPr>
            <w:tcW w:w="4358" w:type="dxa"/>
            <w:shd w:val="clear" w:color="auto" w:fill="FFFFFF" w:themeFill="background1"/>
            <w:vAlign w:val="center"/>
          </w:tcPr>
          <w:p w14:paraId="6A71B0C1">
            <w:pPr>
              <w:pStyle w:val="49"/>
            </w:pPr>
            <w:r>
              <w:t>ISMS-DOC-05-4</w:t>
            </w:r>
          </w:p>
        </w:tc>
      </w:tr>
      <w:tr w14:paraId="21097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903" w:hRule="atLeast"/>
        </w:trPr>
        <w:tc>
          <w:tcPr>
            <w:tcW w:w="3301" w:type="dxa"/>
            <w:shd w:val="clear" w:color="auto" w:fill="00B050"/>
            <w:vAlign w:val="center"/>
          </w:tcPr>
          <w:p w14:paraId="7483C4B3">
            <w:pPr>
              <w:pStyle w:val="75"/>
              <w:framePr w:hSpace="0" w:wrap="auto" w:vAnchor="margin" w:hAnchor="text" w:xAlign="left" w:yAlign="inline"/>
            </w:pPr>
            <w:r>
              <w:t>VERSION</w:t>
            </w:r>
          </w:p>
        </w:tc>
        <w:sdt>
          <w:sdtPr>
            <w:rPr>
              <w:rStyle w:val="58"/>
            </w:rPr>
            <w:alias w:val="Version number"/>
            <w:tag w:val="Version number"/>
            <w:id w:val="147460405"/>
            <w:placeholder>
              <w:docPart w:val="{e03d366e-2e9b-4be9-b686-17dfc2520fb7}"/>
            </w:placeholder>
          </w:sdtPr>
          <w:sdtEndPr>
            <w:rPr>
              <w:rStyle w:val="11"/>
            </w:rPr>
          </w:sdtEndPr>
          <w:sdtContent>
            <w:tc>
              <w:tcPr>
                <w:tcW w:w="4358" w:type="dxa"/>
                <w:shd w:val="clear" w:color="auto" w:fill="FFFFFF" w:themeFill="background1"/>
                <w:vAlign w:val="center"/>
              </w:tcPr>
              <w:p w14:paraId="4E943BF0">
                <w:pPr>
                  <w:pStyle w:val="49"/>
                </w:pPr>
                <w:r>
                  <w:rPr>
                    <w:rStyle w:val="58"/>
                  </w:rPr>
                  <w:t>1</w:t>
                </w:r>
              </w:p>
            </w:tc>
          </w:sdtContent>
        </w:sdt>
      </w:tr>
      <w:tr w14:paraId="41960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903" w:hRule="atLeast"/>
        </w:trPr>
        <w:tc>
          <w:tcPr>
            <w:tcW w:w="3301" w:type="dxa"/>
            <w:shd w:val="clear" w:color="auto" w:fill="00B050"/>
            <w:vAlign w:val="center"/>
          </w:tcPr>
          <w:p w14:paraId="2093A9D9">
            <w:pPr>
              <w:pStyle w:val="75"/>
              <w:framePr w:hSpace="0" w:wrap="auto" w:vAnchor="margin" w:hAnchor="text" w:xAlign="left" w:yAlign="inline"/>
            </w:pPr>
            <w:r>
              <w:t>DATED</w:t>
            </w:r>
          </w:p>
        </w:tc>
        <w:sdt>
          <w:sdtPr>
            <w:rPr>
              <w:rStyle w:val="59"/>
            </w:rPr>
            <w:id w:val="147480491"/>
            <w:placeholder>
              <w:docPart w:val="{53360751-b50a-4a70-957b-ef2f3bac49d8}"/>
            </w:placeholder>
            <w:date w:fullDate="2025-08-26T00:00:00Z">
              <w:dateFormat w:val="dd MMMM yyyy"/>
              <w:lid w:val="en-GB"/>
              <w:storeMappedDataAs w:val="datetime"/>
              <w:calendar w:val="gregorian"/>
            </w:date>
          </w:sdtPr>
          <w:sdtEndPr>
            <w:rPr>
              <w:rStyle w:val="59"/>
            </w:rPr>
          </w:sdtEndPr>
          <w:sdtContent>
            <w:tc>
              <w:tcPr>
                <w:tcW w:w="4358" w:type="dxa"/>
                <w:shd w:val="clear" w:color="auto" w:fill="FFFFFF" w:themeFill="background1"/>
                <w:vAlign w:val="center"/>
              </w:tcPr>
              <w:p w14:paraId="4D4C9118">
                <w:pPr>
                  <w:pStyle w:val="49"/>
                </w:pPr>
                <w:r>
                  <w:rPr>
                    <w:rFonts w:eastAsia="Times New Roman" w:cs="Times New Roman" w:asciiTheme="minorHAnsi" w:hAnsiTheme="minorHAnsi"/>
                    <w:color w:val="444444" w:themeColor="text1"/>
                    <w:sz w:val="20"/>
                    <w:szCs w:val="24"/>
                    <w:lang w:val="en-GB" w:eastAsia="en-US" w:bidi="ar-SA"/>
                    <w14:textFill>
                      <w14:solidFill>
                        <w14:schemeClr w14:val="tx1"/>
                      </w14:solidFill>
                    </w14:textFill>
                  </w:rPr>
                  <w:t>26 August 2025</w:t>
                </w:r>
              </w:p>
            </w:tc>
          </w:sdtContent>
        </w:sdt>
      </w:tr>
      <w:tr w14:paraId="489D3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903" w:hRule="atLeast"/>
        </w:trPr>
        <w:tc>
          <w:tcPr>
            <w:tcW w:w="3301" w:type="dxa"/>
            <w:shd w:val="clear" w:color="auto" w:fill="00B050"/>
            <w:vAlign w:val="center"/>
          </w:tcPr>
          <w:p w14:paraId="577B7883">
            <w:pPr>
              <w:pStyle w:val="75"/>
              <w:framePr w:hSpace="0" w:wrap="auto" w:vAnchor="margin" w:hAnchor="text" w:xAlign="left" w:yAlign="inline"/>
            </w:pPr>
            <w:r>
              <w:t>DOCUMENT AUTHOR</w:t>
            </w:r>
          </w:p>
        </w:tc>
        <w:tc>
          <w:tcPr>
            <w:tcW w:w="4358" w:type="dxa"/>
            <w:shd w:val="clear" w:color="auto" w:fill="FFFFFF" w:themeFill="background1"/>
            <w:vAlign w:val="center"/>
          </w:tcPr>
          <w:p w14:paraId="0CE531B2">
            <w:pPr>
              <w:pStyle w:val="49"/>
              <w:rPr>
                <w:rFonts w:hint="default"/>
                <w:lang w:val="en-US"/>
              </w:rPr>
            </w:pPr>
            <w:r>
              <w:rPr>
                <w:rFonts w:hint="default"/>
                <w:lang w:val="en-US"/>
              </w:rPr>
              <w:t>STEPHANIE UZAMA</w:t>
            </w:r>
          </w:p>
        </w:tc>
      </w:tr>
      <w:tr w14:paraId="3B2EA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926" w:hRule="atLeast"/>
        </w:trPr>
        <w:tc>
          <w:tcPr>
            <w:tcW w:w="3301" w:type="dxa"/>
            <w:shd w:val="clear" w:color="auto" w:fill="00B050"/>
            <w:vAlign w:val="center"/>
          </w:tcPr>
          <w:p w14:paraId="2971C6E6">
            <w:pPr>
              <w:pStyle w:val="75"/>
              <w:framePr w:hSpace="0" w:wrap="auto" w:vAnchor="margin" w:hAnchor="text" w:xAlign="left" w:yAlign="inline"/>
            </w:pPr>
            <w:r>
              <w:t>DOCUMENT OWNER</w:t>
            </w:r>
          </w:p>
        </w:tc>
        <w:tc>
          <w:tcPr>
            <w:tcW w:w="4358" w:type="dxa"/>
            <w:shd w:val="clear" w:color="auto" w:fill="FFFFFF" w:themeFill="background1"/>
            <w:vAlign w:val="center"/>
          </w:tcPr>
          <w:p w14:paraId="5116D21A">
            <w:pPr>
              <w:pStyle w:val="49"/>
              <w:rPr>
                <w:rFonts w:hint="default"/>
                <w:lang w:val="en-US"/>
              </w:rPr>
            </w:pPr>
            <w:r>
              <w:rPr>
                <w:rFonts w:hint="default"/>
                <w:lang w:val="en-US"/>
              </w:rPr>
              <w:t>Chief Security Officer</w:t>
            </w:r>
          </w:p>
        </w:tc>
      </w:tr>
      <w:bookmarkEnd w:id="0"/>
    </w:tbl>
    <w:p w14:paraId="31D19C6F"/>
    <w:p w14:paraId="6045FABD"/>
    <w:p w14:paraId="248C97F1">
      <w:r>
        <w:br w:type="textWrapping"/>
      </w:r>
    </w:p>
    <w:p w14:paraId="46D7A8BF"/>
    <w:p w14:paraId="210CFB11"/>
    <w:p w14:paraId="32EAD437"/>
    <w:p w14:paraId="47F879E7"/>
    <w:p w14:paraId="13CF2A2C"/>
    <w:p w14:paraId="0B9510FC">
      <w:pPr>
        <w:pStyle w:val="67"/>
      </w:pPr>
    </w:p>
    <w:p w14:paraId="70FC11D7">
      <w:pPr>
        <w:pStyle w:val="67"/>
      </w:pPr>
    </w:p>
    <w:p w14:paraId="12C2377D">
      <w:pPr>
        <w:pStyle w:val="67"/>
      </w:pPr>
    </w:p>
    <w:p w14:paraId="110B27CD">
      <w:pPr>
        <w:pStyle w:val="67"/>
      </w:pPr>
    </w:p>
    <w:p w14:paraId="6D877CF0">
      <w:pPr>
        <w:pStyle w:val="67"/>
      </w:pPr>
    </w:p>
    <w:p w14:paraId="42A54535">
      <w:pPr>
        <w:pStyle w:val="67"/>
      </w:pPr>
      <w:r>
        <mc:AlternateContent>
          <mc:Choice Requires="wps">
            <w:drawing>
              <wp:anchor distT="45720" distB="45720" distL="114300" distR="114300" simplePos="0" relativeHeight="251660288" behindDoc="0" locked="0" layoutInCell="1" allowOverlap="1">
                <wp:simplePos x="0" y="0"/>
                <wp:positionH relativeFrom="margin">
                  <wp:posOffset>51435</wp:posOffset>
                </wp:positionH>
                <wp:positionV relativeFrom="paragraph">
                  <wp:posOffset>285115</wp:posOffset>
                </wp:positionV>
                <wp:extent cx="5882005" cy="1600835"/>
                <wp:effectExtent l="0" t="0" r="0"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5882005" cy="1600835"/>
                        </a:xfrm>
                        <a:prstGeom prst="rect">
                          <a:avLst/>
                        </a:prstGeom>
                        <a:noFill/>
                        <a:ln w="9525">
                          <a:noFill/>
                          <a:miter lim="800000"/>
                        </a:ln>
                      </wps:spPr>
                      <wps:txbx>
                        <w:txbxContent>
                          <w:p w14:paraId="751CB93B">
                            <w:pPr>
                              <w:pStyle w:val="64"/>
                            </w:pPr>
                            <w:r>
                              <w:br w:type="textWrapping"/>
                            </w:r>
                            <w:r>
                              <w:t>Information Security Policy</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4.05pt;margin-top:22.45pt;height:126.05pt;width:463.15pt;mso-position-horizontal-relative:margin;z-index:251660288;mso-width-relative:page;mso-height-relative:page;" filled="f" stroked="f" coordsize="21600,21600" o:gfxdata="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EcGGDWAAAACAEAAA8AAAAAAAAA&#10;AQAgAAAAIgAAAGRycy9kb3ducmV2LnhtbFBLAQIUABQAAAAIAIdO4kBafsTpEwIAACkEAAAOAAAA&#10;AAAAAAEAIAAAACUBAABkcnMvZTJvRG9jLnhtbFBLBQYAAAAABgAGAFkBAACqBQAAAAA=&#10;">
                <v:fill on="f" focussize="0,0"/>
                <v:stroke on="f" miterlimit="8" joinstyle="miter"/>
                <v:imagedata o:title=""/>
                <o:lock v:ext="edit" aspectratio="f"/>
                <v:textbox>
                  <w:txbxContent>
                    <w:p w14:paraId="751CB93B">
                      <w:pPr>
                        <w:pStyle w:val="64"/>
                      </w:pPr>
                      <w:r>
                        <w:br w:type="textWrapping"/>
                      </w:r>
                      <w:r>
                        <w:t>Information Security Policy</w:t>
                      </w:r>
                    </w:p>
                  </w:txbxContent>
                </v:textbox>
              </v:shape>
            </w:pict>
          </mc:Fallback>
        </mc:AlternateContent>
      </w:r>
    </w:p>
    <w:p w14:paraId="0994C0DA">
      <w:pPr>
        <w:pStyle w:val="67"/>
      </w:pPr>
    </w:p>
    <w:p w14:paraId="171DAC4D">
      <w:pPr>
        <w:pStyle w:val="67"/>
      </w:pPr>
    </w:p>
    <w:p w14:paraId="33363445">
      <w:pPr>
        <w:pStyle w:val="67"/>
      </w:pPr>
    </w:p>
    <w:p w14:paraId="7C1156AC">
      <w:pPr>
        <w:pStyle w:val="67"/>
      </w:pPr>
    </w:p>
    <w:p w14:paraId="1F20E9CB">
      <w:pPr>
        <w:pStyle w:val="67"/>
        <w:rPr>
          <w:color w:val="00B050"/>
        </w:rPr>
      </w:pPr>
      <w:r>
        <w:rPr>
          <w:color w:val="00B050"/>
        </w:rPr>
        <w:t>Revision history</w:t>
      </w:r>
    </w:p>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988"/>
        <w:gridCol w:w="1182"/>
        <w:gridCol w:w="2126"/>
        <w:gridCol w:w="4820"/>
      </w:tblGrid>
      <w:tr w14:paraId="4B2B4A5C">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shd w:val="clear" w:color="auto" w:fill="00B050"/>
          </w:tcPr>
          <w:p w14:paraId="4025ECBF">
            <w:pPr>
              <w:pStyle w:val="50"/>
            </w:pPr>
            <w:r>
              <w:t>VERSION</w:t>
            </w:r>
          </w:p>
        </w:tc>
        <w:tc>
          <w:tcPr>
            <w:tcW w:w="992" w:type="dxa"/>
            <w:shd w:val="clear" w:color="auto" w:fill="00B050"/>
          </w:tcPr>
          <w:p w14:paraId="09F82B1D">
            <w:pPr>
              <w:pStyle w:val="50"/>
            </w:pPr>
            <w:r>
              <w:t>DATE</w:t>
            </w:r>
          </w:p>
        </w:tc>
        <w:tc>
          <w:tcPr>
            <w:tcW w:w="2126" w:type="dxa"/>
            <w:shd w:val="clear" w:color="auto" w:fill="00B050"/>
          </w:tcPr>
          <w:p w14:paraId="109AB534">
            <w:pPr>
              <w:pStyle w:val="50"/>
            </w:pPr>
            <w:r>
              <w:t>REVISION AUTHOR</w:t>
            </w:r>
          </w:p>
        </w:tc>
        <w:tc>
          <w:tcPr>
            <w:tcW w:w="4820" w:type="dxa"/>
            <w:shd w:val="clear" w:color="auto" w:fill="00B050"/>
          </w:tcPr>
          <w:p w14:paraId="1A26522D">
            <w:pPr>
              <w:pStyle w:val="50"/>
            </w:pPr>
            <w:r>
              <w:t>SUMMARY OF CHANGES</w:t>
            </w:r>
          </w:p>
        </w:tc>
      </w:tr>
      <w:tr w14:paraId="4E39FF32">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tcPr>
          <w:p w14:paraId="56D0863C">
            <w:pPr>
              <w:pStyle w:val="49"/>
            </w:pPr>
            <w:r>
              <w:t>V1</w:t>
            </w:r>
          </w:p>
        </w:tc>
        <w:tc>
          <w:tcPr>
            <w:tcW w:w="992" w:type="dxa"/>
          </w:tcPr>
          <w:p w14:paraId="18BA8B55">
            <w:pPr>
              <w:pStyle w:val="49"/>
            </w:pPr>
            <w:r>
              <w:rPr>
                <w:rFonts w:hint="default"/>
                <w:lang w:val="en-US"/>
              </w:rPr>
              <w:t>26</w:t>
            </w:r>
            <w:r>
              <w:t>/08/2025</w:t>
            </w:r>
          </w:p>
        </w:tc>
        <w:tc>
          <w:tcPr>
            <w:tcW w:w="2126" w:type="dxa"/>
          </w:tcPr>
          <w:p w14:paraId="4780060F">
            <w:pPr>
              <w:pStyle w:val="49"/>
            </w:pPr>
            <w:r>
              <w:t>ISO</w:t>
            </w:r>
          </w:p>
        </w:tc>
        <w:tc>
          <w:tcPr>
            <w:tcW w:w="4820" w:type="dxa"/>
          </w:tcPr>
          <w:p w14:paraId="1575408C">
            <w:pPr>
              <w:pStyle w:val="49"/>
            </w:pPr>
            <w:r>
              <w:t>First draft</w:t>
            </w:r>
          </w:p>
        </w:tc>
      </w:tr>
      <w:tr w14:paraId="4A5C708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tcPr>
          <w:p w14:paraId="21FFEDD1">
            <w:pPr>
              <w:pStyle w:val="49"/>
            </w:pPr>
          </w:p>
        </w:tc>
        <w:tc>
          <w:tcPr>
            <w:tcW w:w="992" w:type="dxa"/>
          </w:tcPr>
          <w:p w14:paraId="72533DCB">
            <w:pPr>
              <w:pStyle w:val="49"/>
            </w:pPr>
          </w:p>
        </w:tc>
        <w:tc>
          <w:tcPr>
            <w:tcW w:w="2126" w:type="dxa"/>
          </w:tcPr>
          <w:p w14:paraId="7E7690E6">
            <w:pPr>
              <w:pStyle w:val="49"/>
            </w:pPr>
          </w:p>
        </w:tc>
        <w:tc>
          <w:tcPr>
            <w:tcW w:w="4820" w:type="dxa"/>
          </w:tcPr>
          <w:p w14:paraId="25A1C702">
            <w:pPr>
              <w:pStyle w:val="49"/>
            </w:pPr>
          </w:p>
        </w:tc>
      </w:tr>
      <w:tr w14:paraId="244DF705">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tcPr>
          <w:p w14:paraId="57555B28">
            <w:pPr>
              <w:pStyle w:val="49"/>
            </w:pPr>
          </w:p>
        </w:tc>
        <w:tc>
          <w:tcPr>
            <w:tcW w:w="992" w:type="dxa"/>
          </w:tcPr>
          <w:p w14:paraId="0096FA42">
            <w:pPr>
              <w:pStyle w:val="49"/>
            </w:pPr>
          </w:p>
        </w:tc>
        <w:tc>
          <w:tcPr>
            <w:tcW w:w="2126" w:type="dxa"/>
          </w:tcPr>
          <w:p w14:paraId="3B0B5898">
            <w:pPr>
              <w:pStyle w:val="49"/>
            </w:pPr>
          </w:p>
        </w:tc>
        <w:tc>
          <w:tcPr>
            <w:tcW w:w="4820" w:type="dxa"/>
          </w:tcPr>
          <w:p w14:paraId="3D5295EA">
            <w:pPr>
              <w:pStyle w:val="49"/>
            </w:pPr>
          </w:p>
        </w:tc>
      </w:tr>
    </w:tbl>
    <w:p w14:paraId="65226682"/>
    <w:p w14:paraId="30F07099">
      <w:pPr>
        <w:pStyle w:val="67"/>
        <w:rPr>
          <w:color w:val="00B050"/>
        </w:rPr>
      </w:pPr>
      <w:r>
        <w:rPr>
          <w:color w:val="00B050"/>
        </w:rPr>
        <w:t>Distribution</w:t>
      </w:r>
    </w:p>
    <w:tbl>
      <w:tblPr>
        <w:tblStyle w:val="22"/>
        <w:tblW w:w="8926" w:type="dxa"/>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4390"/>
        <w:gridCol w:w="4536"/>
      </w:tblGrid>
      <w:tr w14:paraId="6FEA61F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shd w:val="clear" w:color="auto" w:fill="00B050"/>
          </w:tcPr>
          <w:p w14:paraId="7675524D">
            <w:pPr>
              <w:pStyle w:val="50"/>
            </w:pPr>
            <w:bookmarkStart w:id="1" w:name="_Hlk17369938"/>
            <w:r>
              <w:t>NAME</w:t>
            </w:r>
          </w:p>
        </w:tc>
        <w:tc>
          <w:tcPr>
            <w:tcW w:w="4536" w:type="dxa"/>
            <w:tcBorders>
              <w:top w:val="single" w:color="444444" w:sz="4" w:space="0"/>
              <w:left w:val="single" w:color="444444" w:sz="4" w:space="0"/>
              <w:bottom w:val="single" w:color="444444" w:sz="4" w:space="0"/>
              <w:right w:val="single" w:color="444444" w:sz="4" w:space="0"/>
            </w:tcBorders>
            <w:shd w:val="clear" w:color="auto" w:fill="00B050"/>
          </w:tcPr>
          <w:p w14:paraId="0DE35C32">
            <w:pPr>
              <w:pStyle w:val="50"/>
            </w:pPr>
            <w:r>
              <w:t>TITLE</w:t>
            </w:r>
          </w:p>
        </w:tc>
      </w:tr>
      <w:tr w14:paraId="74A112F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tcPr>
          <w:p w14:paraId="0DBCC754">
            <w:pPr>
              <w:pStyle w:val="49"/>
            </w:pPr>
          </w:p>
        </w:tc>
        <w:tc>
          <w:tcPr>
            <w:tcW w:w="4536" w:type="dxa"/>
            <w:tcBorders>
              <w:top w:val="single" w:color="444444" w:sz="4" w:space="0"/>
              <w:left w:val="single" w:color="444444" w:sz="4" w:space="0"/>
              <w:bottom w:val="single" w:color="444444" w:sz="4" w:space="0"/>
              <w:right w:val="single" w:color="444444" w:sz="4" w:space="0"/>
            </w:tcBorders>
          </w:tcPr>
          <w:p w14:paraId="1E379465">
            <w:pPr>
              <w:pStyle w:val="49"/>
            </w:pPr>
          </w:p>
        </w:tc>
      </w:tr>
      <w:tr w14:paraId="2368E9F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tcPr>
          <w:p w14:paraId="6260691C">
            <w:pPr>
              <w:pStyle w:val="49"/>
            </w:pPr>
          </w:p>
        </w:tc>
        <w:tc>
          <w:tcPr>
            <w:tcW w:w="4536" w:type="dxa"/>
            <w:tcBorders>
              <w:top w:val="single" w:color="444444" w:sz="4" w:space="0"/>
              <w:left w:val="single" w:color="444444" w:sz="4" w:space="0"/>
              <w:bottom w:val="single" w:color="444444" w:sz="4" w:space="0"/>
              <w:right w:val="single" w:color="444444" w:sz="4" w:space="0"/>
            </w:tcBorders>
          </w:tcPr>
          <w:p w14:paraId="27AD54FA">
            <w:pPr>
              <w:pStyle w:val="49"/>
            </w:pPr>
          </w:p>
        </w:tc>
      </w:tr>
      <w:tr w14:paraId="188AFE46">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tcPr>
          <w:p w14:paraId="0AE55845">
            <w:pPr>
              <w:pStyle w:val="49"/>
            </w:pPr>
          </w:p>
        </w:tc>
        <w:tc>
          <w:tcPr>
            <w:tcW w:w="4536" w:type="dxa"/>
            <w:tcBorders>
              <w:top w:val="single" w:color="444444" w:sz="4" w:space="0"/>
              <w:left w:val="single" w:color="444444" w:sz="4" w:space="0"/>
              <w:bottom w:val="single" w:color="444444" w:sz="4" w:space="0"/>
              <w:right w:val="single" w:color="444444" w:sz="4" w:space="0"/>
            </w:tcBorders>
          </w:tcPr>
          <w:p w14:paraId="1B77FBE0">
            <w:pPr>
              <w:pStyle w:val="49"/>
            </w:pPr>
          </w:p>
        </w:tc>
      </w:tr>
      <w:bookmarkEnd w:id="1"/>
    </w:tbl>
    <w:p w14:paraId="681A79A3"/>
    <w:p w14:paraId="745AB57A">
      <w:pPr>
        <w:pStyle w:val="67"/>
        <w:rPr>
          <w:color w:val="00B050"/>
        </w:rPr>
      </w:pPr>
      <w:r>
        <w:rPr>
          <w:color w:val="00B050"/>
        </w:rPr>
        <w:t>Approval</w:t>
      </w:r>
    </w:p>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2263"/>
        <w:gridCol w:w="2127"/>
        <w:gridCol w:w="2693"/>
        <w:gridCol w:w="1843"/>
      </w:tblGrid>
      <w:tr w14:paraId="4CC9743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shd w:val="clear" w:color="auto" w:fill="00B050"/>
          </w:tcPr>
          <w:p w14:paraId="1D2B42DB">
            <w:pPr>
              <w:pStyle w:val="50"/>
            </w:pPr>
            <w:r>
              <w:t>NAME</w:t>
            </w:r>
          </w:p>
        </w:tc>
        <w:tc>
          <w:tcPr>
            <w:tcW w:w="2127" w:type="dxa"/>
            <w:tcBorders>
              <w:top w:val="single" w:color="444444" w:sz="4" w:space="0"/>
              <w:left w:val="single" w:color="444444" w:sz="4" w:space="0"/>
              <w:bottom w:val="single" w:color="444444" w:sz="4" w:space="0"/>
              <w:right w:val="single" w:color="444444" w:sz="4" w:space="0"/>
            </w:tcBorders>
            <w:shd w:val="clear" w:color="auto" w:fill="00B050"/>
          </w:tcPr>
          <w:p w14:paraId="1FB07B24">
            <w:pPr>
              <w:pStyle w:val="50"/>
            </w:pPr>
            <w:r>
              <w:t>POSITION</w:t>
            </w:r>
          </w:p>
        </w:tc>
        <w:tc>
          <w:tcPr>
            <w:tcW w:w="2693" w:type="dxa"/>
            <w:tcBorders>
              <w:top w:val="single" w:color="444444" w:sz="4" w:space="0"/>
              <w:left w:val="single" w:color="444444" w:sz="4" w:space="0"/>
              <w:bottom w:val="single" w:color="444444" w:sz="4" w:space="0"/>
              <w:right w:val="single" w:color="444444" w:sz="4" w:space="0"/>
            </w:tcBorders>
            <w:shd w:val="clear" w:color="auto" w:fill="00B050"/>
          </w:tcPr>
          <w:p w14:paraId="5070D4AA">
            <w:pPr>
              <w:pStyle w:val="50"/>
            </w:pPr>
            <w:r>
              <w:t>SIGNATURE</w:t>
            </w:r>
          </w:p>
        </w:tc>
        <w:tc>
          <w:tcPr>
            <w:tcW w:w="1843" w:type="dxa"/>
            <w:tcBorders>
              <w:top w:val="single" w:color="444444" w:sz="4" w:space="0"/>
              <w:left w:val="single" w:color="444444" w:sz="4" w:space="0"/>
              <w:bottom w:val="single" w:color="444444" w:sz="4" w:space="0"/>
              <w:right w:val="single" w:color="444444" w:sz="4" w:space="0"/>
            </w:tcBorders>
            <w:shd w:val="clear" w:color="auto" w:fill="00B050"/>
          </w:tcPr>
          <w:p w14:paraId="139B6DA1">
            <w:pPr>
              <w:pStyle w:val="50"/>
            </w:pPr>
            <w:r>
              <w:t>DATE</w:t>
            </w:r>
          </w:p>
        </w:tc>
      </w:tr>
      <w:tr w14:paraId="157C939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tcPr>
          <w:p w14:paraId="677CE4DB">
            <w:pPr>
              <w:pStyle w:val="49"/>
            </w:pPr>
          </w:p>
        </w:tc>
        <w:tc>
          <w:tcPr>
            <w:tcW w:w="2127" w:type="dxa"/>
            <w:tcBorders>
              <w:top w:val="single" w:color="444444" w:sz="4" w:space="0"/>
              <w:left w:val="single" w:color="444444" w:sz="4" w:space="0"/>
              <w:bottom w:val="single" w:color="444444" w:sz="4" w:space="0"/>
              <w:right w:val="single" w:color="444444" w:sz="4" w:space="0"/>
            </w:tcBorders>
          </w:tcPr>
          <w:p w14:paraId="3D649534">
            <w:pPr>
              <w:pStyle w:val="49"/>
            </w:pPr>
          </w:p>
        </w:tc>
        <w:tc>
          <w:tcPr>
            <w:tcW w:w="2693" w:type="dxa"/>
            <w:tcBorders>
              <w:top w:val="single" w:color="444444" w:sz="4" w:space="0"/>
              <w:left w:val="single" w:color="444444" w:sz="4" w:space="0"/>
              <w:bottom w:val="single" w:color="444444" w:sz="4" w:space="0"/>
              <w:right w:val="single" w:color="444444" w:sz="4" w:space="0"/>
            </w:tcBorders>
          </w:tcPr>
          <w:p w14:paraId="56BCB817">
            <w:pPr>
              <w:pStyle w:val="49"/>
            </w:pPr>
          </w:p>
        </w:tc>
        <w:tc>
          <w:tcPr>
            <w:tcW w:w="1843" w:type="dxa"/>
            <w:tcBorders>
              <w:top w:val="single" w:color="444444" w:sz="4" w:space="0"/>
              <w:left w:val="single" w:color="444444" w:sz="4" w:space="0"/>
              <w:bottom w:val="single" w:color="444444" w:sz="4" w:space="0"/>
              <w:right w:val="single" w:color="444444" w:sz="4" w:space="0"/>
            </w:tcBorders>
          </w:tcPr>
          <w:p w14:paraId="20EF4025">
            <w:pPr>
              <w:pStyle w:val="49"/>
            </w:pPr>
          </w:p>
        </w:tc>
      </w:tr>
      <w:tr w14:paraId="2BCC2ABE">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tcPr>
          <w:p w14:paraId="67372B59">
            <w:pPr>
              <w:pStyle w:val="49"/>
            </w:pPr>
          </w:p>
        </w:tc>
        <w:tc>
          <w:tcPr>
            <w:tcW w:w="2127" w:type="dxa"/>
            <w:tcBorders>
              <w:top w:val="single" w:color="444444" w:sz="4" w:space="0"/>
              <w:left w:val="single" w:color="444444" w:sz="4" w:space="0"/>
              <w:bottom w:val="single" w:color="444444" w:sz="4" w:space="0"/>
              <w:right w:val="single" w:color="444444" w:sz="4" w:space="0"/>
            </w:tcBorders>
          </w:tcPr>
          <w:p w14:paraId="4A86DC35">
            <w:pPr>
              <w:pStyle w:val="49"/>
            </w:pPr>
          </w:p>
        </w:tc>
        <w:tc>
          <w:tcPr>
            <w:tcW w:w="2693" w:type="dxa"/>
            <w:tcBorders>
              <w:top w:val="single" w:color="444444" w:sz="4" w:space="0"/>
              <w:left w:val="single" w:color="444444" w:sz="4" w:space="0"/>
              <w:bottom w:val="single" w:color="444444" w:sz="4" w:space="0"/>
              <w:right w:val="single" w:color="444444" w:sz="4" w:space="0"/>
            </w:tcBorders>
          </w:tcPr>
          <w:p w14:paraId="32BAC628">
            <w:pPr>
              <w:pStyle w:val="49"/>
            </w:pPr>
          </w:p>
        </w:tc>
        <w:tc>
          <w:tcPr>
            <w:tcW w:w="1843" w:type="dxa"/>
            <w:tcBorders>
              <w:top w:val="single" w:color="444444" w:sz="4" w:space="0"/>
              <w:left w:val="single" w:color="444444" w:sz="4" w:space="0"/>
              <w:bottom w:val="single" w:color="444444" w:sz="4" w:space="0"/>
              <w:right w:val="single" w:color="444444" w:sz="4" w:space="0"/>
            </w:tcBorders>
          </w:tcPr>
          <w:p w14:paraId="4250AB65">
            <w:pPr>
              <w:pStyle w:val="49"/>
            </w:pPr>
          </w:p>
        </w:tc>
      </w:tr>
      <w:tr w14:paraId="75105FE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tcPr>
          <w:p w14:paraId="529087D3">
            <w:pPr>
              <w:pStyle w:val="49"/>
            </w:pPr>
          </w:p>
        </w:tc>
        <w:tc>
          <w:tcPr>
            <w:tcW w:w="2127" w:type="dxa"/>
            <w:tcBorders>
              <w:top w:val="single" w:color="444444" w:sz="4" w:space="0"/>
              <w:left w:val="single" w:color="444444" w:sz="4" w:space="0"/>
              <w:bottom w:val="single" w:color="444444" w:sz="4" w:space="0"/>
              <w:right w:val="single" w:color="444444" w:sz="4" w:space="0"/>
            </w:tcBorders>
          </w:tcPr>
          <w:p w14:paraId="0DB78A77">
            <w:pPr>
              <w:pStyle w:val="49"/>
            </w:pPr>
          </w:p>
        </w:tc>
        <w:tc>
          <w:tcPr>
            <w:tcW w:w="2693" w:type="dxa"/>
            <w:tcBorders>
              <w:top w:val="single" w:color="444444" w:sz="4" w:space="0"/>
              <w:left w:val="single" w:color="444444" w:sz="4" w:space="0"/>
              <w:bottom w:val="single" w:color="444444" w:sz="4" w:space="0"/>
              <w:right w:val="single" w:color="444444" w:sz="4" w:space="0"/>
            </w:tcBorders>
          </w:tcPr>
          <w:p w14:paraId="55479E6B">
            <w:pPr>
              <w:pStyle w:val="49"/>
            </w:pPr>
          </w:p>
        </w:tc>
        <w:tc>
          <w:tcPr>
            <w:tcW w:w="1843" w:type="dxa"/>
            <w:tcBorders>
              <w:top w:val="single" w:color="444444" w:sz="4" w:space="0"/>
              <w:left w:val="single" w:color="444444" w:sz="4" w:space="0"/>
              <w:bottom w:val="single" w:color="444444" w:sz="4" w:space="0"/>
              <w:right w:val="single" w:color="444444" w:sz="4" w:space="0"/>
            </w:tcBorders>
          </w:tcPr>
          <w:p w14:paraId="379548A3">
            <w:pPr>
              <w:pStyle w:val="49"/>
            </w:pPr>
          </w:p>
        </w:tc>
      </w:tr>
    </w:tbl>
    <w:p w14:paraId="4A3AD20D">
      <w:r>
        <w:br w:type="page"/>
      </w:r>
    </w:p>
    <w:p w14:paraId="0A9CE270">
      <w:pPr>
        <w:pStyle w:val="67"/>
        <w:rPr>
          <w:color w:val="00B050"/>
        </w:rPr>
      </w:pPr>
      <w:r>
        <w:rPr>
          <w:color w:val="00B050"/>
        </w:rPr>
        <w:t>Contents</w:t>
      </w:r>
    </w:p>
    <w:p w14:paraId="5BA71803">
      <w:pPr>
        <w:pStyle w:val="25"/>
        <w:tabs>
          <w:tab w:val="left" w:pos="480"/>
          <w:tab w:val="right" w:leader="dot" w:pos="9016"/>
        </w:tabs>
        <w:rPr>
          <w:rFonts w:eastAsiaTheme="minorEastAsia" w:cstheme="minorBidi"/>
          <w:b w:val="0"/>
          <w:bCs w:val="0"/>
          <w:iCs w:val="0"/>
          <w:color w:val="auto"/>
          <w:sz w:val="22"/>
          <w:szCs w:val="22"/>
          <w:lang w:eastAsia="en-GB"/>
        </w:rPr>
      </w:pPr>
      <w:r>
        <w:rPr>
          <w:b w:val="0"/>
          <w:bCs w:val="0"/>
          <w:i/>
          <w:iCs w:val="0"/>
        </w:rPr>
        <w:fldChar w:fldCharType="begin"/>
      </w:r>
      <w:r>
        <w:rPr>
          <w:b w:val="0"/>
          <w:bCs w:val="0"/>
          <w:i/>
          <w:iCs w:val="0"/>
        </w:rPr>
        <w:instrText xml:space="preserve"> TOC \o "1-4" \h \z \u </w:instrText>
      </w:r>
      <w:r>
        <w:rPr>
          <w:b w:val="0"/>
          <w:bCs w:val="0"/>
          <w:i/>
          <w:iCs w:val="0"/>
        </w:rPr>
        <w:fldChar w:fldCharType="separate"/>
      </w:r>
      <w:r>
        <w:fldChar w:fldCharType="begin"/>
      </w:r>
      <w:r>
        <w:instrText xml:space="preserve"> HYPERLINK \l "_Toc110936163" </w:instrText>
      </w:r>
      <w:r>
        <w:fldChar w:fldCharType="separate"/>
      </w:r>
      <w:r>
        <w:rPr>
          <w:rStyle w:val="19"/>
        </w:rPr>
        <w:t>1</w:t>
      </w:r>
      <w:r>
        <w:rPr>
          <w:rFonts w:eastAsiaTheme="minorEastAsia" w:cstheme="minorBidi"/>
          <w:b w:val="0"/>
          <w:bCs w:val="0"/>
          <w:iCs w:val="0"/>
          <w:color w:val="auto"/>
          <w:sz w:val="22"/>
          <w:szCs w:val="22"/>
          <w:lang w:eastAsia="en-GB"/>
        </w:rPr>
        <w:tab/>
      </w:r>
      <w:r>
        <w:rPr>
          <w:rStyle w:val="19"/>
        </w:rPr>
        <w:t>Introduction</w:t>
      </w:r>
      <w:r>
        <w:tab/>
      </w:r>
      <w:r>
        <w:fldChar w:fldCharType="begin"/>
      </w:r>
      <w:r>
        <w:instrText xml:space="preserve"> PAGEREF _Toc110936163 \h </w:instrText>
      </w:r>
      <w:r>
        <w:fldChar w:fldCharType="separate"/>
      </w:r>
      <w:r>
        <w:t>4</w:t>
      </w:r>
      <w:r>
        <w:fldChar w:fldCharType="end"/>
      </w:r>
      <w:r>
        <w:fldChar w:fldCharType="end"/>
      </w:r>
    </w:p>
    <w:p w14:paraId="34511DCE">
      <w:pPr>
        <w:pStyle w:val="25"/>
        <w:tabs>
          <w:tab w:val="left" w:pos="480"/>
          <w:tab w:val="right" w:leader="dot" w:pos="9016"/>
        </w:tabs>
        <w:rPr>
          <w:rFonts w:eastAsiaTheme="minorEastAsia" w:cstheme="minorBidi"/>
          <w:b w:val="0"/>
          <w:bCs w:val="0"/>
          <w:iCs w:val="0"/>
          <w:color w:val="auto"/>
          <w:sz w:val="22"/>
          <w:szCs w:val="22"/>
          <w:lang w:eastAsia="en-GB"/>
        </w:rPr>
      </w:pPr>
      <w:r>
        <w:fldChar w:fldCharType="begin"/>
      </w:r>
      <w:r>
        <w:instrText xml:space="preserve"> HYPERLINK \l "_Toc110936164" </w:instrText>
      </w:r>
      <w:r>
        <w:fldChar w:fldCharType="separate"/>
      </w:r>
      <w:r>
        <w:rPr>
          <w:rStyle w:val="19"/>
        </w:rPr>
        <w:t>2</w:t>
      </w:r>
      <w:r>
        <w:rPr>
          <w:rFonts w:eastAsiaTheme="minorEastAsia" w:cstheme="minorBidi"/>
          <w:b w:val="0"/>
          <w:bCs w:val="0"/>
          <w:iCs w:val="0"/>
          <w:color w:val="auto"/>
          <w:sz w:val="22"/>
          <w:szCs w:val="22"/>
          <w:lang w:eastAsia="en-GB"/>
        </w:rPr>
        <w:tab/>
      </w:r>
      <w:r>
        <w:rPr>
          <w:rStyle w:val="19"/>
        </w:rPr>
        <w:t>Information security policy</w:t>
      </w:r>
      <w:r>
        <w:tab/>
      </w:r>
      <w:r>
        <w:fldChar w:fldCharType="begin"/>
      </w:r>
      <w:r>
        <w:instrText xml:space="preserve"> PAGEREF _Toc110936164 \h </w:instrText>
      </w:r>
      <w:r>
        <w:fldChar w:fldCharType="separate"/>
      </w:r>
      <w:r>
        <w:t>6</w:t>
      </w:r>
      <w:r>
        <w:fldChar w:fldCharType="end"/>
      </w:r>
      <w:r>
        <w:fldChar w:fldCharType="end"/>
      </w:r>
    </w:p>
    <w:p w14:paraId="26F14533">
      <w:pPr>
        <w:pStyle w:val="26"/>
        <w:tabs>
          <w:tab w:val="left" w:pos="960"/>
          <w:tab w:val="right" w:leader="dot" w:pos="9016"/>
        </w:tabs>
        <w:rPr>
          <w:rFonts w:eastAsiaTheme="minorEastAsia" w:cstheme="minorBidi"/>
          <w:b w:val="0"/>
          <w:bCs w:val="0"/>
          <w:color w:val="auto"/>
          <w:lang w:eastAsia="en-GB"/>
        </w:rPr>
      </w:pPr>
      <w:r>
        <w:fldChar w:fldCharType="begin"/>
      </w:r>
      <w:r>
        <w:instrText xml:space="preserve"> HYPERLINK \l "_Toc110936165" </w:instrText>
      </w:r>
      <w:r>
        <w:fldChar w:fldCharType="separate"/>
      </w:r>
      <w:r>
        <w:rPr>
          <w:rStyle w:val="19"/>
        </w:rPr>
        <w:t>2.1</w:t>
      </w:r>
      <w:r>
        <w:rPr>
          <w:rFonts w:eastAsiaTheme="minorEastAsia" w:cstheme="minorBidi"/>
          <w:b w:val="0"/>
          <w:bCs w:val="0"/>
          <w:color w:val="auto"/>
          <w:lang w:eastAsia="en-GB"/>
        </w:rPr>
        <w:tab/>
      </w:r>
      <w:r>
        <w:rPr>
          <w:rStyle w:val="19"/>
        </w:rPr>
        <w:t>Information security requirements</w:t>
      </w:r>
      <w:r>
        <w:tab/>
      </w:r>
      <w:r>
        <w:fldChar w:fldCharType="begin"/>
      </w:r>
      <w:r>
        <w:instrText xml:space="preserve"> PAGEREF _Toc110936165 \h </w:instrText>
      </w:r>
      <w:r>
        <w:fldChar w:fldCharType="separate"/>
      </w:r>
      <w:r>
        <w:t>6</w:t>
      </w:r>
      <w:r>
        <w:fldChar w:fldCharType="end"/>
      </w:r>
      <w:r>
        <w:fldChar w:fldCharType="end"/>
      </w:r>
    </w:p>
    <w:p w14:paraId="10F87572">
      <w:pPr>
        <w:pStyle w:val="26"/>
        <w:tabs>
          <w:tab w:val="left" w:pos="960"/>
          <w:tab w:val="right" w:leader="dot" w:pos="9016"/>
        </w:tabs>
        <w:rPr>
          <w:rFonts w:eastAsiaTheme="minorEastAsia" w:cstheme="minorBidi"/>
          <w:b w:val="0"/>
          <w:bCs w:val="0"/>
          <w:color w:val="auto"/>
          <w:lang w:eastAsia="en-GB"/>
        </w:rPr>
      </w:pPr>
      <w:r>
        <w:fldChar w:fldCharType="begin"/>
      </w:r>
      <w:r>
        <w:instrText xml:space="preserve"> HYPERLINK \l "_Toc110936166" </w:instrText>
      </w:r>
      <w:r>
        <w:fldChar w:fldCharType="separate"/>
      </w:r>
      <w:r>
        <w:rPr>
          <w:rStyle w:val="19"/>
        </w:rPr>
        <w:t>2.2</w:t>
      </w:r>
      <w:r>
        <w:rPr>
          <w:rFonts w:eastAsiaTheme="minorEastAsia" w:cstheme="minorBidi"/>
          <w:b w:val="0"/>
          <w:bCs w:val="0"/>
          <w:color w:val="auto"/>
          <w:lang w:eastAsia="en-GB"/>
        </w:rPr>
        <w:tab/>
      </w:r>
      <w:r>
        <w:rPr>
          <w:rStyle w:val="19"/>
        </w:rPr>
        <w:t>Framework for setting objectives</w:t>
      </w:r>
      <w:r>
        <w:tab/>
      </w:r>
      <w:r>
        <w:fldChar w:fldCharType="begin"/>
      </w:r>
      <w:r>
        <w:instrText xml:space="preserve"> PAGEREF _Toc110936166 \h </w:instrText>
      </w:r>
      <w:r>
        <w:fldChar w:fldCharType="separate"/>
      </w:r>
      <w:r>
        <w:t>6</w:t>
      </w:r>
      <w:r>
        <w:fldChar w:fldCharType="end"/>
      </w:r>
      <w:r>
        <w:fldChar w:fldCharType="end"/>
      </w:r>
    </w:p>
    <w:p w14:paraId="036361A7">
      <w:pPr>
        <w:pStyle w:val="26"/>
        <w:tabs>
          <w:tab w:val="left" w:pos="960"/>
          <w:tab w:val="right" w:leader="dot" w:pos="9016"/>
        </w:tabs>
        <w:rPr>
          <w:rFonts w:eastAsia="Times New Roman" w:cs="Times New Roman" w:asciiTheme="minorHAnsi" w:hAnsiTheme="minorHAnsi"/>
          <w:color w:val="444444"/>
          <w:sz w:val="24"/>
          <w:szCs w:val="24"/>
          <w:lang w:val="en-GB" w:eastAsia="en-GB" w:bidi="ar-SA"/>
        </w:rPr>
      </w:pPr>
      <w:r>
        <w:fldChar w:fldCharType="begin"/>
      </w:r>
      <w:r>
        <w:instrText xml:space="preserve"> HYPERLINK \l "_Toc110936167" </w:instrText>
      </w:r>
      <w:r>
        <w:fldChar w:fldCharType="separate"/>
      </w:r>
      <w:r>
        <w:rPr>
          <w:rStyle w:val="19"/>
        </w:rPr>
        <w:t>2.3</w:t>
      </w:r>
      <w:r>
        <w:rPr>
          <w:rFonts w:eastAsiaTheme="minorEastAsia" w:cstheme="minorBidi"/>
          <w:b w:val="0"/>
          <w:bCs w:val="0"/>
          <w:color w:val="auto"/>
          <w:lang w:eastAsia="en-GB"/>
        </w:rPr>
        <w:tab/>
      </w:r>
      <w:r>
        <w:rPr>
          <w:rStyle w:val="19"/>
        </w:rPr>
        <w:t>Continual improvement of the ISMS</w:t>
      </w:r>
      <w:r>
        <w:tab/>
      </w:r>
      <w:r>
        <w:fldChar w:fldCharType="begin"/>
      </w:r>
      <w:r>
        <w:instrText xml:space="preserve"> PAGEREF _Toc110936167 \h </w:instrText>
      </w:r>
      <w:r>
        <w:fldChar w:fldCharType="separate"/>
      </w:r>
      <w:r>
        <w:t>7</w:t>
      </w:r>
      <w:r>
        <w:fldChar w:fldCharType="end"/>
      </w:r>
      <w:r>
        <w:fldChar w:fldCharType="end"/>
      </w:r>
    </w:p>
    <w:p w14:paraId="6CCC6582">
      <w:pPr>
        <w:pStyle w:val="26"/>
        <w:tabs>
          <w:tab w:val="left" w:pos="960"/>
          <w:tab w:val="right" w:leader="dot" w:pos="9016"/>
        </w:tabs>
        <w:rPr>
          <w:rFonts w:eastAsiaTheme="minorEastAsia" w:cstheme="minorBidi"/>
          <w:b w:val="0"/>
          <w:bCs w:val="0"/>
          <w:color w:val="auto"/>
          <w:lang w:eastAsia="en-GB"/>
        </w:rPr>
      </w:pPr>
      <w:r>
        <w:fldChar w:fldCharType="begin"/>
      </w:r>
      <w:r>
        <w:instrText xml:space="preserve"> HYPERLINK \l "_Toc110936168" </w:instrText>
      </w:r>
      <w:r>
        <w:fldChar w:fldCharType="separate"/>
      </w:r>
      <w:r>
        <w:rPr>
          <w:rStyle w:val="19"/>
        </w:rPr>
        <w:t>2.4</w:t>
      </w:r>
      <w:r>
        <w:rPr>
          <w:rFonts w:eastAsiaTheme="minorEastAsia" w:cstheme="minorBidi"/>
          <w:b w:val="0"/>
          <w:bCs w:val="0"/>
          <w:color w:val="auto"/>
          <w:lang w:eastAsia="en-GB"/>
        </w:rPr>
        <w:tab/>
      </w:r>
      <w:r>
        <w:rPr>
          <w:rStyle w:val="19"/>
        </w:rPr>
        <w:t>Information security policy areas</w:t>
      </w:r>
      <w:r>
        <w:tab/>
      </w:r>
      <w:r>
        <w:fldChar w:fldCharType="begin"/>
      </w:r>
      <w:r>
        <w:instrText xml:space="preserve"> PAGEREF _Toc110936168 \h </w:instrText>
      </w:r>
      <w:r>
        <w:fldChar w:fldCharType="separate"/>
      </w:r>
      <w:r>
        <w:t>7</w:t>
      </w:r>
      <w:r>
        <w:fldChar w:fldCharType="end"/>
      </w:r>
      <w:r>
        <w:fldChar w:fldCharType="end"/>
      </w:r>
    </w:p>
    <w:p w14:paraId="785F1247">
      <w:pPr>
        <w:pStyle w:val="26"/>
        <w:tabs>
          <w:tab w:val="left" w:pos="960"/>
          <w:tab w:val="right" w:leader="dot" w:pos="9016"/>
        </w:tabs>
        <w:rPr>
          <w:rFonts w:eastAsiaTheme="minorEastAsia" w:cstheme="minorBidi"/>
          <w:b w:val="0"/>
          <w:bCs w:val="0"/>
          <w:color w:val="auto"/>
          <w:lang w:eastAsia="en-GB"/>
        </w:rPr>
      </w:pPr>
      <w:r>
        <w:fldChar w:fldCharType="begin"/>
      </w:r>
      <w:r>
        <w:instrText xml:space="preserve"> HYPERLINK \l "_Toc110936169" </w:instrText>
      </w:r>
      <w:r>
        <w:fldChar w:fldCharType="separate"/>
      </w:r>
      <w:r>
        <w:rPr>
          <w:rStyle w:val="19"/>
        </w:rPr>
        <w:t>2.5</w:t>
      </w:r>
      <w:r>
        <w:rPr>
          <w:rFonts w:eastAsiaTheme="minorEastAsia" w:cstheme="minorBidi"/>
          <w:b w:val="0"/>
          <w:bCs w:val="0"/>
          <w:color w:val="auto"/>
          <w:lang w:eastAsia="en-GB"/>
        </w:rPr>
        <w:tab/>
      </w:r>
      <w:r>
        <w:rPr>
          <w:rStyle w:val="19"/>
        </w:rPr>
        <w:t>Application of information security policy</w:t>
      </w:r>
      <w:r>
        <w:tab/>
      </w:r>
      <w:r>
        <w:fldChar w:fldCharType="begin"/>
      </w:r>
      <w:r>
        <w:instrText xml:space="preserve"> PAGEREF _Toc110936169 \h </w:instrText>
      </w:r>
      <w:r>
        <w:fldChar w:fldCharType="separate"/>
      </w:r>
      <w:r>
        <w:t>10</w:t>
      </w:r>
      <w:r>
        <w:fldChar w:fldCharType="end"/>
      </w:r>
      <w:r>
        <w:fldChar w:fldCharType="end"/>
      </w:r>
    </w:p>
    <w:p w14:paraId="06FD0725">
      <w:r>
        <w:fldChar w:fldCharType="end"/>
      </w:r>
    </w:p>
    <w:p w14:paraId="5B1CDBD4">
      <w:pPr>
        <w:pStyle w:val="69"/>
        <w:outlineLvl w:val="0"/>
        <w:rPr>
          <w:color w:val="00B050"/>
        </w:rPr>
      </w:pPr>
      <w:bookmarkStart w:id="2" w:name="_Toc7594"/>
      <w:r>
        <w:rPr>
          <w:color w:val="00B050"/>
        </w:rPr>
        <w:t>Tables</w:t>
      </w:r>
      <w:bookmarkEnd w:id="2"/>
    </w:p>
    <w:p w14:paraId="2B6E1CBE">
      <w:pPr>
        <w:pStyle w:val="23"/>
        <w:tabs>
          <w:tab w:val="right" w:leader="dot" w:pos="9026"/>
        </w:tabs>
      </w:pPr>
      <w:r>
        <w:fldChar w:fldCharType="begin"/>
      </w:r>
      <w:r>
        <w:instrText xml:space="preserve">TOC \h \c "Table"</w:instrText>
      </w:r>
      <w:r>
        <w:fldChar w:fldCharType="separate"/>
      </w:r>
      <w:r>
        <w:fldChar w:fldCharType="begin"/>
      </w:r>
      <w:r>
        <w:instrText xml:space="preserve"> HYPERLINK \l _Toc15431 </w:instrText>
      </w:r>
      <w:r>
        <w:fldChar w:fldCharType="separate"/>
      </w:r>
      <w:r>
        <w:t xml:space="preserve"> Table 1 : Set of policy documents</w:t>
      </w:r>
      <w:r>
        <w:tab/>
      </w:r>
      <w:r>
        <w:fldChar w:fldCharType="begin"/>
      </w:r>
      <w:r>
        <w:instrText xml:space="preserve"> PAGEREF _Toc15431 \h </w:instrText>
      </w:r>
      <w:r>
        <w:fldChar w:fldCharType="separate"/>
      </w:r>
      <w:r>
        <w:t>10</w:t>
      </w:r>
      <w:r>
        <w:fldChar w:fldCharType="end"/>
      </w:r>
      <w:r>
        <w:fldChar w:fldCharType="end"/>
      </w:r>
    </w:p>
    <w:p w14:paraId="33B7CC55">
      <w:r>
        <w:fldChar w:fldCharType="end"/>
      </w:r>
    </w:p>
    <w:p w14:paraId="1D4009A9">
      <w:r>
        <w:br w:type="page"/>
      </w:r>
    </w:p>
    <w:p w14:paraId="08E3083F">
      <w:pPr>
        <w:pStyle w:val="69"/>
        <w:outlineLvl w:val="0"/>
        <w:rPr>
          <w:rFonts w:eastAsia="Times New Roman" w:cs="Times New Roman" w:asciiTheme="minorHAnsi" w:hAnsiTheme="minorHAnsi"/>
          <w:color w:val="00B050"/>
          <w:sz w:val="32"/>
          <w:szCs w:val="24"/>
          <w:lang w:val="en-GB" w:eastAsia="en-US" w:bidi="ar-SA"/>
        </w:rPr>
      </w:pPr>
      <w:bookmarkStart w:id="3" w:name="_Toc31925"/>
      <w:bookmarkStart w:id="4" w:name="_Toc110936163"/>
    </w:p>
    <w:p w14:paraId="78889312">
      <w:pPr>
        <w:pStyle w:val="2"/>
        <w:rPr>
          <w:color w:val="00B050"/>
        </w:rPr>
      </w:pPr>
      <w:r>
        <w:rPr>
          <w:color w:val="00B050"/>
        </w:rPr>
        <w:t>Introduction</w:t>
      </w:r>
      <w:bookmarkEnd w:id="3"/>
      <w:bookmarkEnd w:id="4"/>
    </w:p>
    <w:p w14:paraId="687E862E">
      <w:r>
        <w:t xml:space="preserve">This document defines the information security policy of </w:t>
      </w:r>
      <w:r>
        <w:rPr>
          <w:rFonts w:hint="default"/>
          <w:lang w:val="en-US"/>
        </w:rPr>
        <w:t>Alpha Tech</w:t>
      </w:r>
      <w:r>
        <w:t xml:space="preserve">. </w:t>
      </w:r>
    </w:p>
    <w:p w14:paraId="5150A628">
      <w:r>
        <w:t xml:space="preserve">As a modern, forward-looking business, </w:t>
      </w:r>
      <w:r>
        <w:rPr>
          <w:rFonts w:hint="default"/>
          <w:lang w:val="en-US"/>
        </w:rPr>
        <w:t>Alpha Tech</w:t>
      </w:r>
      <w:r>
        <w:t xml:space="preserve"> recognises at senior levels the need to ensure that its business operates smoothly and without interruption for the benefit of its customers, shareholders and other stakeholders.</w:t>
      </w:r>
    </w:p>
    <w:p w14:paraId="7AC13239">
      <w:r>
        <w:t xml:space="preserve">In order to provide such a level of continuous operation, </w:t>
      </w:r>
      <w:r>
        <w:rPr>
          <w:rFonts w:hint="default"/>
          <w:lang w:val="en-US"/>
        </w:rPr>
        <w:t>Alpha Tech</w:t>
      </w:r>
      <w:r>
        <w:t xml:space="preserve"> has implemented an Information Security Management System (ISMS) in line with the International Standard for Information Security, ISO/IEC 27001. This standard defines the requirements for an ISMS based on internationally recognised best practice.</w:t>
      </w:r>
    </w:p>
    <w:p w14:paraId="74785337">
      <w:r>
        <w:t>The operation of the ISMS has many benefits for the business, including:</w:t>
      </w:r>
    </w:p>
    <w:p w14:paraId="6C301DC6">
      <w:pPr>
        <w:pStyle w:val="37"/>
        <w:ind w:left="1080" w:leftChars="0" w:firstLineChars="0"/>
        <w:rPr>
          <w:highlight w:val="none"/>
        </w:rPr>
      </w:pPr>
      <w:r>
        <w:rPr>
          <w:highlight w:val="none"/>
        </w:rPr>
        <w:t>Protection of revenue streams and company profitability</w:t>
      </w:r>
      <w:r>
        <w:rPr>
          <w:rFonts w:hint="default"/>
          <w:highlight w:val="none"/>
          <w:lang w:val="en-US"/>
        </w:rPr>
        <w:t>.</w:t>
      </w:r>
    </w:p>
    <w:p w14:paraId="5F8AA708">
      <w:pPr>
        <w:pStyle w:val="37"/>
        <w:ind w:left="1080" w:leftChars="0" w:firstLineChars="0"/>
        <w:rPr>
          <w:highlight w:val="none"/>
        </w:rPr>
      </w:pPr>
      <w:r>
        <w:rPr>
          <w:highlight w:val="none"/>
        </w:rPr>
        <w:t xml:space="preserve">Ensuring the </w:t>
      </w:r>
      <w:r>
        <w:rPr>
          <w:rFonts w:hint="default"/>
          <w:highlight w:val="none"/>
          <w:lang w:val="en-US"/>
        </w:rPr>
        <w:t>continuous delivery of healthcare IT solutions and support services to clients.</w:t>
      </w:r>
    </w:p>
    <w:p w14:paraId="6EA5CE0D">
      <w:pPr>
        <w:pStyle w:val="37"/>
        <w:ind w:left="1080" w:leftChars="0" w:firstLineChars="0"/>
        <w:rPr>
          <w:highlight w:val="none"/>
        </w:rPr>
      </w:pPr>
      <w:r>
        <w:rPr>
          <w:highlight w:val="none"/>
        </w:rPr>
        <w:t>Maintenance and enhancement of shareholder value</w:t>
      </w:r>
      <w:r>
        <w:rPr>
          <w:rFonts w:hint="default"/>
          <w:highlight w:val="none"/>
          <w:lang w:val="en-US"/>
        </w:rPr>
        <w:t>.</w:t>
      </w:r>
    </w:p>
    <w:p w14:paraId="39C352D3">
      <w:pPr>
        <w:pStyle w:val="37"/>
        <w:ind w:left="1080" w:leftChars="0" w:firstLineChars="0"/>
        <w:rPr>
          <w:highlight w:val="none"/>
        </w:rPr>
      </w:pPr>
      <w:r>
        <w:rPr>
          <w:highlight w:val="none"/>
        </w:rPr>
        <w:t>Compliance with legal and regulatory requirement</w:t>
      </w:r>
      <w:r>
        <w:rPr>
          <w:rFonts w:hint="default"/>
          <w:highlight w:val="none"/>
          <w:lang w:val="en-US"/>
        </w:rPr>
        <w:t>s.</w:t>
      </w:r>
    </w:p>
    <w:p w14:paraId="4C1FD9EF">
      <w:r>
        <w:rPr>
          <w:rFonts w:hint="default"/>
          <w:lang w:val="en-US"/>
        </w:rPr>
        <w:t>Alpha Tech</w:t>
      </w:r>
      <w:r>
        <w:t xml:space="preserve"> has decided to maintain full certification to ISO/IEC 27001 in order that the effective adoption of information security best practice may be validated by an independent third party, a Registered Certification Body (RCB). </w:t>
      </w:r>
    </w:p>
    <w:p w14:paraId="63F0324F">
      <w:r>
        <w:t xml:space="preserve">This policy applies to all systems, people and processes that constitute the organization’s information systems, including board members, directors, employees, suppliers and other third parties who have access to </w:t>
      </w:r>
      <w:r>
        <w:rPr>
          <w:rFonts w:hint="default"/>
          <w:lang w:val="en-US"/>
        </w:rPr>
        <w:t>Alpha Tech</w:t>
      </w:r>
      <w:r>
        <w:t xml:space="preserve"> systems. </w:t>
      </w:r>
    </w:p>
    <w:p w14:paraId="38F123D7">
      <w:r>
        <w:t>The following supporting documents are relevant to this information security policy and provide additional information about how it is applied:</w:t>
      </w:r>
    </w:p>
    <w:p w14:paraId="28163452">
      <w:pPr>
        <w:pStyle w:val="37"/>
        <w:ind w:left="1080" w:leftChars="0" w:firstLineChars="0"/>
        <w:rPr>
          <w:i/>
          <w:iCs/>
        </w:rPr>
      </w:pPr>
      <w:r>
        <w:rPr>
          <w:i/>
          <w:iCs/>
        </w:rPr>
        <w:t>Risk Assessment and Treatment Process</w:t>
      </w:r>
    </w:p>
    <w:p w14:paraId="755D18B1">
      <w:pPr>
        <w:pStyle w:val="37"/>
        <w:ind w:left="1080" w:leftChars="0" w:firstLineChars="0"/>
        <w:rPr>
          <w:i/>
          <w:iCs/>
        </w:rPr>
      </w:pPr>
      <w:r>
        <w:rPr>
          <w:i/>
          <w:iCs/>
        </w:rPr>
        <w:t>Statement of Applicability</w:t>
      </w:r>
    </w:p>
    <w:p w14:paraId="438C05A5">
      <w:pPr>
        <w:pStyle w:val="37"/>
        <w:ind w:left="1080" w:leftChars="0" w:firstLineChars="0"/>
        <w:rPr>
          <w:i/>
          <w:iCs/>
        </w:rPr>
      </w:pPr>
      <w:r>
        <w:rPr>
          <w:i/>
          <w:iCs/>
        </w:rPr>
        <w:t>Supplier Information Security Evaluation Process</w:t>
      </w:r>
    </w:p>
    <w:p w14:paraId="653992B5">
      <w:pPr>
        <w:pStyle w:val="37"/>
        <w:ind w:left="1080" w:leftChars="0" w:firstLineChars="0"/>
        <w:rPr>
          <w:i/>
          <w:iCs/>
        </w:rPr>
      </w:pPr>
      <w:r>
        <w:rPr>
          <w:i/>
          <w:iCs/>
        </w:rPr>
        <w:t>Internet Access Policy</w:t>
      </w:r>
    </w:p>
    <w:p w14:paraId="67BDA022">
      <w:pPr>
        <w:pStyle w:val="37"/>
        <w:ind w:left="1080" w:leftChars="0" w:firstLineChars="0"/>
        <w:rPr>
          <w:i/>
          <w:iCs/>
        </w:rPr>
      </w:pPr>
      <w:r>
        <w:rPr>
          <w:i/>
          <w:iCs/>
        </w:rPr>
        <w:t>Cloud Services Policy</w:t>
      </w:r>
    </w:p>
    <w:p w14:paraId="2E5E7A4A">
      <w:pPr>
        <w:pStyle w:val="37"/>
        <w:ind w:left="1080" w:leftChars="0" w:firstLineChars="0"/>
        <w:rPr>
          <w:i/>
          <w:iCs/>
        </w:rPr>
      </w:pPr>
      <w:r>
        <w:rPr>
          <w:i/>
          <w:iCs/>
        </w:rPr>
        <w:t>Mobile Device Policy</w:t>
      </w:r>
    </w:p>
    <w:p w14:paraId="620549DA">
      <w:pPr>
        <w:pStyle w:val="37"/>
        <w:ind w:left="1080" w:leftChars="0" w:firstLineChars="0"/>
        <w:rPr>
          <w:i/>
          <w:iCs/>
        </w:rPr>
      </w:pPr>
      <w:r>
        <w:rPr>
          <w:i/>
          <w:iCs/>
        </w:rPr>
        <w:t>BYOD Policy</w:t>
      </w:r>
    </w:p>
    <w:p w14:paraId="25DAEBFC">
      <w:pPr>
        <w:pStyle w:val="37"/>
        <w:ind w:left="1080" w:leftChars="0" w:firstLineChars="0"/>
        <w:rPr>
          <w:i/>
          <w:iCs/>
        </w:rPr>
      </w:pPr>
      <w:r>
        <w:rPr>
          <w:i/>
          <w:iCs/>
        </w:rPr>
        <w:t>Remote Working Policy</w:t>
      </w:r>
    </w:p>
    <w:p w14:paraId="6629E6DE">
      <w:pPr>
        <w:pStyle w:val="37"/>
        <w:ind w:left="1080" w:leftChars="0" w:firstLineChars="0"/>
        <w:rPr>
          <w:i/>
          <w:iCs/>
        </w:rPr>
      </w:pPr>
      <w:r>
        <w:rPr>
          <w:i/>
          <w:iCs/>
        </w:rPr>
        <w:t>Access Control Policy</w:t>
      </w:r>
    </w:p>
    <w:p w14:paraId="0262DFB0">
      <w:pPr>
        <w:pStyle w:val="37"/>
        <w:ind w:left="1080" w:leftChars="0" w:firstLineChars="0"/>
        <w:rPr>
          <w:i/>
          <w:iCs/>
        </w:rPr>
      </w:pPr>
      <w:r>
        <w:rPr>
          <w:i/>
          <w:iCs/>
        </w:rPr>
        <w:t>Dynamic Access Control Policy</w:t>
      </w:r>
    </w:p>
    <w:p w14:paraId="643CF1FA">
      <w:pPr>
        <w:pStyle w:val="37"/>
        <w:ind w:left="1080" w:leftChars="0" w:firstLineChars="0"/>
        <w:rPr>
          <w:i/>
          <w:iCs/>
        </w:rPr>
      </w:pPr>
      <w:r>
        <w:rPr>
          <w:i/>
          <w:iCs/>
        </w:rPr>
        <w:t>User Access Management Process</w:t>
      </w:r>
    </w:p>
    <w:p w14:paraId="10703362">
      <w:pPr>
        <w:pStyle w:val="37"/>
        <w:ind w:left="1080" w:leftChars="0" w:firstLineChars="0"/>
        <w:rPr>
          <w:i/>
          <w:iCs/>
        </w:rPr>
      </w:pPr>
      <w:r>
        <w:rPr>
          <w:i/>
          <w:iCs/>
        </w:rPr>
        <w:t>Cryptographic Policy</w:t>
      </w:r>
    </w:p>
    <w:p w14:paraId="0B987B38">
      <w:pPr>
        <w:pStyle w:val="37"/>
        <w:ind w:left="1080" w:leftChars="0" w:firstLineChars="0"/>
        <w:rPr>
          <w:i/>
          <w:iCs/>
        </w:rPr>
      </w:pPr>
      <w:r>
        <w:rPr>
          <w:i/>
          <w:iCs/>
        </w:rPr>
        <w:t>Physical Security Policy</w:t>
      </w:r>
    </w:p>
    <w:p w14:paraId="6CD96CB6">
      <w:pPr>
        <w:pStyle w:val="37"/>
        <w:ind w:left="1080" w:leftChars="0" w:firstLineChars="0"/>
        <w:rPr>
          <w:i/>
          <w:iCs/>
        </w:rPr>
      </w:pPr>
      <w:r>
        <w:rPr>
          <w:i/>
          <w:iCs/>
        </w:rPr>
        <w:t>Anti-Malware Policy</w:t>
      </w:r>
    </w:p>
    <w:p w14:paraId="11DBBEFC">
      <w:pPr>
        <w:pStyle w:val="37"/>
        <w:ind w:left="1080" w:leftChars="0" w:firstLineChars="0"/>
        <w:rPr>
          <w:i/>
          <w:iCs/>
        </w:rPr>
      </w:pPr>
      <w:r>
        <w:rPr>
          <w:i/>
          <w:iCs/>
        </w:rPr>
        <w:t>Backup Policy</w:t>
      </w:r>
    </w:p>
    <w:p w14:paraId="4EE69E28">
      <w:pPr>
        <w:pStyle w:val="37"/>
        <w:ind w:left="1080" w:leftChars="0" w:firstLineChars="0"/>
        <w:rPr>
          <w:i/>
          <w:iCs/>
        </w:rPr>
      </w:pPr>
      <w:r>
        <w:rPr>
          <w:i/>
          <w:iCs/>
        </w:rPr>
        <w:t>Logging and Monitoring Policy</w:t>
      </w:r>
    </w:p>
    <w:p w14:paraId="63CDE8F2">
      <w:pPr>
        <w:pStyle w:val="37"/>
        <w:ind w:left="1080" w:leftChars="0" w:firstLineChars="0"/>
        <w:rPr>
          <w:i/>
          <w:iCs/>
        </w:rPr>
      </w:pPr>
      <w:r>
        <w:rPr>
          <w:i/>
          <w:iCs/>
        </w:rPr>
        <w:t>Software Policy</w:t>
      </w:r>
    </w:p>
    <w:p w14:paraId="481995B6">
      <w:pPr>
        <w:pStyle w:val="37"/>
        <w:ind w:left="1080" w:leftChars="0" w:firstLineChars="0"/>
        <w:rPr>
          <w:i/>
          <w:iCs/>
        </w:rPr>
      </w:pPr>
      <w:r>
        <w:rPr>
          <w:i/>
          <w:iCs/>
        </w:rPr>
        <w:t>Technical Vulnerability Management Policy</w:t>
      </w:r>
    </w:p>
    <w:p w14:paraId="4DD6D517">
      <w:pPr>
        <w:pStyle w:val="37"/>
        <w:ind w:left="1080" w:leftChars="0" w:firstLineChars="0"/>
        <w:rPr>
          <w:i/>
          <w:iCs/>
        </w:rPr>
      </w:pPr>
      <w:r>
        <w:rPr>
          <w:i/>
          <w:iCs/>
        </w:rPr>
        <w:t>Network Security Policy</w:t>
      </w:r>
    </w:p>
    <w:p w14:paraId="45B9BA15">
      <w:pPr>
        <w:pStyle w:val="37"/>
        <w:ind w:left="1080" w:leftChars="0" w:firstLineChars="0"/>
        <w:rPr>
          <w:i/>
          <w:iCs/>
        </w:rPr>
      </w:pPr>
      <w:r>
        <w:rPr>
          <w:i/>
          <w:iCs/>
        </w:rPr>
        <w:t>Electronic Messaging Policy</w:t>
      </w:r>
    </w:p>
    <w:p w14:paraId="6DF466CA">
      <w:pPr>
        <w:pStyle w:val="37"/>
        <w:ind w:left="1080" w:leftChars="0" w:firstLineChars="0"/>
        <w:rPr>
          <w:i/>
          <w:iCs/>
        </w:rPr>
      </w:pPr>
      <w:r>
        <w:rPr>
          <w:i/>
          <w:iCs/>
        </w:rPr>
        <w:t>Online Collaboration Policy</w:t>
      </w:r>
    </w:p>
    <w:p w14:paraId="01249299">
      <w:pPr>
        <w:pStyle w:val="37"/>
        <w:ind w:left="1080" w:leftChars="0" w:firstLineChars="0"/>
        <w:rPr>
          <w:i/>
          <w:iCs/>
        </w:rPr>
      </w:pPr>
      <w:r>
        <w:rPr>
          <w:i/>
          <w:iCs/>
        </w:rPr>
        <w:t>Secure Development Policy</w:t>
      </w:r>
    </w:p>
    <w:p w14:paraId="73189853">
      <w:pPr>
        <w:pStyle w:val="37"/>
        <w:ind w:left="1080" w:leftChars="0" w:firstLineChars="0"/>
        <w:rPr>
          <w:i/>
          <w:iCs/>
        </w:rPr>
      </w:pPr>
      <w:r>
        <w:rPr>
          <w:i/>
          <w:iCs/>
        </w:rPr>
        <w:t>Information Security Policy for Supplier Relationships</w:t>
      </w:r>
    </w:p>
    <w:p w14:paraId="24EA9187">
      <w:pPr>
        <w:pStyle w:val="37"/>
        <w:ind w:left="1080" w:leftChars="0" w:firstLineChars="0"/>
        <w:rPr>
          <w:i/>
          <w:iCs/>
        </w:rPr>
      </w:pPr>
      <w:r>
        <w:rPr>
          <w:i/>
          <w:iCs/>
        </w:rPr>
        <w:t>Availability Management Policy</w:t>
      </w:r>
    </w:p>
    <w:p w14:paraId="55DDA449">
      <w:pPr>
        <w:pStyle w:val="37"/>
        <w:ind w:left="1080" w:leftChars="0" w:firstLineChars="0"/>
        <w:rPr>
          <w:i/>
          <w:iCs/>
        </w:rPr>
      </w:pPr>
      <w:r>
        <w:rPr>
          <w:i/>
          <w:iCs/>
        </w:rPr>
        <w:t>Records Retention and Protection Policy</w:t>
      </w:r>
    </w:p>
    <w:p w14:paraId="32F45FDC">
      <w:pPr>
        <w:pStyle w:val="37"/>
        <w:ind w:left="1080" w:leftChars="0" w:firstLineChars="0"/>
        <w:rPr>
          <w:i/>
          <w:iCs/>
        </w:rPr>
      </w:pPr>
      <w:r>
        <w:rPr>
          <w:i/>
          <w:iCs/>
        </w:rPr>
        <w:t>Privacy and Personal Data Protection Policy</w:t>
      </w:r>
    </w:p>
    <w:p w14:paraId="16753775">
      <w:pPr>
        <w:pStyle w:val="37"/>
        <w:ind w:left="1080" w:leftChars="0" w:firstLineChars="0"/>
        <w:rPr>
          <w:i/>
          <w:iCs/>
        </w:rPr>
      </w:pPr>
      <w:r>
        <w:rPr>
          <w:i/>
          <w:iCs/>
        </w:rPr>
        <w:t>Clear Desk and Clear Screen Policy</w:t>
      </w:r>
    </w:p>
    <w:p w14:paraId="07DB7B20">
      <w:pPr>
        <w:pStyle w:val="37"/>
        <w:ind w:left="1080" w:leftChars="0" w:firstLineChars="0"/>
        <w:rPr>
          <w:i/>
          <w:iCs/>
        </w:rPr>
      </w:pPr>
      <w:r>
        <w:rPr>
          <w:i/>
          <w:iCs/>
        </w:rPr>
        <w:t>HR Security Policy</w:t>
      </w:r>
    </w:p>
    <w:p w14:paraId="727F4D62">
      <w:pPr>
        <w:pStyle w:val="37"/>
        <w:ind w:left="1080" w:leftChars="0" w:firstLineChars="0"/>
        <w:rPr>
          <w:i/>
          <w:iCs/>
        </w:rPr>
      </w:pPr>
      <w:r>
        <w:rPr>
          <w:i/>
          <w:iCs/>
        </w:rPr>
        <w:t>Threat Intelligence Policy</w:t>
      </w:r>
    </w:p>
    <w:p w14:paraId="284BBCA1">
      <w:pPr>
        <w:pStyle w:val="37"/>
        <w:ind w:left="1080" w:leftChars="0" w:firstLineChars="0"/>
        <w:rPr>
          <w:i/>
          <w:iCs/>
        </w:rPr>
      </w:pPr>
      <w:r>
        <w:rPr>
          <w:i/>
          <w:iCs/>
        </w:rPr>
        <w:t>Asset Management Policy</w:t>
      </w:r>
    </w:p>
    <w:p w14:paraId="6CBBC410">
      <w:pPr>
        <w:pStyle w:val="37"/>
        <w:ind w:left="1080" w:leftChars="0" w:firstLineChars="0"/>
        <w:rPr>
          <w:i/>
          <w:iCs/>
        </w:rPr>
      </w:pPr>
      <w:r>
        <w:rPr>
          <w:i/>
          <w:iCs/>
        </w:rPr>
        <w:t>Acceptable Use Policy</w:t>
      </w:r>
      <w:bookmarkStart w:id="5" w:name="_Hlk109914868"/>
    </w:p>
    <w:p w14:paraId="6510375B">
      <w:pPr>
        <w:pStyle w:val="37"/>
        <w:ind w:left="1080" w:leftChars="0" w:firstLineChars="0"/>
        <w:rPr>
          <w:i/>
          <w:iCs/>
        </w:rPr>
      </w:pPr>
      <w:r>
        <w:rPr>
          <w:i/>
          <w:iCs/>
        </w:rPr>
        <w:t>Configuration Management Policy</w:t>
      </w:r>
    </w:p>
    <w:p w14:paraId="4EB8F670">
      <w:pPr>
        <w:pStyle w:val="37"/>
        <w:ind w:left="1080" w:leftChars="0" w:firstLineChars="0"/>
        <w:rPr>
          <w:i/>
          <w:iCs/>
        </w:rPr>
      </w:pPr>
      <w:r>
        <w:rPr>
          <w:i/>
          <w:iCs/>
        </w:rPr>
        <w:t>Information Deletion Policy</w:t>
      </w:r>
    </w:p>
    <w:p w14:paraId="2421368F">
      <w:pPr>
        <w:pStyle w:val="37"/>
        <w:ind w:left="1080" w:leftChars="0" w:firstLineChars="0"/>
        <w:rPr>
          <w:i/>
          <w:iCs/>
        </w:rPr>
      </w:pPr>
      <w:r>
        <w:rPr>
          <w:i/>
          <w:iCs/>
        </w:rPr>
        <w:t>Data Masking Policy</w:t>
      </w:r>
    </w:p>
    <w:p w14:paraId="4AC0ABDB">
      <w:pPr>
        <w:pStyle w:val="37"/>
        <w:ind w:left="1080" w:leftChars="0" w:firstLineChars="0"/>
        <w:rPr>
          <w:i/>
          <w:iCs/>
        </w:rPr>
      </w:pPr>
      <w:r>
        <w:rPr>
          <w:i/>
          <w:iCs/>
        </w:rPr>
        <w:t>Data Leakage Prevention Policy</w:t>
      </w:r>
    </w:p>
    <w:p w14:paraId="1F206826">
      <w:pPr>
        <w:pStyle w:val="37"/>
        <w:ind w:left="1080" w:leftChars="0" w:firstLineChars="0"/>
        <w:rPr>
          <w:i/>
          <w:iCs/>
        </w:rPr>
      </w:pPr>
      <w:r>
        <w:rPr>
          <w:i/>
          <w:iCs/>
        </w:rPr>
        <w:t>Monitoring Policy</w:t>
      </w:r>
    </w:p>
    <w:p w14:paraId="7A29A40F">
      <w:pPr>
        <w:pStyle w:val="37"/>
        <w:ind w:left="1080" w:leftChars="0" w:firstLineChars="0"/>
        <w:rPr>
          <w:i/>
          <w:iCs/>
        </w:rPr>
      </w:pPr>
      <w:r>
        <w:rPr>
          <w:i/>
          <w:iCs/>
        </w:rPr>
        <w:t>Web Filtering Policy</w:t>
      </w:r>
    </w:p>
    <w:p w14:paraId="74FA312D">
      <w:pPr>
        <w:pStyle w:val="37"/>
        <w:ind w:left="1080" w:leftChars="0" w:firstLineChars="0"/>
        <w:rPr>
          <w:i/>
          <w:iCs/>
        </w:rPr>
      </w:pPr>
      <w:r>
        <w:rPr>
          <w:i/>
          <w:iCs/>
        </w:rPr>
        <w:t>Secure Coding Policy</w:t>
      </w:r>
    </w:p>
    <w:p w14:paraId="2F8E0846">
      <w:pPr>
        <w:pStyle w:val="37"/>
        <w:ind w:left="1080" w:leftChars="0" w:firstLineChars="0"/>
        <w:rPr>
          <w:i/>
          <w:iCs/>
        </w:rPr>
      </w:pPr>
      <w:r>
        <w:rPr>
          <w:i/>
          <w:iCs/>
        </w:rPr>
        <w:t>Information Security Whistleblowing Policy</w:t>
      </w:r>
    </w:p>
    <w:bookmarkEnd w:id="5"/>
    <w:p w14:paraId="29DD2F30">
      <w:r>
        <w:t xml:space="preserve">Details of the latest version number of each of these documents is available from the ISMS Documentation Log. </w:t>
      </w:r>
    </w:p>
    <w:p w14:paraId="400A3591">
      <w:pPr>
        <w:spacing w:before="0" w:after="160" w:line="259" w:lineRule="auto"/>
      </w:pPr>
      <w:r>
        <w:br w:type="page"/>
      </w:r>
    </w:p>
    <w:p w14:paraId="301E8E93">
      <w:pPr>
        <w:pStyle w:val="2"/>
        <w:rPr>
          <w:color w:val="00B050"/>
        </w:rPr>
      </w:pPr>
      <w:bookmarkStart w:id="6" w:name="_Toc9179"/>
      <w:bookmarkStart w:id="7" w:name="_Toc110936164"/>
      <w:r>
        <w:rPr>
          <w:color w:val="00B050"/>
        </w:rPr>
        <w:t>Information security policy</w:t>
      </w:r>
      <w:bookmarkEnd w:id="6"/>
      <w:bookmarkEnd w:id="7"/>
    </w:p>
    <w:p w14:paraId="3F2EFBFF">
      <w:pPr>
        <w:pStyle w:val="3"/>
        <w:ind w:left="816" w:leftChars="0" w:firstLineChars="0"/>
        <w:rPr>
          <w:color w:val="00B050"/>
        </w:rPr>
      </w:pPr>
      <w:bookmarkStart w:id="8" w:name="_Toc110936165"/>
      <w:r>
        <w:rPr>
          <w:color w:val="00B050"/>
        </w:rPr>
        <w:t>Information security requirements</w:t>
      </w:r>
      <w:bookmarkEnd w:id="8"/>
    </w:p>
    <w:p w14:paraId="20F6203A">
      <w:r>
        <w:t xml:space="preserve">A clear definition of the requirements for information security within </w:t>
      </w:r>
      <w:r>
        <w:rPr>
          <w:rFonts w:hint="default"/>
          <w:lang w:val="en-US"/>
        </w:rPr>
        <w:t xml:space="preserve">Alpha Tech </w:t>
      </w:r>
      <w:r>
        <w:t>will be agreed and maintained with the internal business so that all ISMS activity is focussed on the fulfilment of those requirements. Statutory, regulatory and contractual requirements will also be documented and input to the planning process. Specific requirements about the security of new or changed systems or services will be captured as part of the design stage of each project.</w:t>
      </w:r>
    </w:p>
    <w:p w14:paraId="1D3F1E66">
      <w:r>
        <w:t xml:space="preserve">It is a fundamental principle of the </w:t>
      </w:r>
      <w:r>
        <w:rPr>
          <w:rFonts w:hint="default"/>
          <w:lang w:val="en-US"/>
        </w:rPr>
        <w:t>Alpha Tech</w:t>
      </w:r>
      <w:r>
        <w:t xml:space="preserve"> Information Security Management System that the controls implemented are driven by business needs and this will be regularly communicated to all staff through team meetings and briefing documents. </w:t>
      </w:r>
    </w:p>
    <w:p w14:paraId="197DF3EB">
      <w:pPr>
        <w:rPr>
          <w:color w:val="00B050"/>
        </w:rPr>
      </w:pPr>
    </w:p>
    <w:p w14:paraId="6531C849">
      <w:pPr>
        <w:pStyle w:val="3"/>
        <w:ind w:left="816" w:leftChars="0" w:firstLineChars="0"/>
        <w:rPr>
          <w:color w:val="00B050"/>
        </w:rPr>
      </w:pPr>
      <w:bookmarkStart w:id="9" w:name="_Toc110936166"/>
      <w:r>
        <w:rPr>
          <w:color w:val="00B050"/>
        </w:rPr>
        <w:t>Framework for setting objectives</w:t>
      </w:r>
      <w:bookmarkEnd w:id="9"/>
    </w:p>
    <w:p w14:paraId="6D022555">
      <w:r>
        <w:t>A regular cycle will be used for the setting of objectives for information security, to coincide with the budget planning cycle. This will ensure that adequate funding is obtained for the improvement activities identified. These objectives will be based upon a clear understanding of the business requirements, informed by the management review process during which the views of relevant interested parties may be obtained.</w:t>
      </w:r>
    </w:p>
    <w:p w14:paraId="0CA2CB84">
      <w:r>
        <w:t>Information security objectives will be documented for an agreed time period, together with details of how they will be achieved. These will be evaluated and monitored as part of management reviews to ensure that they remain valid. If amendments are required, these will be managed through the change management process.</w:t>
      </w:r>
    </w:p>
    <w:p w14:paraId="575E10D5">
      <w:r>
        <w:t xml:space="preserve">In accordance with ISO/IEC 27001 the reference controls detailed in Annex A of the standard will be adopted where appropriate by </w:t>
      </w:r>
      <w:r>
        <w:rPr>
          <w:rFonts w:hint="default"/>
          <w:lang w:val="en-US"/>
        </w:rPr>
        <w:t>Alpha Tech</w:t>
      </w:r>
      <w:r>
        <w:t xml:space="preserve">. These will be reviewed on a regular basis in the light of the outcome from risk assessments and in line with information security risk treatment plans. For details of which Annex A controls have been implemented and which have been excluded please see the </w:t>
      </w:r>
      <w:r>
        <w:rPr>
          <w:i/>
          <w:iCs/>
        </w:rPr>
        <w:t>Statement of Applicability</w:t>
      </w:r>
      <w:r>
        <w:t xml:space="preserve">. </w:t>
      </w:r>
    </w:p>
    <w:p w14:paraId="1BD6A4C8">
      <w:r>
        <w:t>In addition, enhanced and additional controls from the following codes of practice will be adopted and implemented where appropriate:</w:t>
      </w:r>
    </w:p>
    <w:p w14:paraId="3628C74E">
      <w:pPr>
        <w:pStyle w:val="37"/>
        <w:ind w:left="1080" w:leftChars="0" w:firstLineChars="0"/>
        <w:rPr>
          <w:highlight w:val="none"/>
        </w:rPr>
      </w:pPr>
      <w:r>
        <w:rPr>
          <w:highlight w:val="none"/>
        </w:rPr>
        <w:t>ISO/IEC 27002 – Code of practice for information security controls</w:t>
      </w:r>
      <w:r>
        <w:rPr>
          <w:rFonts w:hint="default"/>
          <w:highlight w:val="none"/>
          <w:lang w:val="en-US"/>
        </w:rPr>
        <w:t>.</w:t>
      </w:r>
    </w:p>
    <w:p w14:paraId="02BCAA0F">
      <w:pPr>
        <w:pStyle w:val="37"/>
        <w:ind w:left="1080" w:leftChars="0" w:firstLineChars="0"/>
        <w:rPr>
          <w:highlight w:val="none"/>
        </w:rPr>
      </w:pPr>
      <w:r>
        <w:rPr>
          <w:highlight w:val="none"/>
        </w:rPr>
        <w:t>ISO/IEC 27017 – Code of practice for information security controls based on ISO/IEC 27002 for cloud services</w:t>
      </w:r>
      <w:r>
        <w:rPr>
          <w:rFonts w:hint="default"/>
          <w:highlight w:val="none"/>
          <w:lang w:val="en-US"/>
        </w:rPr>
        <w:t>.</w:t>
      </w:r>
    </w:p>
    <w:p w14:paraId="52A64872">
      <w:pPr>
        <w:pStyle w:val="37"/>
        <w:ind w:left="1080" w:leftChars="0" w:firstLineChars="0"/>
        <w:rPr>
          <w:highlight w:val="none"/>
        </w:rPr>
      </w:pPr>
      <w:r>
        <w:rPr>
          <w:highlight w:val="none"/>
        </w:rPr>
        <w:t>ISO/IEC 27018 – Code of practice for protection of personally identifiable information (PII) in public clouds acting as PII processors</w:t>
      </w:r>
      <w:r>
        <w:rPr>
          <w:rFonts w:hint="default"/>
          <w:highlight w:val="none"/>
          <w:lang w:val="en-US"/>
        </w:rPr>
        <w:t>.</w:t>
      </w:r>
    </w:p>
    <w:p w14:paraId="4DA5F0EE">
      <w:pPr>
        <w:pStyle w:val="37"/>
        <w:ind w:left="1080" w:leftChars="0" w:firstLineChars="0"/>
        <w:rPr>
          <w:highlight w:val="none"/>
        </w:rPr>
      </w:pPr>
      <w:r>
        <w:rPr>
          <w:rFonts w:hint="default"/>
          <w:highlight w:val="none"/>
          <w:lang w:val="en-US"/>
        </w:rPr>
        <w:t>ISO/IEC 27701- Code of practice for privacy information management.</w:t>
      </w:r>
    </w:p>
    <w:p w14:paraId="0AD4620E">
      <w:pPr>
        <w:pStyle w:val="37"/>
        <w:ind w:left="1080" w:leftChars="0" w:firstLineChars="0"/>
        <w:rPr>
          <w:highlight w:val="none"/>
        </w:rPr>
      </w:pPr>
      <w:r>
        <w:rPr>
          <w:rFonts w:hint="default"/>
          <w:highlight w:val="none"/>
          <w:lang w:val="en-US"/>
        </w:rPr>
        <w:t>ISO/IEC 22301- Code of practice for business continuity management.</w:t>
      </w:r>
    </w:p>
    <w:p w14:paraId="0341D781"/>
    <w:p w14:paraId="459D077F">
      <w:r>
        <w:t>The adoption of these codes of practice will provide additional assurance to our customers and help further with our compliance with international data protection legislation.</w:t>
      </w:r>
    </w:p>
    <w:p w14:paraId="34356975"/>
    <w:p w14:paraId="36D43E4D">
      <w:pPr>
        <w:pStyle w:val="3"/>
        <w:ind w:left="816" w:leftChars="0" w:firstLineChars="0"/>
        <w:rPr>
          <w:color w:val="00B050"/>
        </w:rPr>
      </w:pPr>
      <w:bookmarkStart w:id="10" w:name="_Toc110936167"/>
      <w:r>
        <w:rPr>
          <w:color w:val="00B050"/>
        </w:rPr>
        <w:t>Continual improvement of the ISMS</w:t>
      </w:r>
      <w:bookmarkEnd w:id="10"/>
    </w:p>
    <w:p w14:paraId="6A14F1EF">
      <w:r>
        <w:rPr>
          <w:rFonts w:hint="default"/>
          <w:lang w:val="en-US"/>
        </w:rPr>
        <w:t xml:space="preserve">Alpha Tech’s </w:t>
      </w:r>
      <w:r>
        <w:t>policy regarding continual improvement is to:</w:t>
      </w:r>
    </w:p>
    <w:p w14:paraId="32270F05">
      <w:pPr>
        <w:pStyle w:val="37"/>
        <w:ind w:left="1080" w:leftChars="0" w:firstLineChars="0"/>
      </w:pPr>
      <w:r>
        <w:t>Continually improve the effectiveness of the ISMS</w:t>
      </w:r>
    </w:p>
    <w:p w14:paraId="1F77F069">
      <w:pPr>
        <w:pStyle w:val="37"/>
        <w:ind w:left="1080" w:leftChars="0" w:firstLineChars="0"/>
      </w:pPr>
      <w:r>
        <w:t>Enhance current processes to bring them into line with good practice as defined within ISO/IEC 27001 and related standards</w:t>
      </w:r>
    </w:p>
    <w:p w14:paraId="574EAB75">
      <w:pPr>
        <w:pStyle w:val="37"/>
        <w:ind w:left="1080" w:leftChars="0" w:firstLineChars="0"/>
      </w:pPr>
      <w:r>
        <w:t>Achieve ISO/IEC 27001 certification and maintain it on an on-going basis</w:t>
      </w:r>
    </w:p>
    <w:p w14:paraId="00149401">
      <w:pPr>
        <w:pStyle w:val="37"/>
        <w:ind w:left="1080" w:leftChars="0" w:firstLineChars="0"/>
      </w:pPr>
      <w:r>
        <w:t xml:space="preserve">Increase the level of proactivity (and the stakeholder perception of proactivity) with regard to information security </w:t>
      </w:r>
    </w:p>
    <w:p w14:paraId="307E9E71">
      <w:pPr>
        <w:pStyle w:val="37"/>
        <w:ind w:left="1080" w:leftChars="0" w:firstLineChars="0"/>
      </w:pPr>
      <w:r>
        <w:t>Make information security processes and controls more measurable in order to provide a sound basis for informed decisions</w:t>
      </w:r>
    </w:p>
    <w:p w14:paraId="049111BF">
      <w:pPr>
        <w:pStyle w:val="37"/>
        <w:ind w:left="1080" w:leftChars="0" w:firstLineChars="0"/>
      </w:pPr>
      <w:r>
        <w:t>Review relevant metrics on an annual basis to assess whether it is appropriate to change them, based on collected historical data</w:t>
      </w:r>
    </w:p>
    <w:p w14:paraId="4C629272">
      <w:pPr>
        <w:pStyle w:val="37"/>
        <w:ind w:left="1080" w:leftChars="0" w:firstLineChars="0"/>
      </w:pPr>
      <w:r>
        <w:t>Obtain ideas for improvement via regular meetings and other forms of communication with interested parties</w:t>
      </w:r>
    </w:p>
    <w:p w14:paraId="12AAAF48">
      <w:pPr>
        <w:pStyle w:val="37"/>
        <w:ind w:left="1080" w:leftChars="0" w:firstLineChars="0"/>
      </w:pPr>
      <w:r>
        <w:t>Review ideas for improvement at regular management meetings in order to prioritise and assess timescales and benefits</w:t>
      </w:r>
    </w:p>
    <w:p w14:paraId="39131547">
      <w:r>
        <w:t>Ideas for improvements may be obtained from any source including employees, customers, suppliers, IT staff, risk assessments and service reports. Once identified they will be recorded and evaluated as part of management reviews.</w:t>
      </w:r>
    </w:p>
    <w:p w14:paraId="2C242082"/>
    <w:p w14:paraId="728C8B55">
      <w:pPr>
        <w:pStyle w:val="3"/>
        <w:ind w:left="816" w:leftChars="0" w:firstLineChars="0"/>
        <w:rPr>
          <w:color w:val="00B050"/>
        </w:rPr>
      </w:pPr>
      <w:bookmarkStart w:id="11" w:name="_Toc110936168"/>
      <w:r>
        <w:rPr>
          <w:color w:val="00B050"/>
        </w:rPr>
        <w:t>Information security policy areas</w:t>
      </w:r>
      <w:bookmarkEnd w:id="11"/>
    </w:p>
    <w:p w14:paraId="2D1992CC">
      <w:r>
        <w:rPr>
          <w:rFonts w:hint="default"/>
          <w:lang w:val="en-US"/>
        </w:rPr>
        <w:t>Alpha Tech</w:t>
      </w:r>
      <w:r>
        <w:t xml:space="preserve"> defines policy in a wide variety of information security-related areas which are described in detail in a comprehensive set of policy documentation that accompanies this overarching information security policy.</w:t>
      </w:r>
    </w:p>
    <w:p w14:paraId="201086FB">
      <w:r>
        <w:t>Each of these policies is defined and agreed by one or more people with competence in the relevant area and, once formally approved, is communicated to an appropriate audience, both within and external to, the organization.</w:t>
      </w:r>
    </w:p>
    <w:p w14:paraId="295BB66D">
      <w:r>
        <w:t>The table below shows the individual policies within the documentation set and summarises each policy’s content and the target audience of interested parties.</w:t>
      </w:r>
    </w:p>
    <w:p w14:paraId="755A9A3A"/>
    <w:p w14:paraId="3D0B31A0"/>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1696"/>
        <w:gridCol w:w="4678"/>
        <w:gridCol w:w="2642"/>
      </w:tblGrid>
      <w:tr w14:paraId="517C979E">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PrEx>
        <w:trPr>
          <w:tblHeader/>
        </w:trPr>
        <w:tc>
          <w:tcPr>
            <w:tcW w:w="1696" w:type="dxa"/>
            <w:shd w:val="clear" w:color="auto" w:fill="00B050"/>
          </w:tcPr>
          <w:p w14:paraId="2B419F83">
            <w:pPr>
              <w:pStyle w:val="50"/>
              <w:rPr>
                <w:highlight w:val="none"/>
              </w:rPr>
            </w:pPr>
            <w:r>
              <w:rPr>
                <w:highlight w:val="none"/>
              </w:rPr>
              <w:t>POLICY TITLE</w:t>
            </w:r>
          </w:p>
        </w:tc>
        <w:tc>
          <w:tcPr>
            <w:tcW w:w="4678" w:type="dxa"/>
            <w:shd w:val="clear" w:color="auto" w:fill="00B050"/>
          </w:tcPr>
          <w:p w14:paraId="0F912422">
            <w:pPr>
              <w:pStyle w:val="50"/>
              <w:rPr>
                <w:highlight w:val="none"/>
              </w:rPr>
            </w:pPr>
            <w:r>
              <w:rPr>
                <w:highlight w:val="none"/>
              </w:rPr>
              <w:t>AREAS ADDRESSED</w:t>
            </w:r>
          </w:p>
        </w:tc>
        <w:tc>
          <w:tcPr>
            <w:tcW w:w="2642" w:type="dxa"/>
            <w:shd w:val="clear" w:color="auto" w:fill="00B050"/>
          </w:tcPr>
          <w:p w14:paraId="4E23E107">
            <w:pPr>
              <w:pStyle w:val="50"/>
              <w:rPr>
                <w:highlight w:val="none"/>
              </w:rPr>
            </w:pPr>
            <w:r>
              <w:rPr>
                <w:highlight w:val="none"/>
              </w:rPr>
              <w:t>TARGET AUDIENCE</w:t>
            </w:r>
          </w:p>
        </w:tc>
      </w:tr>
      <w:tr w14:paraId="096E0AC7">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33D16C94">
            <w:pPr>
              <w:pStyle w:val="49"/>
            </w:pPr>
            <w:r>
              <w:t>Internet Access Policy</w:t>
            </w:r>
          </w:p>
        </w:tc>
        <w:tc>
          <w:tcPr>
            <w:tcW w:w="4678" w:type="dxa"/>
          </w:tcPr>
          <w:p w14:paraId="043F3DFD">
            <w:pPr>
              <w:pStyle w:val="49"/>
            </w:pPr>
            <w:r>
              <w:t>Business use of the Internet, personal use of the Internet, Internet account management, security and monitoring and prohibited uses of the Internet service.</w:t>
            </w:r>
          </w:p>
        </w:tc>
        <w:tc>
          <w:tcPr>
            <w:tcW w:w="2642" w:type="dxa"/>
          </w:tcPr>
          <w:p w14:paraId="0939CCAF">
            <w:pPr>
              <w:pStyle w:val="49"/>
            </w:pPr>
            <w:r>
              <w:t>Users of the Internet service</w:t>
            </w:r>
          </w:p>
        </w:tc>
      </w:tr>
      <w:tr w14:paraId="116146C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DA0266B">
            <w:pPr>
              <w:pStyle w:val="49"/>
            </w:pPr>
            <w:r>
              <w:t>Cloud Computing Policy</w:t>
            </w:r>
          </w:p>
        </w:tc>
        <w:tc>
          <w:tcPr>
            <w:tcW w:w="4678" w:type="dxa"/>
          </w:tcPr>
          <w:p w14:paraId="63EEC490">
            <w:pPr>
              <w:pStyle w:val="49"/>
            </w:pPr>
            <w:r>
              <w:t>Due diligence, signup, setup, management and removal of cloud computing services.</w:t>
            </w:r>
          </w:p>
        </w:tc>
        <w:tc>
          <w:tcPr>
            <w:tcW w:w="2642" w:type="dxa"/>
          </w:tcPr>
          <w:p w14:paraId="59F7C584">
            <w:pPr>
              <w:pStyle w:val="49"/>
            </w:pPr>
            <w:r>
              <w:t>Employees involved in the procurement and management of cloud services</w:t>
            </w:r>
          </w:p>
        </w:tc>
      </w:tr>
      <w:tr w14:paraId="06C8E47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4ADB95B0">
            <w:pPr>
              <w:pStyle w:val="49"/>
            </w:pPr>
            <w:r>
              <w:t>Mobile Device Policy</w:t>
            </w:r>
          </w:p>
        </w:tc>
        <w:tc>
          <w:tcPr>
            <w:tcW w:w="4678" w:type="dxa"/>
          </w:tcPr>
          <w:p w14:paraId="650A657D">
            <w:pPr>
              <w:pStyle w:val="49"/>
            </w:pPr>
            <w:r>
              <w:t>Care and security of mobile devices such as laptops, tablets and smartphones, whether provided by the organization for business use.</w:t>
            </w:r>
          </w:p>
        </w:tc>
        <w:tc>
          <w:tcPr>
            <w:tcW w:w="2642" w:type="dxa"/>
          </w:tcPr>
          <w:p w14:paraId="5AE46378">
            <w:pPr>
              <w:pStyle w:val="49"/>
            </w:pPr>
            <w:r>
              <w:t xml:space="preserve">Users of company-provided mobile devices </w:t>
            </w:r>
          </w:p>
        </w:tc>
      </w:tr>
      <w:tr w14:paraId="60E8585C">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FCB1069">
            <w:pPr>
              <w:pStyle w:val="49"/>
            </w:pPr>
            <w:r>
              <w:t>BYOD Policy</w:t>
            </w:r>
          </w:p>
        </w:tc>
        <w:tc>
          <w:tcPr>
            <w:tcW w:w="4678" w:type="dxa"/>
          </w:tcPr>
          <w:p w14:paraId="5C41732B">
            <w:pPr>
              <w:pStyle w:val="49"/>
            </w:pPr>
            <w:r>
              <w:t>Bring Your Own Device (BYOD) considerations where personnel wish to make use of their own mobile devices to access corporate information.</w:t>
            </w:r>
          </w:p>
        </w:tc>
        <w:tc>
          <w:tcPr>
            <w:tcW w:w="2642" w:type="dxa"/>
          </w:tcPr>
          <w:p w14:paraId="55EC2F88">
            <w:pPr>
              <w:pStyle w:val="49"/>
            </w:pPr>
            <w:r>
              <w:t>Users of personal devices for restricted business use</w:t>
            </w:r>
          </w:p>
        </w:tc>
      </w:tr>
      <w:tr w14:paraId="566107A1">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18214686">
            <w:pPr>
              <w:pStyle w:val="49"/>
            </w:pPr>
            <w:r>
              <w:t>Teleworking Policy</w:t>
            </w:r>
          </w:p>
        </w:tc>
        <w:tc>
          <w:tcPr>
            <w:tcW w:w="4678" w:type="dxa"/>
          </w:tcPr>
          <w:p w14:paraId="4F9B4032">
            <w:pPr>
              <w:pStyle w:val="49"/>
            </w:pPr>
            <w:r>
              <w:t>Information security considerations in establishing and running a teleworking site and arrangement e.g. physical security, insurance and equipment</w:t>
            </w:r>
          </w:p>
        </w:tc>
        <w:tc>
          <w:tcPr>
            <w:tcW w:w="2642" w:type="dxa"/>
          </w:tcPr>
          <w:p w14:paraId="11FA9CE0">
            <w:pPr>
              <w:pStyle w:val="49"/>
            </w:pPr>
            <w:r>
              <w:t>Management and employees involved in setting up and maintaining a teleworking site</w:t>
            </w:r>
          </w:p>
        </w:tc>
      </w:tr>
      <w:tr w14:paraId="2E090FB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207E49FA">
            <w:pPr>
              <w:pStyle w:val="49"/>
            </w:pPr>
            <w:r>
              <w:t>Access Control Policy</w:t>
            </w:r>
          </w:p>
        </w:tc>
        <w:tc>
          <w:tcPr>
            <w:tcW w:w="4678" w:type="dxa"/>
          </w:tcPr>
          <w:p w14:paraId="27E8CF35">
            <w:pPr>
              <w:pStyle w:val="49"/>
            </w:pPr>
            <w:r>
              <w:t>User registration and deregistration, provision of access rights, external access, access reviews, password policy, user responsibilities and system and application access control.</w:t>
            </w:r>
          </w:p>
        </w:tc>
        <w:tc>
          <w:tcPr>
            <w:tcW w:w="2642" w:type="dxa"/>
          </w:tcPr>
          <w:p w14:paraId="2961F537">
            <w:pPr>
              <w:pStyle w:val="49"/>
            </w:pPr>
            <w:r>
              <w:t>Employees involved in setting up and managing access control</w:t>
            </w:r>
          </w:p>
        </w:tc>
      </w:tr>
      <w:tr w14:paraId="4D3D8869">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253E0F4">
            <w:pPr>
              <w:pStyle w:val="49"/>
            </w:pPr>
            <w:r>
              <w:t>Dynamic Access Control Policy</w:t>
            </w:r>
          </w:p>
        </w:tc>
        <w:tc>
          <w:tcPr>
            <w:tcW w:w="4678" w:type="dxa"/>
          </w:tcPr>
          <w:p w14:paraId="46E9E06F">
            <w:pPr>
              <w:pStyle w:val="49"/>
            </w:pPr>
            <w:r>
              <w:t>Applicability and use of dynamic access controls available in specific environments.</w:t>
            </w:r>
          </w:p>
        </w:tc>
        <w:tc>
          <w:tcPr>
            <w:tcW w:w="2642" w:type="dxa"/>
          </w:tcPr>
          <w:p w14:paraId="1553DC77">
            <w:pPr>
              <w:pStyle w:val="49"/>
            </w:pPr>
            <w:r>
              <w:t>Asset owners and ICT team</w:t>
            </w:r>
          </w:p>
        </w:tc>
      </w:tr>
      <w:tr w14:paraId="7C9F809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7E1C9E96">
            <w:pPr>
              <w:pStyle w:val="49"/>
            </w:pPr>
            <w:r>
              <w:t>Cryptographic Policy</w:t>
            </w:r>
          </w:p>
        </w:tc>
        <w:tc>
          <w:tcPr>
            <w:tcW w:w="4678" w:type="dxa"/>
          </w:tcPr>
          <w:p w14:paraId="2AFCE604">
            <w:pPr>
              <w:pStyle w:val="49"/>
            </w:pPr>
            <w:r>
              <w:t>Risk assessment, technique selection, deployment, testing and review of cryptography, and key management</w:t>
            </w:r>
          </w:p>
        </w:tc>
        <w:tc>
          <w:tcPr>
            <w:tcW w:w="2642" w:type="dxa"/>
          </w:tcPr>
          <w:p w14:paraId="4310F54E">
            <w:pPr>
              <w:pStyle w:val="49"/>
            </w:pPr>
            <w:r>
              <w:t>Employees involved in setting up and managing the use of cryptographic technology and techniques</w:t>
            </w:r>
          </w:p>
        </w:tc>
      </w:tr>
      <w:tr w14:paraId="77A61CE2">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476B632C">
            <w:pPr>
              <w:pStyle w:val="49"/>
            </w:pPr>
            <w:r>
              <w:t>Physical Security Policy</w:t>
            </w:r>
          </w:p>
        </w:tc>
        <w:tc>
          <w:tcPr>
            <w:tcW w:w="4678" w:type="dxa"/>
          </w:tcPr>
          <w:p w14:paraId="7DC86945">
            <w:pPr>
              <w:pStyle w:val="49"/>
            </w:pPr>
            <w:r>
              <w:t>Secure areas, paper and equipment security and equipment lifecycle management</w:t>
            </w:r>
          </w:p>
        </w:tc>
        <w:tc>
          <w:tcPr>
            <w:tcW w:w="2642" w:type="dxa"/>
          </w:tcPr>
          <w:p w14:paraId="0C7B778D">
            <w:pPr>
              <w:pStyle w:val="49"/>
            </w:pPr>
            <w:r>
              <w:t>All employees</w:t>
            </w:r>
          </w:p>
        </w:tc>
      </w:tr>
      <w:tr w14:paraId="52AB8A2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7CC0EF19">
            <w:pPr>
              <w:pStyle w:val="49"/>
            </w:pPr>
            <w:r>
              <w:t>Anti-Malware Policy</w:t>
            </w:r>
          </w:p>
        </w:tc>
        <w:tc>
          <w:tcPr>
            <w:tcW w:w="4678" w:type="dxa"/>
          </w:tcPr>
          <w:p w14:paraId="10A199C8">
            <w:pPr>
              <w:pStyle w:val="49"/>
            </w:pPr>
            <w:r>
              <w:t xml:space="preserve">Firewalls, anti-virus, spam filtering, software installation and scanning, vulnerability management, user awareness training, threat monitoring and alerts, technical reviews and malware incident management. </w:t>
            </w:r>
          </w:p>
        </w:tc>
        <w:tc>
          <w:tcPr>
            <w:tcW w:w="2642" w:type="dxa"/>
          </w:tcPr>
          <w:p w14:paraId="22953F56">
            <w:pPr>
              <w:pStyle w:val="49"/>
            </w:pPr>
            <w:r>
              <w:t>Employees responsible for protecting the organization’s infrastructure from malware</w:t>
            </w:r>
          </w:p>
        </w:tc>
      </w:tr>
      <w:tr w14:paraId="361ECC09">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1196BD66">
            <w:pPr>
              <w:pStyle w:val="49"/>
            </w:pPr>
            <w:r>
              <w:t>Backup Policy</w:t>
            </w:r>
          </w:p>
        </w:tc>
        <w:tc>
          <w:tcPr>
            <w:tcW w:w="4678" w:type="dxa"/>
          </w:tcPr>
          <w:p w14:paraId="5EECB0EB">
            <w:pPr>
              <w:pStyle w:val="49"/>
            </w:pPr>
            <w:r>
              <w:t>Backup cycles, cloud backups, off-site storage, documentation, recovery testing and protection of storage media</w:t>
            </w:r>
          </w:p>
        </w:tc>
        <w:tc>
          <w:tcPr>
            <w:tcW w:w="2642" w:type="dxa"/>
          </w:tcPr>
          <w:p w14:paraId="394C106C">
            <w:pPr>
              <w:pStyle w:val="49"/>
            </w:pPr>
            <w:r>
              <w:t>Employees responsible for designing and implementing backup regimes</w:t>
            </w:r>
          </w:p>
        </w:tc>
      </w:tr>
      <w:tr w14:paraId="2F133793">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019649CD">
            <w:pPr>
              <w:pStyle w:val="49"/>
            </w:pPr>
            <w:r>
              <w:t>Logging and Monitoring Policy</w:t>
            </w:r>
          </w:p>
        </w:tc>
        <w:tc>
          <w:tcPr>
            <w:tcW w:w="4678" w:type="dxa"/>
          </w:tcPr>
          <w:p w14:paraId="7D99DF90">
            <w:pPr>
              <w:pStyle w:val="49"/>
            </w:pPr>
            <w:r>
              <w:t>Settings for event collection. protection and review</w:t>
            </w:r>
          </w:p>
        </w:tc>
        <w:tc>
          <w:tcPr>
            <w:tcW w:w="2642" w:type="dxa"/>
          </w:tcPr>
          <w:p w14:paraId="132289F5">
            <w:pPr>
              <w:pStyle w:val="49"/>
            </w:pPr>
            <w:r>
              <w:t>Employees responsible for protecting the organization’s infrastructure from attacks</w:t>
            </w:r>
          </w:p>
        </w:tc>
      </w:tr>
      <w:tr w14:paraId="01F1603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3C37BBD5">
            <w:pPr>
              <w:pStyle w:val="49"/>
            </w:pPr>
            <w:r>
              <w:t>Software Policy</w:t>
            </w:r>
          </w:p>
        </w:tc>
        <w:tc>
          <w:tcPr>
            <w:tcW w:w="4678" w:type="dxa"/>
          </w:tcPr>
          <w:p w14:paraId="412DAC6D">
            <w:pPr>
              <w:pStyle w:val="49"/>
            </w:pPr>
            <w:r>
              <w:t>Purchasing software, software registration, installation and removal, in-house software development and use of software in the cloud.</w:t>
            </w:r>
          </w:p>
        </w:tc>
        <w:tc>
          <w:tcPr>
            <w:tcW w:w="2642" w:type="dxa"/>
          </w:tcPr>
          <w:p w14:paraId="103CA778">
            <w:pPr>
              <w:pStyle w:val="49"/>
            </w:pPr>
            <w:r>
              <w:t>All employees</w:t>
            </w:r>
          </w:p>
        </w:tc>
      </w:tr>
      <w:tr w14:paraId="34099063">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4BA6C73E">
            <w:pPr>
              <w:pStyle w:val="49"/>
            </w:pPr>
            <w:r>
              <w:t>Technical Vulnerability Management Policy</w:t>
            </w:r>
          </w:p>
        </w:tc>
        <w:tc>
          <w:tcPr>
            <w:tcW w:w="4678" w:type="dxa"/>
          </w:tcPr>
          <w:p w14:paraId="58366852">
            <w:pPr>
              <w:pStyle w:val="49"/>
            </w:pPr>
            <w:r>
              <w:t>Vulnerability definition, sources of information, patches and updates, vulnerability assessment, hardening, awareness training and vulnerability disclosure.</w:t>
            </w:r>
          </w:p>
        </w:tc>
        <w:tc>
          <w:tcPr>
            <w:tcW w:w="2642" w:type="dxa"/>
          </w:tcPr>
          <w:p w14:paraId="3A4CEC14">
            <w:pPr>
              <w:pStyle w:val="49"/>
            </w:pPr>
            <w:r>
              <w:t>Employees responsible for protecting the organization’s infrastructure from malware</w:t>
            </w:r>
          </w:p>
        </w:tc>
      </w:tr>
      <w:tr w14:paraId="458D960F">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00D9E8C">
            <w:pPr>
              <w:pStyle w:val="49"/>
            </w:pPr>
            <w:r>
              <w:t>Network Security Policy</w:t>
            </w:r>
          </w:p>
        </w:tc>
        <w:tc>
          <w:tcPr>
            <w:tcW w:w="4678" w:type="dxa"/>
          </w:tcPr>
          <w:p w14:paraId="35883993">
            <w:pPr>
              <w:pStyle w:val="49"/>
            </w:pPr>
            <w:r>
              <w:t>Network security design, including network segregation, perimeter security, wireless networks and remote access; network security management, including roles and responsibilities, logging and monitoring and changes.</w:t>
            </w:r>
          </w:p>
        </w:tc>
        <w:tc>
          <w:tcPr>
            <w:tcW w:w="2642" w:type="dxa"/>
          </w:tcPr>
          <w:p w14:paraId="461598A4">
            <w:pPr>
              <w:pStyle w:val="49"/>
            </w:pPr>
            <w:r>
              <w:t>Employees responsible for designing, implementing and managing networks</w:t>
            </w:r>
          </w:p>
        </w:tc>
      </w:tr>
      <w:tr w14:paraId="63C0714C">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FA2D13F">
            <w:pPr>
              <w:pStyle w:val="49"/>
            </w:pPr>
            <w:r>
              <w:t>Electronic Messaging Policy</w:t>
            </w:r>
          </w:p>
        </w:tc>
        <w:tc>
          <w:tcPr>
            <w:tcW w:w="4678" w:type="dxa"/>
          </w:tcPr>
          <w:p w14:paraId="04424CB6">
            <w:pPr>
              <w:pStyle w:val="49"/>
            </w:pPr>
            <w:r>
              <w:t>Sending and receiving electronic messages, monitoring of electronic messaging facilities and use of email.</w:t>
            </w:r>
          </w:p>
        </w:tc>
        <w:tc>
          <w:tcPr>
            <w:tcW w:w="2642" w:type="dxa"/>
          </w:tcPr>
          <w:p w14:paraId="7E858807">
            <w:pPr>
              <w:pStyle w:val="49"/>
            </w:pPr>
            <w:r>
              <w:t>Users of electronic messaging facilities</w:t>
            </w:r>
          </w:p>
        </w:tc>
      </w:tr>
      <w:tr w14:paraId="4DCC468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4B48DAFC">
            <w:pPr>
              <w:pStyle w:val="49"/>
            </w:pPr>
            <w:r>
              <w:t>Online Collaboration Policy</w:t>
            </w:r>
          </w:p>
        </w:tc>
        <w:tc>
          <w:tcPr>
            <w:tcW w:w="4678" w:type="dxa"/>
          </w:tcPr>
          <w:p w14:paraId="4505DA66">
            <w:pPr>
              <w:pStyle w:val="49"/>
            </w:pPr>
            <w:r>
              <w:t>Use of collaboration tools for communication, sharing and video conferencing.</w:t>
            </w:r>
          </w:p>
        </w:tc>
        <w:tc>
          <w:tcPr>
            <w:tcW w:w="2642" w:type="dxa"/>
          </w:tcPr>
          <w:p w14:paraId="0C9867A1">
            <w:pPr>
              <w:pStyle w:val="49"/>
            </w:pPr>
            <w:r>
              <w:t>Users of online collaboration tools</w:t>
            </w:r>
          </w:p>
        </w:tc>
      </w:tr>
      <w:tr w14:paraId="3E215FD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79FCCBCF">
            <w:pPr>
              <w:pStyle w:val="49"/>
            </w:pPr>
            <w:r>
              <w:t>Secure Development Policy</w:t>
            </w:r>
          </w:p>
        </w:tc>
        <w:tc>
          <w:tcPr>
            <w:tcW w:w="4678" w:type="dxa"/>
          </w:tcPr>
          <w:p w14:paraId="7223CFF0">
            <w:pPr>
              <w:pStyle w:val="49"/>
            </w:pPr>
            <w:r>
              <w:t>Business requirements specification, system design, development and testing and outsourced software development.</w:t>
            </w:r>
          </w:p>
        </w:tc>
        <w:tc>
          <w:tcPr>
            <w:tcW w:w="2642" w:type="dxa"/>
          </w:tcPr>
          <w:p w14:paraId="62ED213F">
            <w:pPr>
              <w:pStyle w:val="49"/>
            </w:pPr>
            <w:r>
              <w:t>Employees responsible for designing, managing and writing code for bespoke software developments</w:t>
            </w:r>
          </w:p>
        </w:tc>
      </w:tr>
      <w:tr w14:paraId="2F950356">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98B5C4F">
            <w:pPr>
              <w:pStyle w:val="49"/>
            </w:pPr>
            <w:r>
              <w:t>Information Security Policy for Supplier Relationships</w:t>
            </w:r>
          </w:p>
        </w:tc>
        <w:tc>
          <w:tcPr>
            <w:tcW w:w="4678" w:type="dxa"/>
          </w:tcPr>
          <w:p w14:paraId="22613D5C">
            <w:pPr>
              <w:pStyle w:val="49"/>
            </w:pPr>
            <w:r>
              <w:t>Due diligence, supplier agreements, monitoring and review of services, changes, disputes and end of contract.</w:t>
            </w:r>
          </w:p>
        </w:tc>
        <w:tc>
          <w:tcPr>
            <w:tcW w:w="2642" w:type="dxa"/>
          </w:tcPr>
          <w:p w14:paraId="077BB32A">
            <w:pPr>
              <w:pStyle w:val="49"/>
            </w:pPr>
            <w:r>
              <w:t>Employees involved in setting up and managing supplier relationships</w:t>
            </w:r>
          </w:p>
        </w:tc>
      </w:tr>
      <w:tr w14:paraId="6DDF801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6FF68DE">
            <w:pPr>
              <w:pStyle w:val="49"/>
            </w:pPr>
            <w:r>
              <w:t>Availability Management Policy</w:t>
            </w:r>
          </w:p>
        </w:tc>
        <w:tc>
          <w:tcPr>
            <w:tcW w:w="4678" w:type="dxa"/>
          </w:tcPr>
          <w:p w14:paraId="1F66E3B8">
            <w:pPr>
              <w:pStyle w:val="49"/>
            </w:pPr>
            <w:r>
              <w:t>Availability requirements and design, monitoring and reporting, non-availability, testing availability plans and managing changes.</w:t>
            </w:r>
          </w:p>
        </w:tc>
        <w:tc>
          <w:tcPr>
            <w:tcW w:w="2642" w:type="dxa"/>
          </w:tcPr>
          <w:p w14:paraId="493ABFDE">
            <w:pPr>
              <w:pStyle w:val="49"/>
            </w:pPr>
            <w:r>
              <w:t>Employees responsible for designing systems and managing service delivery</w:t>
            </w:r>
          </w:p>
        </w:tc>
      </w:tr>
      <w:tr w14:paraId="1CF8C3D3">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08EF96AB">
            <w:pPr>
              <w:pStyle w:val="49"/>
            </w:pPr>
            <w:r>
              <w:t>IP and Copyright Compliance Policy</w:t>
            </w:r>
          </w:p>
        </w:tc>
        <w:tc>
          <w:tcPr>
            <w:tcW w:w="4678" w:type="dxa"/>
          </w:tcPr>
          <w:p w14:paraId="6A73E17B">
            <w:pPr>
              <w:pStyle w:val="49"/>
            </w:pPr>
            <w:r>
              <w:t>Protection of intellectual property, the law, penalties and software license compliance.</w:t>
            </w:r>
          </w:p>
        </w:tc>
        <w:tc>
          <w:tcPr>
            <w:tcW w:w="2642" w:type="dxa"/>
          </w:tcPr>
          <w:p w14:paraId="7A9E10D5">
            <w:pPr>
              <w:pStyle w:val="49"/>
            </w:pPr>
            <w:r>
              <w:t>All employees</w:t>
            </w:r>
          </w:p>
        </w:tc>
      </w:tr>
      <w:tr w14:paraId="2321EA6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2D0881CC">
            <w:pPr>
              <w:pStyle w:val="49"/>
            </w:pPr>
            <w:r>
              <w:t>Records Retention and Protection Policy</w:t>
            </w:r>
          </w:p>
        </w:tc>
        <w:tc>
          <w:tcPr>
            <w:tcW w:w="4678" w:type="dxa"/>
          </w:tcPr>
          <w:p w14:paraId="3A683A0A">
            <w:pPr>
              <w:pStyle w:val="49"/>
            </w:pPr>
            <w:r>
              <w:t>Retention period for specific record types, use of cryptography, media selection, record retrieval, destruction and review.</w:t>
            </w:r>
          </w:p>
        </w:tc>
        <w:tc>
          <w:tcPr>
            <w:tcW w:w="2642" w:type="dxa"/>
          </w:tcPr>
          <w:p w14:paraId="4B875DAF">
            <w:pPr>
              <w:pStyle w:val="49"/>
            </w:pPr>
            <w:r>
              <w:t>Employees responsible for creation and management of records</w:t>
            </w:r>
          </w:p>
        </w:tc>
      </w:tr>
      <w:tr w14:paraId="5FDF65BE">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4E6B3C7D">
            <w:pPr>
              <w:pStyle w:val="49"/>
            </w:pPr>
            <w:r>
              <w:t>Privacy and Personal Data Protection Policy</w:t>
            </w:r>
          </w:p>
        </w:tc>
        <w:tc>
          <w:tcPr>
            <w:tcW w:w="4678" w:type="dxa"/>
          </w:tcPr>
          <w:p w14:paraId="02FC71F6">
            <w:pPr>
              <w:pStyle w:val="49"/>
            </w:pPr>
            <w:r>
              <w:t xml:space="preserve">Applicable data protection legislation, definitions and requirements. </w:t>
            </w:r>
          </w:p>
        </w:tc>
        <w:tc>
          <w:tcPr>
            <w:tcW w:w="2642" w:type="dxa"/>
          </w:tcPr>
          <w:p w14:paraId="29ACA915">
            <w:pPr>
              <w:pStyle w:val="49"/>
            </w:pPr>
            <w:r>
              <w:t>Employees responsible for designing and managing systems using personal data</w:t>
            </w:r>
          </w:p>
        </w:tc>
      </w:tr>
      <w:tr w14:paraId="370CB835">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09342005">
            <w:pPr>
              <w:pStyle w:val="49"/>
            </w:pPr>
            <w:r>
              <w:t>Clear Desk and Clear Screen Policy</w:t>
            </w:r>
          </w:p>
        </w:tc>
        <w:tc>
          <w:tcPr>
            <w:tcW w:w="4678" w:type="dxa"/>
          </w:tcPr>
          <w:p w14:paraId="2FBD0548">
            <w:pPr>
              <w:pStyle w:val="49"/>
            </w:pPr>
            <w:r>
              <w:t>Security of information shown on screens, printed out and held on removable media.</w:t>
            </w:r>
          </w:p>
        </w:tc>
        <w:tc>
          <w:tcPr>
            <w:tcW w:w="2642" w:type="dxa"/>
          </w:tcPr>
          <w:p w14:paraId="01806E1B">
            <w:pPr>
              <w:pStyle w:val="49"/>
            </w:pPr>
            <w:r>
              <w:t>All employees</w:t>
            </w:r>
          </w:p>
        </w:tc>
      </w:tr>
      <w:tr w14:paraId="14089A5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7750DA9A">
            <w:pPr>
              <w:pStyle w:val="49"/>
            </w:pPr>
            <w:r>
              <w:t>Social Media Policy</w:t>
            </w:r>
          </w:p>
        </w:tc>
        <w:tc>
          <w:tcPr>
            <w:tcW w:w="4678" w:type="dxa"/>
          </w:tcPr>
          <w:p w14:paraId="73DF40E6">
            <w:pPr>
              <w:pStyle w:val="49"/>
            </w:pPr>
            <w:r>
              <w:t>Guidelines for how social media should be used when representing the organization and when discussing issues relevant to the organization.</w:t>
            </w:r>
          </w:p>
        </w:tc>
        <w:tc>
          <w:tcPr>
            <w:tcW w:w="2642" w:type="dxa"/>
          </w:tcPr>
          <w:p w14:paraId="56C9BA9A">
            <w:pPr>
              <w:pStyle w:val="49"/>
            </w:pPr>
            <w:r>
              <w:t>All employees</w:t>
            </w:r>
          </w:p>
        </w:tc>
      </w:tr>
      <w:tr w14:paraId="2A46264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72BB3519">
            <w:pPr>
              <w:pStyle w:val="49"/>
            </w:pPr>
            <w:r>
              <w:t>HR Security Policy</w:t>
            </w:r>
          </w:p>
        </w:tc>
        <w:tc>
          <w:tcPr>
            <w:tcW w:w="4678" w:type="dxa"/>
          </w:tcPr>
          <w:p w14:paraId="12F0FC9E">
            <w:pPr>
              <w:pStyle w:val="49"/>
            </w:pPr>
            <w:r>
              <w:t>Recruitment, employment contracts, policy compliance, disciplinary process, termination</w:t>
            </w:r>
          </w:p>
        </w:tc>
        <w:tc>
          <w:tcPr>
            <w:tcW w:w="2642" w:type="dxa"/>
          </w:tcPr>
          <w:p w14:paraId="4217E8AE">
            <w:pPr>
              <w:pStyle w:val="49"/>
            </w:pPr>
            <w:r>
              <w:t>All employees</w:t>
            </w:r>
          </w:p>
        </w:tc>
      </w:tr>
      <w:tr w14:paraId="3380F263">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F71D878">
            <w:pPr>
              <w:pStyle w:val="49"/>
            </w:pPr>
            <w:r>
              <w:t>Acceptable Use Policy</w:t>
            </w:r>
          </w:p>
        </w:tc>
        <w:tc>
          <w:tcPr>
            <w:tcW w:w="4678" w:type="dxa"/>
          </w:tcPr>
          <w:p w14:paraId="7D8A70DF">
            <w:pPr>
              <w:pStyle w:val="49"/>
            </w:pPr>
            <w:r>
              <w:t>Employee commitment to organizational information security policies.</w:t>
            </w:r>
          </w:p>
        </w:tc>
        <w:tc>
          <w:tcPr>
            <w:tcW w:w="2642" w:type="dxa"/>
          </w:tcPr>
          <w:p w14:paraId="43190FD3">
            <w:pPr>
              <w:pStyle w:val="49"/>
            </w:pPr>
            <w:r>
              <w:t>All employees</w:t>
            </w:r>
          </w:p>
        </w:tc>
      </w:tr>
      <w:tr w14:paraId="5534695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1E32D09">
            <w:pPr>
              <w:pStyle w:val="49"/>
            </w:pPr>
            <w:r>
              <w:t>Asset Management Policy</w:t>
            </w:r>
          </w:p>
        </w:tc>
        <w:tc>
          <w:tcPr>
            <w:tcW w:w="4678" w:type="dxa"/>
          </w:tcPr>
          <w:p w14:paraId="1343981A">
            <w:pPr>
              <w:pStyle w:val="49"/>
            </w:pPr>
            <w:r>
              <w:t>This document sets out the rules for how assets must be managed from an information security perspective.</w:t>
            </w:r>
          </w:p>
        </w:tc>
        <w:tc>
          <w:tcPr>
            <w:tcW w:w="2642" w:type="dxa"/>
          </w:tcPr>
          <w:p w14:paraId="232ECB27">
            <w:pPr>
              <w:pStyle w:val="49"/>
            </w:pPr>
            <w:r>
              <w:t>All employees</w:t>
            </w:r>
          </w:p>
        </w:tc>
      </w:tr>
      <w:tr w14:paraId="16E176E6">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11C569B2">
            <w:pPr>
              <w:pStyle w:val="49"/>
            </w:pPr>
            <w:r>
              <w:t>CCTV Policy</w:t>
            </w:r>
          </w:p>
        </w:tc>
        <w:tc>
          <w:tcPr>
            <w:tcW w:w="4678" w:type="dxa"/>
          </w:tcPr>
          <w:p w14:paraId="5D749253">
            <w:pPr>
              <w:pStyle w:val="49"/>
            </w:pPr>
            <w:r>
              <w:t>The use of CCTV in physical security, including siting and data protection issues and considerations.</w:t>
            </w:r>
          </w:p>
        </w:tc>
        <w:tc>
          <w:tcPr>
            <w:tcW w:w="2642" w:type="dxa"/>
          </w:tcPr>
          <w:p w14:paraId="5C1E70FD">
            <w:pPr>
              <w:pStyle w:val="49"/>
            </w:pPr>
            <w:r>
              <w:t>Employees responsible for CCTV</w:t>
            </w:r>
          </w:p>
        </w:tc>
      </w:tr>
      <w:tr w14:paraId="7259641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29B18FD">
            <w:pPr>
              <w:pStyle w:val="49"/>
            </w:pPr>
            <w:r>
              <w:t>Configuration Management Policy</w:t>
            </w:r>
          </w:p>
        </w:tc>
        <w:tc>
          <w:tcPr>
            <w:tcW w:w="4678" w:type="dxa"/>
          </w:tcPr>
          <w:p w14:paraId="731A8E07">
            <w:pPr>
              <w:pStyle w:val="49"/>
            </w:pPr>
            <w:r>
              <w:t>The secure configuration of hardware, software, services and networks.</w:t>
            </w:r>
          </w:p>
        </w:tc>
        <w:tc>
          <w:tcPr>
            <w:tcW w:w="2642" w:type="dxa"/>
          </w:tcPr>
          <w:p w14:paraId="5CC7A6DD">
            <w:pPr>
              <w:pStyle w:val="49"/>
            </w:pPr>
            <w:r>
              <w:t>Employees responsible for designing systems and managing service delivery</w:t>
            </w:r>
          </w:p>
        </w:tc>
      </w:tr>
      <w:tr w14:paraId="724AC633">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A61D790">
            <w:pPr>
              <w:pStyle w:val="49"/>
            </w:pPr>
            <w:r>
              <w:t>Information Deletion Policy</w:t>
            </w:r>
          </w:p>
        </w:tc>
        <w:tc>
          <w:tcPr>
            <w:tcW w:w="4678" w:type="dxa"/>
          </w:tcPr>
          <w:p w14:paraId="4697B06A">
            <w:pPr>
              <w:pStyle w:val="49"/>
            </w:pPr>
            <w:r>
              <w:t>The deletion of information stored in information systems, devices or in any other storage media, when no longer required.</w:t>
            </w:r>
          </w:p>
        </w:tc>
        <w:tc>
          <w:tcPr>
            <w:tcW w:w="2642" w:type="dxa"/>
          </w:tcPr>
          <w:p w14:paraId="4457AB13">
            <w:pPr>
              <w:pStyle w:val="49"/>
            </w:pPr>
            <w:r>
              <w:t>Employees responsible for designing and managing systems using personal data</w:t>
            </w:r>
          </w:p>
        </w:tc>
      </w:tr>
      <w:tr w14:paraId="73CB6DF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39A28B9D">
            <w:pPr>
              <w:pStyle w:val="49"/>
            </w:pPr>
            <w:r>
              <w:t>Data Masking Policy</w:t>
            </w:r>
          </w:p>
        </w:tc>
        <w:tc>
          <w:tcPr>
            <w:tcW w:w="4678" w:type="dxa"/>
          </w:tcPr>
          <w:p w14:paraId="2BD2CDE5">
            <w:pPr>
              <w:pStyle w:val="49"/>
            </w:pPr>
            <w:r>
              <w:t>The use of data masking techniques such as anonymization and pseudonymization to protect personally identifiable information (PII).</w:t>
            </w:r>
          </w:p>
        </w:tc>
        <w:tc>
          <w:tcPr>
            <w:tcW w:w="2642" w:type="dxa"/>
          </w:tcPr>
          <w:p w14:paraId="51318516">
            <w:pPr>
              <w:pStyle w:val="49"/>
            </w:pPr>
            <w:r>
              <w:t>Employees responsible for designing and managing systems using personal data</w:t>
            </w:r>
          </w:p>
        </w:tc>
      </w:tr>
      <w:tr w14:paraId="353CC03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E476A4F">
            <w:pPr>
              <w:pStyle w:val="49"/>
            </w:pPr>
            <w:r>
              <w:t>Data Leakage Prevention Policy</w:t>
            </w:r>
          </w:p>
        </w:tc>
        <w:tc>
          <w:tcPr>
            <w:tcW w:w="4678" w:type="dxa"/>
          </w:tcPr>
          <w:p w14:paraId="74C64C03">
            <w:pPr>
              <w:pStyle w:val="49"/>
            </w:pPr>
            <w:r>
              <w:t>The configuration of relevant software tools to detect and prevent leakage of data.</w:t>
            </w:r>
          </w:p>
        </w:tc>
        <w:tc>
          <w:tcPr>
            <w:tcW w:w="2642" w:type="dxa"/>
          </w:tcPr>
          <w:p w14:paraId="765EFDD5">
            <w:pPr>
              <w:pStyle w:val="49"/>
            </w:pPr>
            <w:r>
              <w:t>Employees responsible for designing systems and managing service delivery</w:t>
            </w:r>
          </w:p>
        </w:tc>
      </w:tr>
      <w:tr w14:paraId="5E130AE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76A64D0D">
            <w:pPr>
              <w:pStyle w:val="49"/>
            </w:pPr>
            <w:r>
              <w:t>Monitoring Policy</w:t>
            </w:r>
          </w:p>
        </w:tc>
        <w:tc>
          <w:tcPr>
            <w:tcW w:w="4678" w:type="dxa"/>
          </w:tcPr>
          <w:p w14:paraId="64E6D478">
            <w:pPr>
              <w:pStyle w:val="49"/>
            </w:pPr>
            <w:r>
              <w:t>The monitoring of the ICT environment to detect anomalous activity.</w:t>
            </w:r>
          </w:p>
        </w:tc>
        <w:tc>
          <w:tcPr>
            <w:tcW w:w="2642" w:type="dxa"/>
          </w:tcPr>
          <w:p w14:paraId="0671FD67">
            <w:pPr>
              <w:pStyle w:val="49"/>
            </w:pPr>
            <w:r>
              <w:t>Employees responsible for designing systems and managing service delivery</w:t>
            </w:r>
          </w:p>
        </w:tc>
      </w:tr>
      <w:tr w14:paraId="4E733D2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11A7B533">
            <w:pPr>
              <w:pStyle w:val="49"/>
            </w:pPr>
            <w:r>
              <w:t>Web Filtering Policy</w:t>
            </w:r>
          </w:p>
        </w:tc>
        <w:tc>
          <w:tcPr>
            <w:tcW w:w="4678" w:type="dxa"/>
          </w:tcPr>
          <w:p w14:paraId="69DF1541">
            <w:pPr>
              <w:pStyle w:val="49"/>
            </w:pPr>
            <w:r>
              <w:t>Restricting access to Internet sites that are deemed inappropriate.</w:t>
            </w:r>
          </w:p>
        </w:tc>
        <w:tc>
          <w:tcPr>
            <w:tcW w:w="2642" w:type="dxa"/>
          </w:tcPr>
          <w:p w14:paraId="2E3F5381">
            <w:pPr>
              <w:pStyle w:val="49"/>
            </w:pPr>
            <w:r>
              <w:t>Employees responsible for designing systems and managing service delivery</w:t>
            </w:r>
          </w:p>
        </w:tc>
      </w:tr>
      <w:tr w14:paraId="0664C1A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35FCD67B">
            <w:pPr>
              <w:pStyle w:val="49"/>
            </w:pPr>
            <w:r>
              <w:t>Secure Coding Policy</w:t>
            </w:r>
          </w:p>
        </w:tc>
        <w:tc>
          <w:tcPr>
            <w:tcW w:w="4678" w:type="dxa"/>
          </w:tcPr>
          <w:p w14:paraId="3FBD0F11">
            <w:pPr>
              <w:pStyle w:val="49"/>
            </w:pPr>
            <w:r>
              <w:t>The principles that will be used when developing secure code.</w:t>
            </w:r>
          </w:p>
        </w:tc>
        <w:tc>
          <w:tcPr>
            <w:tcW w:w="2642" w:type="dxa"/>
          </w:tcPr>
          <w:p w14:paraId="52F7C59C">
            <w:pPr>
              <w:pStyle w:val="49"/>
            </w:pPr>
            <w:r>
              <w:t>Employees responsible for designing, managing and writing code for bespoke software developments</w:t>
            </w:r>
          </w:p>
        </w:tc>
      </w:tr>
      <w:tr w14:paraId="75711CF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6264C355">
            <w:pPr>
              <w:pStyle w:val="49"/>
            </w:pPr>
            <w:r>
              <w:t>Threat Intelligence Policy</w:t>
            </w:r>
          </w:p>
        </w:tc>
        <w:tc>
          <w:tcPr>
            <w:tcW w:w="4678" w:type="dxa"/>
          </w:tcPr>
          <w:p w14:paraId="4EA67429">
            <w:pPr>
              <w:pStyle w:val="49"/>
            </w:pPr>
            <w:r>
              <w:t>The collection and use of threat intelligence at the strategic, tactical and operational levels.</w:t>
            </w:r>
          </w:p>
        </w:tc>
        <w:tc>
          <w:tcPr>
            <w:tcW w:w="2642" w:type="dxa"/>
          </w:tcPr>
          <w:p w14:paraId="62C33264">
            <w:pPr>
              <w:pStyle w:val="49"/>
            </w:pPr>
            <w:r>
              <w:t>Employees responsible for protecting the organization’s infrastructure from attacks</w:t>
            </w:r>
          </w:p>
        </w:tc>
      </w:tr>
      <w:tr w14:paraId="0C9EB4A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696" w:type="dxa"/>
          </w:tcPr>
          <w:p w14:paraId="55C1B1E2">
            <w:pPr>
              <w:pStyle w:val="49"/>
            </w:pPr>
            <w:r>
              <w:t>Information Security Whistleblowing Policy</w:t>
            </w:r>
          </w:p>
        </w:tc>
        <w:tc>
          <w:tcPr>
            <w:tcW w:w="4678" w:type="dxa"/>
          </w:tcPr>
          <w:p w14:paraId="02D212F5">
            <w:pPr>
              <w:pStyle w:val="49"/>
            </w:pPr>
            <w:r>
              <w:t>The raising of issues about information security within the organization.</w:t>
            </w:r>
          </w:p>
        </w:tc>
        <w:tc>
          <w:tcPr>
            <w:tcW w:w="2642" w:type="dxa"/>
          </w:tcPr>
          <w:p w14:paraId="502DEB0A">
            <w:pPr>
              <w:pStyle w:val="49"/>
            </w:pPr>
            <w:r>
              <w:t>All employees and other interested parties</w:t>
            </w:r>
          </w:p>
        </w:tc>
      </w:tr>
    </w:tbl>
    <w:p w14:paraId="4478D752">
      <w:pPr>
        <w:pStyle w:val="14"/>
      </w:pPr>
      <w:r>
        <w:br w:type="textWrapping"/>
      </w:r>
      <w:bookmarkStart w:id="12" w:name="_Toc110936170"/>
      <w:r>
        <w:t xml:space="preserve">Table </w:t>
      </w:r>
      <w:r>
        <w:fldChar w:fldCharType="begin"/>
      </w:r>
      <w:r>
        <w:instrText xml:space="preserve"> SEQ Table \* ARABIC </w:instrText>
      </w:r>
      <w:r>
        <w:fldChar w:fldCharType="separate"/>
      </w:r>
      <w:r>
        <w:t>1</w:t>
      </w:r>
      <w:r>
        <w:fldChar w:fldCharType="end"/>
      </w:r>
      <w:bookmarkStart w:id="13" w:name="_Toc15431"/>
      <w:r>
        <w:t>: Set of policy documents</w:t>
      </w:r>
      <w:bookmarkEnd w:id="12"/>
      <w:bookmarkEnd w:id="13"/>
    </w:p>
    <w:p w14:paraId="5E567178"/>
    <w:p w14:paraId="01A39CBE">
      <w:pPr>
        <w:pStyle w:val="3"/>
        <w:ind w:left="816" w:leftChars="0" w:firstLineChars="0"/>
        <w:rPr>
          <w:color w:val="00B050"/>
        </w:rPr>
      </w:pPr>
      <w:bookmarkStart w:id="14" w:name="_Toc110936169"/>
      <w:r>
        <w:rPr>
          <w:color w:val="00B050"/>
        </w:rPr>
        <w:t>Application of information security policy</w:t>
      </w:r>
      <w:bookmarkEnd w:id="14"/>
    </w:p>
    <w:p w14:paraId="5A3961C0">
      <w:r>
        <w:t xml:space="preserve">The policy statements made in this document and in the set of supporting policies listed in Table 1 have been reviewed and approved by the top management of </w:t>
      </w:r>
      <w:r>
        <w:rPr>
          <w:rFonts w:hint="default"/>
          <w:lang w:val="en-US"/>
        </w:rPr>
        <w:t>Alpha Tech</w:t>
      </w:r>
      <w:r>
        <w:t xml:space="preserve"> and must be complied with. Failure by an employee to comply with these policies may result in disciplinary action being taken in accordance with the organization’s </w:t>
      </w:r>
      <w:r>
        <w:rPr>
          <w:i/>
          <w:iCs/>
        </w:rPr>
        <w:t>Employee Disciplinary Process</w:t>
      </w:r>
      <w:r>
        <w:t xml:space="preserve">. </w:t>
      </w:r>
    </w:p>
    <w:p w14:paraId="3727F8A9">
      <w:r>
        <w:t xml:space="preserve">Questions regarding any </w:t>
      </w:r>
      <w:r>
        <w:rPr>
          <w:rFonts w:hint="default"/>
          <w:lang w:val="en-US"/>
        </w:rPr>
        <w:t xml:space="preserve">Alpha Tech </w:t>
      </w:r>
      <w:r>
        <w:t>policy should be addressed in the first instance to the employee’s immediate line manager.</w:t>
      </w:r>
    </w:p>
    <w:sectPr>
      <w:headerReference r:id="rId5" w:type="default"/>
      <w:footerReference r:id="rId6" w:type="default"/>
      <w:pgSz w:w="11906" w:h="16838"/>
      <w:pgMar w:top="1440" w:right="1440" w:bottom="1440" w:left="1440" w:header="708" w:footer="708" w:gutter="0"/>
      <w:pgNumType w:fmt="decimal"/>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AED78">
    <w:pPr>
      <w:pStyle w:val="17"/>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0479"/>
                            <w:docPartObj>
                              <w:docPartGallery w:val="autotext"/>
                            </w:docPartObj>
                          </w:sdtPr>
                          <w:sdtContent>
                            <w:p w14:paraId="7A4CA88D">
                              <w:pPr>
                                <w:pStyle w:val="17"/>
                              </w:pPr>
                              <w:r>
                                <w:t xml:space="preserve">Version </w:t>
                              </w:r>
                              <w:r>
                                <w:rPr>
                                  <w:rFonts w:hint="default"/>
                                  <w:lang w:val="en-US"/>
                                </w:rPr>
                                <w:t>1</w:t>
                              </w:r>
                              <w:r>
                                <w:tab/>
                              </w:r>
                              <w:r>
                                <w:t xml:space="preserve">Page </w:t>
                              </w:r>
                              <w:r>
                                <w:fldChar w:fldCharType="begin"/>
                              </w:r>
                              <w:r>
                                <w:instrText xml:space="preserve"> PAGE  \* Arabic  \* MERGEFORMAT </w:instrText>
                              </w:r>
                              <w:r>
                                <w:fldChar w:fldCharType="separate"/>
                              </w:r>
                              <w:r>
                                <w:t>6</w:t>
                              </w:r>
                              <w:r>
                                <w:fldChar w:fldCharType="end"/>
                              </w:r>
                              <w:r>
                                <w:t xml:space="preserve"> of </w:t>
                              </w:r>
                              <w:r>
                                <w:fldChar w:fldCharType="begin"/>
                              </w:r>
                              <w:r>
                                <w:instrText xml:space="preserve"> NUMPAGES  \* Arabic  \* MERGEFORMAT </w:instrText>
                              </w:r>
                              <w:r>
                                <w:fldChar w:fldCharType="separate"/>
                              </w:r>
                              <w:r>
                                <w:t>19</w:t>
                              </w:r>
                              <w:r>
                                <w:fldChar w:fldCharType="end"/>
                              </w:r>
                              <w:r>
                                <w:tab/>
                              </w:r>
                              <w:r>
                                <w:rPr>
                                  <w:rFonts w:hint="default"/>
                                  <w:lang w:val="en-US"/>
                                </w:rPr>
                                <w:t>28/8/2025</w:t>
                              </w:r>
                            </w:p>
                          </w:sdtContent>
                        </w:sdt>
                        <w:p w14:paraId="609F9D36"/>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sdt>
                    <w:sdtPr>
                      <w:id w:val="147460479"/>
                      <w:docPartObj>
                        <w:docPartGallery w:val="autotext"/>
                      </w:docPartObj>
                    </w:sdtPr>
                    <w:sdtContent>
                      <w:p w14:paraId="7A4CA88D">
                        <w:pPr>
                          <w:pStyle w:val="17"/>
                        </w:pPr>
                        <w:r>
                          <w:t xml:space="preserve">Version </w:t>
                        </w:r>
                        <w:r>
                          <w:rPr>
                            <w:rFonts w:hint="default"/>
                            <w:lang w:val="en-US"/>
                          </w:rPr>
                          <w:t>1</w:t>
                        </w:r>
                        <w:r>
                          <w:tab/>
                        </w:r>
                        <w:r>
                          <w:t xml:space="preserve">Page </w:t>
                        </w:r>
                        <w:r>
                          <w:fldChar w:fldCharType="begin"/>
                        </w:r>
                        <w:r>
                          <w:instrText xml:space="preserve"> PAGE  \* Arabic  \* MERGEFORMAT </w:instrText>
                        </w:r>
                        <w:r>
                          <w:fldChar w:fldCharType="separate"/>
                        </w:r>
                        <w:r>
                          <w:t>6</w:t>
                        </w:r>
                        <w:r>
                          <w:fldChar w:fldCharType="end"/>
                        </w:r>
                        <w:r>
                          <w:t xml:space="preserve"> of </w:t>
                        </w:r>
                        <w:r>
                          <w:fldChar w:fldCharType="begin"/>
                        </w:r>
                        <w:r>
                          <w:instrText xml:space="preserve"> NUMPAGES  \* Arabic  \* MERGEFORMAT </w:instrText>
                        </w:r>
                        <w:r>
                          <w:fldChar w:fldCharType="separate"/>
                        </w:r>
                        <w:r>
                          <w:t>19</w:t>
                        </w:r>
                        <w:r>
                          <w:fldChar w:fldCharType="end"/>
                        </w:r>
                        <w:r>
                          <w:tab/>
                        </w:r>
                        <w:r>
                          <w:rPr>
                            <w:rFonts w:hint="default"/>
                            <w:lang w:val="en-US"/>
                          </w:rPr>
                          <w:t>28/8/2025</w:t>
                        </w:r>
                      </w:p>
                    </w:sdtContent>
                  </w:sdt>
                  <w:p w14:paraId="609F9D36"/>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AB8FE8">
    <w:pPr>
      <w:pStyle w:val="18"/>
      <w:jc w:val="center"/>
      <w:rPr>
        <w:rFonts w:hint="default"/>
        <w:lang w:val="en-US"/>
      </w:rPr>
    </w:pPr>
    <w:r>
      <w:t>Information Security Policy</w:t>
    </w:r>
    <w:r>
      <w:br w:type="textWrapping"/>
    </w:r>
    <w:r>
      <w:rPr>
        <w:rFonts w:hint="default"/>
        <w:lang w:val="en-US"/>
      </w:rPr>
      <w:t>(Confidential)</w:t>
    </w:r>
  </w:p>
  <w:p w14:paraId="058257F8">
    <w:pPr>
      <w:pStyle w:val="1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17E78"/>
    <w:multiLevelType w:val="multilevel"/>
    <w:tmpl w:val="29317E7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81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2566"/>
        </w:tabs>
        <w:ind w:left="2566"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
    <w:nsid w:val="70082503"/>
    <w:multiLevelType w:val="multilevel"/>
    <w:tmpl w:val="70082503"/>
    <w:lvl w:ilvl="0" w:tentative="0">
      <w:start w:val="1"/>
      <w:numFmt w:val="bullet"/>
      <w:pStyle w:val="37"/>
      <w:lvlText w:val=""/>
      <w:lvlJc w:val="left"/>
      <w:pPr>
        <w:ind w:left="1080" w:hanging="360"/>
      </w:pPr>
      <w:rPr>
        <w:rFonts w:hint="default" w:ascii="Symbol" w:hAnsi="Symbol"/>
      </w:rPr>
    </w:lvl>
    <w:lvl w:ilvl="1" w:tentative="0">
      <w:start w:val="1"/>
      <w:numFmt w:val="bullet"/>
      <w:lvlText w:val="o"/>
      <w:lvlJc w:val="left"/>
      <w:pPr>
        <w:ind w:left="3000" w:hanging="360"/>
      </w:pPr>
      <w:rPr>
        <w:rFonts w:hint="default" w:ascii="Courier New" w:hAnsi="Courier New" w:cs="Courier New"/>
      </w:rPr>
    </w:lvl>
    <w:lvl w:ilvl="2" w:tentative="0">
      <w:start w:val="1"/>
      <w:numFmt w:val="bullet"/>
      <w:lvlText w:val=""/>
      <w:lvlJc w:val="left"/>
      <w:pPr>
        <w:ind w:left="3720" w:hanging="360"/>
      </w:pPr>
      <w:rPr>
        <w:rFonts w:hint="default" w:ascii="Wingdings" w:hAnsi="Wingdings"/>
      </w:rPr>
    </w:lvl>
    <w:lvl w:ilvl="3" w:tentative="0">
      <w:start w:val="0"/>
      <w:numFmt w:val="bullet"/>
      <w:lvlText w:val="•"/>
      <w:lvlJc w:val="left"/>
      <w:pPr>
        <w:ind w:left="4800" w:hanging="720"/>
      </w:pPr>
      <w:rPr>
        <w:rFonts w:hint="default" w:ascii="Calibri" w:hAnsi="Calibri" w:eastAsia="Times New Roman" w:cs="Calibri"/>
      </w:rPr>
    </w:lvl>
    <w:lvl w:ilvl="4" w:tentative="0">
      <w:start w:val="1"/>
      <w:numFmt w:val="bullet"/>
      <w:lvlText w:val="o"/>
      <w:lvlJc w:val="left"/>
      <w:pPr>
        <w:ind w:left="5160" w:hanging="360"/>
      </w:pPr>
      <w:rPr>
        <w:rFonts w:hint="default" w:ascii="Courier New" w:hAnsi="Courier New" w:cs="Courier New"/>
      </w:rPr>
    </w:lvl>
    <w:lvl w:ilvl="5" w:tentative="0">
      <w:start w:val="1"/>
      <w:numFmt w:val="bullet"/>
      <w:lvlText w:val=""/>
      <w:lvlJc w:val="left"/>
      <w:pPr>
        <w:ind w:left="5880" w:hanging="360"/>
      </w:pPr>
      <w:rPr>
        <w:rFonts w:hint="default" w:ascii="Wingdings" w:hAnsi="Wingdings"/>
      </w:rPr>
    </w:lvl>
    <w:lvl w:ilvl="6" w:tentative="0">
      <w:start w:val="1"/>
      <w:numFmt w:val="bullet"/>
      <w:lvlText w:val=""/>
      <w:lvlJc w:val="left"/>
      <w:pPr>
        <w:ind w:left="6600" w:hanging="360"/>
      </w:pPr>
      <w:rPr>
        <w:rFonts w:hint="default" w:ascii="Symbol" w:hAnsi="Symbol"/>
      </w:rPr>
    </w:lvl>
    <w:lvl w:ilvl="7" w:tentative="0">
      <w:start w:val="1"/>
      <w:numFmt w:val="bullet"/>
      <w:lvlText w:val="o"/>
      <w:lvlJc w:val="left"/>
      <w:pPr>
        <w:ind w:left="7320" w:hanging="360"/>
      </w:pPr>
      <w:rPr>
        <w:rFonts w:hint="default" w:ascii="Courier New" w:hAnsi="Courier New" w:cs="Courier New"/>
      </w:rPr>
    </w:lvl>
    <w:lvl w:ilvl="8" w:tentative="0">
      <w:start w:val="1"/>
      <w:numFmt w:val="bullet"/>
      <w:lvlText w:val=""/>
      <w:lvlJc w:val="left"/>
      <w:pPr>
        <w:ind w:left="80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DA"/>
    <w:rsid w:val="00001C0D"/>
    <w:rsid w:val="0000372A"/>
    <w:rsid w:val="00003F21"/>
    <w:rsid w:val="00004B99"/>
    <w:rsid w:val="00006F51"/>
    <w:rsid w:val="0001020F"/>
    <w:rsid w:val="000129D0"/>
    <w:rsid w:val="00012EC1"/>
    <w:rsid w:val="00013E93"/>
    <w:rsid w:val="0001512E"/>
    <w:rsid w:val="00017A36"/>
    <w:rsid w:val="000256C0"/>
    <w:rsid w:val="000258A6"/>
    <w:rsid w:val="00034B84"/>
    <w:rsid w:val="00035347"/>
    <w:rsid w:val="000420FA"/>
    <w:rsid w:val="00042616"/>
    <w:rsid w:val="00047103"/>
    <w:rsid w:val="0005129D"/>
    <w:rsid w:val="000515E7"/>
    <w:rsid w:val="00052141"/>
    <w:rsid w:val="00053F3E"/>
    <w:rsid w:val="0005495D"/>
    <w:rsid w:val="00055B4F"/>
    <w:rsid w:val="00056382"/>
    <w:rsid w:val="000576C0"/>
    <w:rsid w:val="00064A4B"/>
    <w:rsid w:val="000729A8"/>
    <w:rsid w:val="00076155"/>
    <w:rsid w:val="00081DA9"/>
    <w:rsid w:val="00081F59"/>
    <w:rsid w:val="000820F5"/>
    <w:rsid w:val="00082886"/>
    <w:rsid w:val="00085A6C"/>
    <w:rsid w:val="00086FF9"/>
    <w:rsid w:val="00091DC4"/>
    <w:rsid w:val="00092255"/>
    <w:rsid w:val="000A0893"/>
    <w:rsid w:val="000A1014"/>
    <w:rsid w:val="000A7591"/>
    <w:rsid w:val="000A7A55"/>
    <w:rsid w:val="000A7FDD"/>
    <w:rsid w:val="000B01B9"/>
    <w:rsid w:val="000C0D60"/>
    <w:rsid w:val="000C3655"/>
    <w:rsid w:val="000D20FC"/>
    <w:rsid w:val="000D2C76"/>
    <w:rsid w:val="000D5326"/>
    <w:rsid w:val="000E2F4E"/>
    <w:rsid w:val="000E76BA"/>
    <w:rsid w:val="000F0BAF"/>
    <w:rsid w:val="000F108B"/>
    <w:rsid w:val="000F2FDD"/>
    <w:rsid w:val="000F55C5"/>
    <w:rsid w:val="00100598"/>
    <w:rsid w:val="001056C3"/>
    <w:rsid w:val="0010582F"/>
    <w:rsid w:val="00105B83"/>
    <w:rsid w:val="00106494"/>
    <w:rsid w:val="00106D45"/>
    <w:rsid w:val="00106DBF"/>
    <w:rsid w:val="001150AE"/>
    <w:rsid w:val="00122172"/>
    <w:rsid w:val="001221FB"/>
    <w:rsid w:val="00124A8D"/>
    <w:rsid w:val="001253BE"/>
    <w:rsid w:val="001275CA"/>
    <w:rsid w:val="00130118"/>
    <w:rsid w:val="0013036E"/>
    <w:rsid w:val="00130BC9"/>
    <w:rsid w:val="00131A30"/>
    <w:rsid w:val="00137105"/>
    <w:rsid w:val="00140056"/>
    <w:rsid w:val="00140EEA"/>
    <w:rsid w:val="00141CA8"/>
    <w:rsid w:val="001425DA"/>
    <w:rsid w:val="001427D6"/>
    <w:rsid w:val="00144EAB"/>
    <w:rsid w:val="00145421"/>
    <w:rsid w:val="00146D14"/>
    <w:rsid w:val="00147A53"/>
    <w:rsid w:val="00147E34"/>
    <w:rsid w:val="001501C9"/>
    <w:rsid w:val="00152454"/>
    <w:rsid w:val="00153412"/>
    <w:rsid w:val="00153EFB"/>
    <w:rsid w:val="00162CFC"/>
    <w:rsid w:val="00163717"/>
    <w:rsid w:val="00164528"/>
    <w:rsid w:val="00165503"/>
    <w:rsid w:val="00166A78"/>
    <w:rsid w:val="001712E9"/>
    <w:rsid w:val="00171F17"/>
    <w:rsid w:val="00173862"/>
    <w:rsid w:val="00180BB7"/>
    <w:rsid w:val="0018261F"/>
    <w:rsid w:val="00186DAA"/>
    <w:rsid w:val="0019363E"/>
    <w:rsid w:val="00194ABC"/>
    <w:rsid w:val="001A002C"/>
    <w:rsid w:val="001A3194"/>
    <w:rsid w:val="001A4EC3"/>
    <w:rsid w:val="001A6282"/>
    <w:rsid w:val="001B498B"/>
    <w:rsid w:val="001B6FF4"/>
    <w:rsid w:val="001C3FFD"/>
    <w:rsid w:val="001D22BB"/>
    <w:rsid w:val="001D41E2"/>
    <w:rsid w:val="001D7612"/>
    <w:rsid w:val="001D7AC7"/>
    <w:rsid w:val="001D7C72"/>
    <w:rsid w:val="001E1EA4"/>
    <w:rsid w:val="001E58A5"/>
    <w:rsid w:val="001E74C6"/>
    <w:rsid w:val="001E7D41"/>
    <w:rsid w:val="001F0D2C"/>
    <w:rsid w:val="001F1B56"/>
    <w:rsid w:val="00201342"/>
    <w:rsid w:val="002028A0"/>
    <w:rsid w:val="00221345"/>
    <w:rsid w:val="0022262E"/>
    <w:rsid w:val="00234B63"/>
    <w:rsid w:val="00245D93"/>
    <w:rsid w:val="00246130"/>
    <w:rsid w:val="00246815"/>
    <w:rsid w:val="00247910"/>
    <w:rsid w:val="0025147A"/>
    <w:rsid w:val="00251A70"/>
    <w:rsid w:val="002525A7"/>
    <w:rsid w:val="00252738"/>
    <w:rsid w:val="00254F2F"/>
    <w:rsid w:val="00256F53"/>
    <w:rsid w:val="002601A5"/>
    <w:rsid w:val="00260D18"/>
    <w:rsid w:val="002637CF"/>
    <w:rsid w:val="0026555B"/>
    <w:rsid w:val="00265BC1"/>
    <w:rsid w:val="0027178E"/>
    <w:rsid w:val="00273E7A"/>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31A1"/>
    <w:rsid w:val="002A51D6"/>
    <w:rsid w:val="002A6380"/>
    <w:rsid w:val="002A7264"/>
    <w:rsid w:val="002B19FC"/>
    <w:rsid w:val="002C5126"/>
    <w:rsid w:val="002D08B7"/>
    <w:rsid w:val="002D10AD"/>
    <w:rsid w:val="002D2A6C"/>
    <w:rsid w:val="002D438E"/>
    <w:rsid w:val="002E0578"/>
    <w:rsid w:val="002E56FD"/>
    <w:rsid w:val="002F04CF"/>
    <w:rsid w:val="002F0DE1"/>
    <w:rsid w:val="003037EF"/>
    <w:rsid w:val="003048E6"/>
    <w:rsid w:val="003065A9"/>
    <w:rsid w:val="00314516"/>
    <w:rsid w:val="0032448D"/>
    <w:rsid w:val="003248FB"/>
    <w:rsid w:val="00326B9B"/>
    <w:rsid w:val="003349D0"/>
    <w:rsid w:val="00341FEC"/>
    <w:rsid w:val="003423DA"/>
    <w:rsid w:val="00343FDE"/>
    <w:rsid w:val="00347498"/>
    <w:rsid w:val="00351B9E"/>
    <w:rsid w:val="003527CB"/>
    <w:rsid w:val="00354E04"/>
    <w:rsid w:val="003709F5"/>
    <w:rsid w:val="00376A4B"/>
    <w:rsid w:val="00384CE5"/>
    <w:rsid w:val="00387880"/>
    <w:rsid w:val="0039057A"/>
    <w:rsid w:val="00391D69"/>
    <w:rsid w:val="003938E5"/>
    <w:rsid w:val="003A198B"/>
    <w:rsid w:val="003A2746"/>
    <w:rsid w:val="003A2EA3"/>
    <w:rsid w:val="003A3C11"/>
    <w:rsid w:val="003A526B"/>
    <w:rsid w:val="003A594E"/>
    <w:rsid w:val="003A7F9C"/>
    <w:rsid w:val="003B67B7"/>
    <w:rsid w:val="003C1B62"/>
    <w:rsid w:val="003C2320"/>
    <w:rsid w:val="003C4FD5"/>
    <w:rsid w:val="003D4C4A"/>
    <w:rsid w:val="003D51A0"/>
    <w:rsid w:val="003D625D"/>
    <w:rsid w:val="003E0280"/>
    <w:rsid w:val="003E234C"/>
    <w:rsid w:val="003E2C7D"/>
    <w:rsid w:val="003E562D"/>
    <w:rsid w:val="003E5ECD"/>
    <w:rsid w:val="003F05AC"/>
    <w:rsid w:val="003F05C1"/>
    <w:rsid w:val="003F0898"/>
    <w:rsid w:val="003F0D4F"/>
    <w:rsid w:val="003F169C"/>
    <w:rsid w:val="003F3CEB"/>
    <w:rsid w:val="003F70E0"/>
    <w:rsid w:val="004001B8"/>
    <w:rsid w:val="00400295"/>
    <w:rsid w:val="00404D54"/>
    <w:rsid w:val="00404F38"/>
    <w:rsid w:val="00405043"/>
    <w:rsid w:val="0040619E"/>
    <w:rsid w:val="004068EA"/>
    <w:rsid w:val="00407FFB"/>
    <w:rsid w:val="004100BD"/>
    <w:rsid w:val="0041386E"/>
    <w:rsid w:val="0041406E"/>
    <w:rsid w:val="00415FE2"/>
    <w:rsid w:val="00420548"/>
    <w:rsid w:val="00425E84"/>
    <w:rsid w:val="00426659"/>
    <w:rsid w:val="0042666B"/>
    <w:rsid w:val="00427115"/>
    <w:rsid w:val="00427FAA"/>
    <w:rsid w:val="004334AE"/>
    <w:rsid w:val="004379AD"/>
    <w:rsid w:val="00440602"/>
    <w:rsid w:val="00441309"/>
    <w:rsid w:val="0044222A"/>
    <w:rsid w:val="004429CD"/>
    <w:rsid w:val="00445905"/>
    <w:rsid w:val="004464D3"/>
    <w:rsid w:val="00447ADC"/>
    <w:rsid w:val="00447B53"/>
    <w:rsid w:val="00451D57"/>
    <w:rsid w:val="004564D7"/>
    <w:rsid w:val="00457E5A"/>
    <w:rsid w:val="004604F7"/>
    <w:rsid w:val="0046075D"/>
    <w:rsid w:val="00462831"/>
    <w:rsid w:val="004647A4"/>
    <w:rsid w:val="0046502E"/>
    <w:rsid w:val="00466210"/>
    <w:rsid w:val="00466C62"/>
    <w:rsid w:val="004709D6"/>
    <w:rsid w:val="00477002"/>
    <w:rsid w:val="00477706"/>
    <w:rsid w:val="00482FD1"/>
    <w:rsid w:val="00485CCF"/>
    <w:rsid w:val="00490EB9"/>
    <w:rsid w:val="004929DA"/>
    <w:rsid w:val="00492B72"/>
    <w:rsid w:val="00493B9F"/>
    <w:rsid w:val="00496B57"/>
    <w:rsid w:val="00496BD4"/>
    <w:rsid w:val="00497F62"/>
    <w:rsid w:val="004A112F"/>
    <w:rsid w:val="004A34B3"/>
    <w:rsid w:val="004A3F5B"/>
    <w:rsid w:val="004A7798"/>
    <w:rsid w:val="004B033F"/>
    <w:rsid w:val="004B139C"/>
    <w:rsid w:val="004B17A9"/>
    <w:rsid w:val="004B42BC"/>
    <w:rsid w:val="004B532C"/>
    <w:rsid w:val="004B5AE6"/>
    <w:rsid w:val="004B7A8D"/>
    <w:rsid w:val="004C0B96"/>
    <w:rsid w:val="004C0E53"/>
    <w:rsid w:val="004C1191"/>
    <w:rsid w:val="004C1BA1"/>
    <w:rsid w:val="004C444C"/>
    <w:rsid w:val="004C5742"/>
    <w:rsid w:val="004C71FE"/>
    <w:rsid w:val="004C7A4F"/>
    <w:rsid w:val="004D7A2C"/>
    <w:rsid w:val="004E0B8D"/>
    <w:rsid w:val="004E3AE1"/>
    <w:rsid w:val="004F48A9"/>
    <w:rsid w:val="004F7013"/>
    <w:rsid w:val="0050095B"/>
    <w:rsid w:val="00501199"/>
    <w:rsid w:val="00507F25"/>
    <w:rsid w:val="005169E1"/>
    <w:rsid w:val="005203AC"/>
    <w:rsid w:val="00521B5A"/>
    <w:rsid w:val="0052352F"/>
    <w:rsid w:val="00523E7F"/>
    <w:rsid w:val="00524A35"/>
    <w:rsid w:val="00526600"/>
    <w:rsid w:val="005271F3"/>
    <w:rsid w:val="00530E32"/>
    <w:rsid w:val="005310F7"/>
    <w:rsid w:val="0053395E"/>
    <w:rsid w:val="00541A32"/>
    <w:rsid w:val="00543FB8"/>
    <w:rsid w:val="00544036"/>
    <w:rsid w:val="00546E27"/>
    <w:rsid w:val="0055178D"/>
    <w:rsid w:val="00551C49"/>
    <w:rsid w:val="00552806"/>
    <w:rsid w:val="0055307A"/>
    <w:rsid w:val="005548CE"/>
    <w:rsid w:val="005604B3"/>
    <w:rsid w:val="005608C3"/>
    <w:rsid w:val="0056190E"/>
    <w:rsid w:val="00564447"/>
    <w:rsid w:val="005645E0"/>
    <w:rsid w:val="00570D87"/>
    <w:rsid w:val="00571EB0"/>
    <w:rsid w:val="005730F7"/>
    <w:rsid w:val="00573FF8"/>
    <w:rsid w:val="005747EF"/>
    <w:rsid w:val="00574F07"/>
    <w:rsid w:val="005765CF"/>
    <w:rsid w:val="00580118"/>
    <w:rsid w:val="005828CC"/>
    <w:rsid w:val="00586676"/>
    <w:rsid w:val="00593525"/>
    <w:rsid w:val="0059473E"/>
    <w:rsid w:val="00594A25"/>
    <w:rsid w:val="00597295"/>
    <w:rsid w:val="005A2259"/>
    <w:rsid w:val="005A3E0D"/>
    <w:rsid w:val="005A4858"/>
    <w:rsid w:val="005A5802"/>
    <w:rsid w:val="005A59F4"/>
    <w:rsid w:val="005B4674"/>
    <w:rsid w:val="005B573B"/>
    <w:rsid w:val="005B613C"/>
    <w:rsid w:val="005C1475"/>
    <w:rsid w:val="005C17DA"/>
    <w:rsid w:val="005C42AB"/>
    <w:rsid w:val="005C4FBB"/>
    <w:rsid w:val="005C7166"/>
    <w:rsid w:val="005C790C"/>
    <w:rsid w:val="005D3174"/>
    <w:rsid w:val="005D71EE"/>
    <w:rsid w:val="005D7FFC"/>
    <w:rsid w:val="005E014F"/>
    <w:rsid w:val="005E23F7"/>
    <w:rsid w:val="005E36D3"/>
    <w:rsid w:val="005E441F"/>
    <w:rsid w:val="005E5035"/>
    <w:rsid w:val="005E5372"/>
    <w:rsid w:val="005E610D"/>
    <w:rsid w:val="005F32A3"/>
    <w:rsid w:val="005F5487"/>
    <w:rsid w:val="005F5931"/>
    <w:rsid w:val="005F64E8"/>
    <w:rsid w:val="005F6CE2"/>
    <w:rsid w:val="006014E2"/>
    <w:rsid w:val="0060287A"/>
    <w:rsid w:val="006077BF"/>
    <w:rsid w:val="00607EBD"/>
    <w:rsid w:val="00611652"/>
    <w:rsid w:val="0061201C"/>
    <w:rsid w:val="00612402"/>
    <w:rsid w:val="00623927"/>
    <w:rsid w:val="0063784B"/>
    <w:rsid w:val="00637D4A"/>
    <w:rsid w:val="00641467"/>
    <w:rsid w:val="00643DC4"/>
    <w:rsid w:val="00651EBB"/>
    <w:rsid w:val="00651F9C"/>
    <w:rsid w:val="006524E0"/>
    <w:rsid w:val="00652BDF"/>
    <w:rsid w:val="00653DDA"/>
    <w:rsid w:val="00654E79"/>
    <w:rsid w:val="006570BC"/>
    <w:rsid w:val="00662039"/>
    <w:rsid w:val="00662602"/>
    <w:rsid w:val="00662931"/>
    <w:rsid w:val="00663D08"/>
    <w:rsid w:val="006642EB"/>
    <w:rsid w:val="006658F1"/>
    <w:rsid w:val="006709BF"/>
    <w:rsid w:val="00670AE9"/>
    <w:rsid w:val="006716A6"/>
    <w:rsid w:val="00674081"/>
    <w:rsid w:val="00680EF5"/>
    <w:rsid w:val="00682329"/>
    <w:rsid w:val="006841B2"/>
    <w:rsid w:val="00693B03"/>
    <w:rsid w:val="00695282"/>
    <w:rsid w:val="0069655B"/>
    <w:rsid w:val="006A021C"/>
    <w:rsid w:val="006A0315"/>
    <w:rsid w:val="006A116C"/>
    <w:rsid w:val="006A12D7"/>
    <w:rsid w:val="006A4089"/>
    <w:rsid w:val="006A43C8"/>
    <w:rsid w:val="006A789A"/>
    <w:rsid w:val="006A7EC7"/>
    <w:rsid w:val="006B223C"/>
    <w:rsid w:val="006C1C6F"/>
    <w:rsid w:val="006C6815"/>
    <w:rsid w:val="006D1AEE"/>
    <w:rsid w:val="006D404E"/>
    <w:rsid w:val="006D43B0"/>
    <w:rsid w:val="006D54F8"/>
    <w:rsid w:val="006D5709"/>
    <w:rsid w:val="006E0E70"/>
    <w:rsid w:val="006E35E3"/>
    <w:rsid w:val="006E37E9"/>
    <w:rsid w:val="006E4FEE"/>
    <w:rsid w:val="006E726D"/>
    <w:rsid w:val="006F21C7"/>
    <w:rsid w:val="006F7B2A"/>
    <w:rsid w:val="00700570"/>
    <w:rsid w:val="00700E2D"/>
    <w:rsid w:val="00700E89"/>
    <w:rsid w:val="0070268B"/>
    <w:rsid w:val="00711705"/>
    <w:rsid w:val="0071173B"/>
    <w:rsid w:val="007151E5"/>
    <w:rsid w:val="007179F6"/>
    <w:rsid w:val="00717BA9"/>
    <w:rsid w:val="0072364E"/>
    <w:rsid w:val="007241A0"/>
    <w:rsid w:val="007255CD"/>
    <w:rsid w:val="00725750"/>
    <w:rsid w:val="00727C35"/>
    <w:rsid w:val="00733B1F"/>
    <w:rsid w:val="007345E8"/>
    <w:rsid w:val="00735798"/>
    <w:rsid w:val="00740B34"/>
    <w:rsid w:val="0074415B"/>
    <w:rsid w:val="007462AF"/>
    <w:rsid w:val="00746BC3"/>
    <w:rsid w:val="007474F8"/>
    <w:rsid w:val="00750618"/>
    <w:rsid w:val="00753CF1"/>
    <w:rsid w:val="00754350"/>
    <w:rsid w:val="0075463F"/>
    <w:rsid w:val="00757F78"/>
    <w:rsid w:val="00766DD3"/>
    <w:rsid w:val="00770758"/>
    <w:rsid w:val="00770B42"/>
    <w:rsid w:val="00770EE5"/>
    <w:rsid w:val="00771FA3"/>
    <w:rsid w:val="0077563D"/>
    <w:rsid w:val="00776CC8"/>
    <w:rsid w:val="0077785B"/>
    <w:rsid w:val="00787841"/>
    <w:rsid w:val="00791C56"/>
    <w:rsid w:val="0079646F"/>
    <w:rsid w:val="007A28D3"/>
    <w:rsid w:val="007A52BE"/>
    <w:rsid w:val="007A6B8F"/>
    <w:rsid w:val="007A758E"/>
    <w:rsid w:val="007B0F6C"/>
    <w:rsid w:val="007B1970"/>
    <w:rsid w:val="007B248A"/>
    <w:rsid w:val="007B291D"/>
    <w:rsid w:val="007B2B32"/>
    <w:rsid w:val="007B2F00"/>
    <w:rsid w:val="007B40B8"/>
    <w:rsid w:val="007B4583"/>
    <w:rsid w:val="007C692A"/>
    <w:rsid w:val="007D0B74"/>
    <w:rsid w:val="007D52D7"/>
    <w:rsid w:val="007E5229"/>
    <w:rsid w:val="007E6B4A"/>
    <w:rsid w:val="007F0BEB"/>
    <w:rsid w:val="007F15E0"/>
    <w:rsid w:val="007F1AAE"/>
    <w:rsid w:val="008011E3"/>
    <w:rsid w:val="008017E3"/>
    <w:rsid w:val="00801F26"/>
    <w:rsid w:val="00804C96"/>
    <w:rsid w:val="00805FAA"/>
    <w:rsid w:val="00813414"/>
    <w:rsid w:val="0081468C"/>
    <w:rsid w:val="0082077C"/>
    <w:rsid w:val="00820A60"/>
    <w:rsid w:val="00820B01"/>
    <w:rsid w:val="00824328"/>
    <w:rsid w:val="00824A7A"/>
    <w:rsid w:val="00830969"/>
    <w:rsid w:val="008344AE"/>
    <w:rsid w:val="00835DF7"/>
    <w:rsid w:val="00837F7F"/>
    <w:rsid w:val="0084276A"/>
    <w:rsid w:val="00846A66"/>
    <w:rsid w:val="00850378"/>
    <w:rsid w:val="0085055D"/>
    <w:rsid w:val="00852CFE"/>
    <w:rsid w:val="008537C3"/>
    <w:rsid w:val="008540F9"/>
    <w:rsid w:val="00855119"/>
    <w:rsid w:val="008605DF"/>
    <w:rsid w:val="0086060C"/>
    <w:rsid w:val="00864A51"/>
    <w:rsid w:val="00865408"/>
    <w:rsid w:val="00866ACD"/>
    <w:rsid w:val="008679F1"/>
    <w:rsid w:val="00870B2F"/>
    <w:rsid w:val="00875D2C"/>
    <w:rsid w:val="00880D5A"/>
    <w:rsid w:val="0088108F"/>
    <w:rsid w:val="0088388F"/>
    <w:rsid w:val="00890699"/>
    <w:rsid w:val="00891005"/>
    <w:rsid w:val="00891881"/>
    <w:rsid w:val="0089306F"/>
    <w:rsid w:val="00896C44"/>
    <w:rsid w:val="008970E0"/>
    <w:rsid w:val="008976D4"/>
    <w:rsid w:val="008A12F4"/>
    <w:rsid w:val="008A2DE5"/>
    <w:rsid w:val="008A7E34"/>
    <w:rsid w:val="008B4414"/>
    <w:rsid w:val="008B5DFB"/>
    <w:rsid w:val="008B6DC7"/>
    <w:rsid w:val="008B740D"/>
    <w:rsid w:val="008C11EF"/>
    <w:rsid w:val="008C17F5"/>
    <w:rsid w:val="008C3B0A"/>
    <w:rsid w:val="008C6C89"/>
    <w:rsid w:val="008D25CD"/>
    <w:rsid w:val="008D57B4"/>
    <w:rsid w:val="008D5A5E"/>
    <w:rsid w:val="008E7B46"/>
    <w:rsid w:val="008F34E7"/>
    <w:rsid w:val="008F665F"/>
    <w:rsid w:val="00904A72"/>
    <w:rsid w:val="00905161"/>
    <w:rsid w:val="00905F24"/>
    <w:rsid w:val="009104A3"/>
    <w:rsid w:val="00913115"/>
    <w:rsid w:val="00915FE9"/>
    <w:rsid w:val="00927272"/>
    <w:rsid w:val="009316D9"/>
    <w:rsid w:val="00932A3A"/>
    <w:rsid w:val="00935BE3"/>
    <w:rsid w:val="0093608A"/>
    <w:rsid w:val="00945BF3"/>
    <w:rsid w:val="0094753D"/>
    <w:rsid w:val="009607AB"/>
    <w:rsid w:val="0096251A"/>
    <w:rsid w:val="0096307B"/>
    <w:rsid w:val="00964464"/>
    <w:rsid w:val="00964A7F"/>
    <w:rsid w:val="0096572B"/>
    <w:rsid w:val="009665B7"/>
    <w:rsid w:val="00971E31"/>
    <w:rsid w:val="009721C6"/>
    <w:rsid w:val="00973ADF"/>
    <w:rsid w:val="0097633E"/>
    <w:rsid w:val="00976E1E"/>
    <w:rsid w:val="009773D4"/>
    <w:rsid w:val="00980E79"/>
    <w:rsid w:val="00985306"/>
    <w:rsid w:val="00986C2D"/>
    <w:rsid w:val="009907E5"/>
    <w:rsid w:val="00991B07"/>
    <w:rsid w:val="00991E55"/>
    <w:rsid w:val="00994F5D"/>
    <w:rsid w:val="009A18DE"/>
    <w:rsid w:val="009A6A54"/>
    <w:rsid w:val="009B302A"/>
    <w:rsid w:val="009B3799"/>
    <w:rsid w:val="009B45B5"/>
    <w:rsid w:val="009B68F9"/>
    <w:rsid w:val="009B6CA2"/>
    <w:rsid w:val="009B71C1"/>
    <w:rsid w:val="009B7E9B"/>
    <w:rsid w:val="009C227B"/>
    <w:rsid w:val="009C27A0"/>
    <w:rsid w:val="009D2528"/>
    <w:rsid w:val="009D3FAA"/>
    <w:rsid w:val="009D45FE"/>
    <w:rsid w:val="009D490D"/>
    <w:rsid w:val="009D4F89"/>
    <w:rsid w:val="009D6DAD"/>
    <w:rsid w:val="009E56E0"/>
    <w:rsid w:val="00A03A6D"/>
    <w:rsid w:val="00A06757"/>
    <w:rsid w:val="00A1136D"/>
    <w:rsid w:val="00A11833"/>
    <w:rsid w:val="00A12215"/>
    <w:rsid w:val="00A14617"/>
    <w:rsid w:val="00A154BB"/>
    <w:rsid w:val="00A17ED2"/>
    <w:rsid w:val="00A23DC2"/>
    <w:rsid w:val="00A26158"/>
    <w:rsid w:val="00A3166F"/>
    <w:rsid w:val="00A31779"/>
    <w:rsid w:val="00A32FBE"/>
    <w:rsid w:val="00A3440B"/>
    <w:rsid w:val="00A34F9D"/>
    <w:rsid w:val="00A36680"/>
    <w:rsid w:val="00A41E97"/>
    <w:rsid w:val="00A43858"/>
    <w:rsid w:val="00A47664"/>
    <w:rsid w:val="00A530A6"/>
    <w:rsid w:val="00A54AFC"/>
    <w:rsid w:val="00A55780"/>
    <w:rsid w:val="00A5793C"/>
    <w:rsid w:val="00A62B08"/>
    <w:rsid w:val="00A65B1D"/>
    <w:rsid w:val="00A66110"/>
    <w:rsid w:val="00A67681"/>
    <w:rsid w:val="00A71F71"/>
    <w:rsid w:val="00A842A5"/>
    <w:rsid w:val="00A85787"/>
    <w:rsid w:val="00A857B5"/>
    <w:rsid w:val="00A85C70"/>
    <w:rsid w:val="00A85FE6"/>
    <w:rsid w:val="00A92733"/>
    <w:rsid w:val="00A947B7"/>
    <w:rsid w:val="00A96BB3"/>
    <w:rsid w:val="00AA2FC5"/>
    <w:rsid w:val="00AB2C29"/>
    <w:rsid w:val="00AB651B"/>
    <w:rsid w:val="00AC2818"/>
    <w:rsid w:val="00AC33E5"/>
    <w:rsid w:val="00AC53C8"/>
    <w:rsid w:val="00AD1E8B"/>
    <w:rsid w:val="00AD25AF"/>
    <w:rsid w:val="00AE0333"/>
    <w:rsid w:val="00AE14E2"/>
    <w:rsid w:val="00AE3A15"/>
    <w:rsid w:val="00AE3DF8"/>
    <w:rsid w:val="00AE583F"/>
    <w:rsid w:val="00AE5CEC"/>
    <w:rsid w:val="00AE7061"/>
    <w:rsid w:val="00AE7E17"/>
    <w:rsid w:val="00AF0E0A"/>
    <w:rsid w:val="00AF2649"/>
    <w:rsid w:val="00AF4CB1"/>
    <w:rsid w:val="00AF5438"/>
    <w:rsid w:val="00AF570D"/>
    <w:rsid w:val="00AF5EDA"/>
    <w:rsid w:val="00B00090"/>
    <w:rsid w:val="00B012F5"/>
    <w:rsid w:val="00B03726"/>
    <w:rsid w:val="00B052AC"/>
    <w:rsid w:val="00B06411"/>
    <w:rsid w:val="00B079B7"/>
    <w:rsid w:val="00B10E7A"/>
    <w:rsid w:val="00B11A4B"/>
    <w:rsid w:val="00B142E4"/>
    <w:rsid w:val="00B15B56"/>
    <w:rsid w:val="00B202D6"/>
    <w:rsid w:val="00B2110B"/>
    <w:rsid w:val="00B22482"/>
    <w:rsid w:val="00B2484C"/>
    <w:rsid w:val="00B26D94"/>
    <w:rsid w:val="00B31A76"/>
    <w:rsid w:val="00B32589"/>
    <w:rsid w:val="00B3286A"/>
    <w:rsid w:val="00B344F0"/>
    <w:rsid w:val="00B3591F"/>
    <w:rsid w:val="00B3762F"/>
    <w:rsid w:val="00B37A26"/>
    <w:rsid w:val="00B40869"/>
    <w:rsid w:val="00B410FA"/>
    <w:rsid w:val="00B4288F"/>
    <w:rsid w:val="00B42A4F"/>
    <w:rsid w:val="00B43D40"/>
    <w:rsid w:val="00B446F4"/>
    <w:rsid w:val="00B46F88"/>
    <w:rsid w:val="00B521BA"/>
    <w:rsid w:val="00B525A9"/>
    <w:rsid w:val="00B52E48"/>
    <w:rsid w:val="00B54D3B"/>
    <w:rsid w:val="00B54F6F"/>
    <w:rsid w:val="00B57B56"/>
    <w:rsid w:val="00B65B69"/>
    <w:rsid w:val="00B65C18"/>
    <w:rsid w:val="00B670DF"/>
    <w:rsid w:val="00B7129E"/>
    <w:rsid w:val="00B72658"/>
    <w:rsid w:val="00B72FE6"/>
    <w:rsid w:val="00B7322D"/>
    <w:rsid w:val="00B749B8"/>
    <w:rsid w:val="00B774FD"/>
    <w:rsid w:val="00B778A2"/>
    <w:rsid w:val="00B779E8"/>
    <w:rsid w:val="00B77F8E"/>
    <w:rsid w:val="00B80490"/>
    <w:rsid w:val="00B83046"/>
    <w:rsid w:val="00B92CB4"/>
    <w:rsid w:val="00B93D56"/>
    <w:rsid w:val="00BA0E63"/>
    <w:rsid w:val="00BA232C"/>
    <w:rsid w:val="00BA29AE"/>
    <w:rsid w:val="00BA2CB0"/>
    <w:rsid w:val="00BB12CB"/>
    <w:rsid w:val="00BB439C"/>
    <w:rsid w:val="00BC167F"/>
    <w:rsid w:val="00BC1C51"/>
    <w:rsid w:val="00BC317B"/>
    <w:rsid w:val="00BC4356"/>
    <w:rsid w:val="00BD040F"/>
    <w:rsid w:val="00BD0BA5"/>
    <w:rsid w:val="00BD1B52"/>
    <w:rsid w:val="00BD2240"/>
    <w:rsid w:val="00BD3072"/>
    <w:rsid w:val="00BD3967"/>
    <w:rsid w:val="00BD43E1"/>
    <w:rsid w:val="00BD64E8"/>
    <w:rsid w:val="00BE0CAE"/>
    <w:rsid w:val="00BE2CFC"/>
    <w:rsid w:val="00BE6AF0"/>
    <w:rsid w:val="00BF0F4E"/>
    <w:rsid w:val="00BF1B36"/>
    <w:rsid w:val="00BF3DFE"/>
    <w:rsid w:val="00BF5696"/>
    <w:rsid w:val="00BF72D5"/>
    <w:rsid w:val="00C06DDF"/>
    <w:rsid w:val="00C11501"/>
    <w:rsid w:val="00C13306"/>
    <w:rsid w:val="00C140A2"/>
    <w:rsid w:val="00C15A20"/>
    <w:rsid w:val="00C15D26"/>
    <w:rsid w:val="00C172E2"/>
    <w:rsid w:val="00C1772B"/>
    <w:rsid w:val="00C24B92"/>
    <w:rsid w:val="00C24DFF"/>
    <w:rsid w:val="00C24F1E"/>
    <w:rsid w:val="00C24F6E"/>
    <w:rsid w:val="00C2651E"/>
    <w:rsid w:val="00C276AA"/>
    <w:rsid w:val="00C306F4"/>
    <w:rsid w:val="00C3077C"/>
    <w:rsid w:val="00C33EBF"/>
    <w:rsid w:val="00C344C4"/>
    <w:rsid w:val="00C4355F"/>
    <w:rsid w:val="00C445D6"/>
    <w:rsid w:val="00C50572"/>
    <w:rsid w:val="00C53E31"/>
    <w:rsid w:val="00C6202D"/>
    <w:rsid w:val="00C63FFB"/>
    <w:rsid w:val="00C657C0"/>
    <w:rsid w:val="00C65932"/>
    <w:rsid w:val="00C659F2"/>
    <w:rsid w:val="00C6739C"/>
    <w:rsid w:val="00C679F6"/>
    <w:rsid w:val="00C707A0"/>
    <w:rsid w:val="00C70ADF"/>
    <w:rsid w:val="00C70B41"/>
    <w:rsid w:val="00C7308E"/>
    <w:rsid w:val="00C76662"/>
    <w:rsid w:val="00C76971"/>
    <w:rsid w:val="00C77F2C"/>
    <w:rsid w:val="00C82376"/>
    <w:rsid w:val="00C8308E"/>
    <w:rsid w:val="00C86449"/>
    <w:rsid w:val="00C91E14"/>
    <w:rsid w:val="00C932D2"/>
    <w:rsid w:val="00C945B7"/>
    <w:rsid w:val="00C9619E"/>
    <w:rsid w:val="00C978B6"/>
    <w:rsid w:val="00CA19AF"/>
    <w:rsid w:val="00CA25C4"/>
    <w:rsid w:val="00CA5625"/>
    <w:rsid w:val="00CA5E78"/>
    <w:rsid w:val="00CA62F3"/>
    <w:rsid w:val="00CB3A17"/>
    <w:rsid w:val="00CC16A6"/>
    <w:rsid w:val="00CC5D33"/>
    <w:rsid w:val="00CC788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4510"/>
    <w:rsid w:val="00D052B2"/>
    <w:rsid w:val="00D1043C"/>
    <w:rsid w:val="00D10EA6"/>
    <w:rsid w:val="00D143BD"/>
    <w:rsid w:val="00D20A38"/>
    <w:rsid w:val="00D21380"/>
    <w:rsid w:val="00D234AA"/>
    <w:rsid w:val="00D24752"/>
    <w:rsid w:val="00D24FAC"/>
    <w:rsid w:val="00D26B98"/>
    <w:rsid w:val="00D30B67"/>
    <w:rsid w:val="00D31AB7"/>
    <w:rsid w:val="00D33917"/>
    <w:rsid w:val="00D33FD1"/>
    <w:rsid w:val="00D34196"/>
    <w:rsid w:val="00D3447F"/>
    <w:rsid w:val="00D3738B"/>
    <w:rsid w:val="00D4291E"/>
    <w:rsid w:val="00D46117"/>
    <w:rsid w:val="00D465EA"/>
    <w:rsid w:val="00D50474"/>
    <w:rsid w:val="00D52EE2"/>
    <w:rsid w:val="00D539CA"/>
    <w:rsid w:val="00D569D8"/>
    <w:rsid w:val="00D62D90"/>
    <w:rsid w:val="00D65CE7"/>
    <w:rsid w:val="00D726AB"/>
    <w:rsid w:val="00D74F49"/>
    <w:rsid w:val="00D8165E"/>
    <w:rsid w:val="00D8222A"/>
    <w:rsid w:val="00D8234F"/>
    <w:rsid w:val="00D82958"/>
    <w:rsid w:val="00D829FF"/>
    <w:rsid w:val="00D8308D"/>
    <w:rsid w:val="00D844DB"/>
    <w:rsid w:val="00D85E1C"/>
    <w:rsid w:val="00D86385"/>
    <w:rsid w:val="00D90DB6"/>
    <w:rsid w:val="00D96462"/>
    <w:rsid w:val="00DA0112"/>
    <w:rsid w:val="00DA1601"/>
    <w:rsid w:val="00DA1B1E"/>
    <w:rsid w:val="00DA2EDB"/>
    <w:rsid w:val="00DB2B1C"/>
    <w:rsid w:val="00DB35DD"/>
    <w:rsid w:val="00DB4B36"/>
    <w:rsid w:val="00DB4C5F"/>
    <w:rsid w:val="00DB4CCF"/>
    <w:rsid w:val="00DB6947"/>
    <w:rsid w:val="00DB7749"/>
    <w:rsid w:val="00DC043C"/>
    <w:rsid w:val="00DC19C1"/>
    <w:rsid w:val="00DC4009"/>
    <w:rsid w:val="00DC4202"/>
    <w:rsid w:val="00DC46CE"/>
    <w:rsid w:val="00DC4F88"/>
    <w:rsid w:val="00DC5A38"/>
    <w:rsid w:val="00DC6D5C"/>
    <w:rsid w:val="00DC7C7A"/>
    <w:rsid w:val="00DD08CF"/>
    <w:rsid w:val="00DD2FF7"/>
    <w:rsid w:val="00DD3358"/>
    <w:rsid w:val="00DD47BF"/>
    <w:rsid w:val="00DD5D2F"/>
    <w:rsid w:val="00DD6666"/>
    <w:rsid w:val="00DE2877"/>
    <w:rsid w:val="00DE332F"/>
    <w:rsid w:val="00DF0A82"/>
    <w:rsid w:val="00DF0D80"/>
    <w:rsid w:val="00DF29CC"/>
    <w:rsid w:val="00DF52C4"/>
    <w:rsid w:val="00DF6067"/>
    <w:rsid w:val="00DF7D15"/>
    <w:rsid w:val="00E04CA6"/>
    <w:rsid w:val="00E13DC2"/>
    <w:rsid w:val="00E16BC5"/>
    <w:rsid w:val="00E2011A"/>
    <w:rsid w:val="00E24398"/>
    <w:rsid w:val="00E3269B"/>
    <w:rsid w:val="00E3338D"/>
    <w:rsid w:val="00E3620C"/>
    <w:rsid w:val="00E4479B"/>
    <w:rsid w:val="00E44833"/>
    <w:rsid w:val="00E51F56"/>
    <w:rsid w:val="00E53CF9"/>
    <w:rsid w:val="00E55A85"/>
    <w:rsid w:val="00E55C7B"/>
    <w:rsid w:val="00E55D4F"/>
    <w:rsid w:val="00E57A7C"/>
    <w:rsid w:val="00E619F3"/>
    <w:rsid w:val="00E625C0"/>
    <w:rsid w:val="00E625F1"/>
    <w:rsid w:val="00E63735"/>
    <w:rsid w:val="00E65F0F"/>
    <w:rsid w:val="00E6632F"/>
    <w:rsid w:val="00E67955"/>
    <w:rsid w:val="00E71631"/>
    <w:rsid w:val="00E76ADE"/>
    <w:rsid w:val="00E80224"/>
    <w:rsid w:val="00E841D1"/>
    <w:rsid w:val="00E902FA"/>
    <w:rsid w:val="00E92091"/>
    <w:rsid w:val="00E93108"/>
    <w:rsid w:val="00E96FA4"/>
    <w:rsid w:val="00EB3222"/>
    <w:rsid w:val="00EB3A70"/>
    <w:rsid w:val="00EB3D35"/>
    <w:rsid w:val="00EB4EE9"/>
    <w:rsid w:val="00EC272D"/>
    <w:rsid w:val="00ED1575"/>
    <w:rsid w:val="00ED1BAE"/>
    <w:rsid w:val="00ED45A7"/>
    <w:rsid w:val="00ED50CC"/>
    <w:rsid w:val="00EE0E5F"/>
    <w:rsid w:val="00EE132C"/>
    <w:rsid w:val="00EE69F4"/>
    <w:rsid w:val="00EE7B73"/>
    <w:rsid w:val="00EF1701"/>
    <w:rsid w:val="00EF343F"/>
    <w:rsid w:val="00EF34BA"/>
    <w:rsid w:val="00EF3CC1"/>
    <w:rsid w:val="00EF5541"/>
    <w:rsid w:val="00EF753A"/>
    <w:rsid w:val="00EF7A2E"/>
    <w:rsid w:val="00F00D35"/>
    <w:rsid w:val="00F053AB"/>
    <w:rsid w:val="00F07CD6"/>
    <w:rsid w:val="00F13CA7"/>
    <w:rsid w:val="00F15BBD"/>
    <w:rsid w:val="00F20B70"/>
    <w:rsid w:val="00F2302D"/>
    <w:rsid w:val="00F32A38"/>
    <w:rsid w:val="00F32C92"/>
    <w:rsid w:val="00F33E0F"/>
    <w:rsid w:val="00F34C99"/>
    <w:rsid w:val="00F371EE"/>
    <w:rsid w:val="00F40CC5"/>
    <w:rsid w:val="00F434A7"/>
    <w:rsid w:val="00F45B3E"/>
    <w:rsid w:val="00F4727F"/>
    <w:rsid w:val="00F477DD"/>
    <w:rsid w:val="00F47F4C"/>
    <w:rsid w:val="00F508EE"/>
    <w:rsid w:val="00F55196"/>
    <w:rsid w:val="00F57244"/>
    <w:rsid w:val="00F6067E"/>
    <w:rsid w:val="00F62EA3"/>
    <w:rsid w:val="00F7011F"/>
    <w:rsid w:val="00F715F3"/>
    <w:rsid w:val="00F71E54"/>
    <w:rsid w:val="00F73810"/>
    <w:rsid w:val="00F74558"/>
    <w:rsid w:val="00F76E94"/>
    <w:rsid w:val="00F8026A"/>
    <w:rsid w:val="00F8235A"/>
    <w:rsid w:val="00F8376E"/>
    <w:rsid w:val="00F852B2"/>
    <w:rsid w:val="00F8595C"/>
    <w:rsid w:val="00F870D8"/>
    <w:rsid w:val="00F929A3"/>
    <w:rsid w:val="00F92B28"/>
    <w:rsid w:val="00F9534B"/>
    <w:rsid w:val="00FA1F47"/>
    <w:rsid w:val="00FA3296"/>
    <w:rsid w:val="00FA4D4A"/>
    <w:rsid w:val="00FB0CEC"/>
    <w:rsid w:val="00FB187A"/>
    <w:rsid w:val="00FB4840"/>
    <w:rsid w:val="00FB6945"/>
    <w:rsid w:val="00FB76D5"/>
    <w:rsid w:val="00FB77B3"/>
    <w:rsid w:val="00FC3D40"/>
    <w:rsid w:val="00FC4A91"/>
    <w:rsid w:val="00FC5296"/>
    <w:rsid w:val="00FC60BA"/>
    <w:rsid w:val="00FC660A"/>
    <w:rsid w:val="00FC7688"/>
    <w:rsid w:val="00FD045C"/>
    <w:rsid w:val="00FD4DA2"/>
    <w:rsid w:val="00FD4F0A"/>
    <w:rsid w:val="00FD6F4A"/>
    <w:rsid w:val="00FD7E3C"/>
    <w:rsid w:val="00FE3873"/>
    <w:rsid w:val="00FE5CB8"/>
    <w:rsid w:val="00FE648E"/>
    <w:rsid w:val="00FF03D1"/>
    <w:rsid w:val="00FF3C45"/>
    <w:rsid w:val="00FF3FD9"/>
    <w:rsid w:val="00FF4F54"/>
    <w:rsid w:val="00FF5D0E"/>
    <w:rsid w:val="00FF7ECB"/>
    <w:rsid w:val="0923795D"/>
    <w:rsid w:val="09A301DE"/>
    <w:rsid w:val="0BA44125"/>
    <w:rsid w:val="1C57027E"/>
    <w:rsid w:val="1F1465CF"/>
    <w:rsid w:val="25EF714A"/>
    <w:rsid w:val="353B413E"/>
    <w:rsid w:val="36DF562B"/>
    <w:rsid w:val="39870CF4"/>
    <w:rsid w:val="3AB16E81"/>
    <w:rsid w:val="3EF4499F"/>
    <w:rsid w:val="4B647AD6"/>
    <w:rsid w:val="4BD647D1"/>
    <w:rsid w:val="60F560A0"/>
    <w:rsid w:val="6E11387E"/>
    <w:rsid w:val="779673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nhideWhenUsed="0" w:uiPriority="3"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14"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240" w:after="240" w:line="240" w:lineRule="auto"/>
    </w:pPr>
    <w:rPr>
      <w:rFonts w:eastAsia="Times New Roman" w:cs="Times New Roman" w:asciiTheme="minorHAnsi" w:hAnsiTheme="minorHAnsi"/>
      <w:color w:val="444444"/>
      <w:sz w:val="24"/>
      <w:szCs w:val="24"/>
      <w:lang w:val="en-GB" w:eastAsia="en-US" w:bidi="ar-SA"/>
    </w:rPr>
  </w:style>
  <w:style w:type="paragraph" w:styleId="2">
    <w:name w:val="heading 1"/>
    <w:basedOn w:val="1"/>
    <w:next w:val="3"/>
    <w:link w:val="34"/>
    <w:autoRedefine/>
    <w:qFormat/>
    <w:uiPriority w:val="0"/>
    <w:pPr>
      <w:keepNext/>
      <w:numPr>
        <w:ilvl w:val="0"/>
        <w:numId w:val="1"/>
      </w:numPr>
      <w:outlineLvl w:val="0"/>
    </w:pPr>
    <w:rPr>
      <w:rFonts w:eastAsiaTheme="majorEastAsia" w:cstheme="majorBidi"/>
      <w:color w:val="009BA4" w:themeColor="text2"/>
      <w:kern w:val="28"/>
      <w:sz w:val="36"/>
      <w14:textFill>
        <w14:solidFill>
          <w14:schemeClr w14:val="tx2"/>
        </w14:solidFill>
      </w14:textFill>
    </w:rPr>
  </w:style>
  <w:style w:type="paragraph" w:styleId="3">
    <w:name w:val="heading 2"/>
    <w:basedOn w:val="1"/>
    <w:next w:val="4"/>
    <w:link w:val="35"/>
    <w:autoRedefine/>
    <w:qFormat/>
    <w:uiPriority w:val="1"/>
    <w:pPr>
      <w:keepNext/>
      <w:numPr>
        <w:ilvl w:val="1"/>
        <w:numId w:val="1"/>
      </w:numPr>
      <w:outlineLvl w:val="1"/>
    </w:pPr>
    <w:rPr>
      <w:rFonts w:eastAsiaTheme="majorEastAsia" w:cstheme="majorBidi"/>
      <w:color w:val="009BA4" w:themeColor="text2"/>
      <w:sz w:val="32"/>
      <w14:textFill>
        <w14:solidFill>
          <w14:schemeClr w14:val="tx2"/>
        </w14:solidFill>
      </w14:textFill>
    </w:rPr>
  </w:style>
  <w:style w:type="paragraph" w:styleId="4">
    <w:name w:val="heading 3"/>
    <w:basedOn w:val="1"/>
    <w:next w:val="1"/>
    <w:link w:val="36"/>
    <w:autoRedefine/>
    <w:qFormat/>
    <w:uiPriority w:val="2"/>
    <w:pPr>
      <w:numPr>
        <w:ilvl w:val="2"/>
        <w:numId w:val="1"/>
      </w:numPr>
      <w:tabs>
        <w:tab w:val="left" w:pos="1134"/>
      </w:tabs>
      <w:outlineLvl w:val="2"/>
    </w:pPr>
    <w:rPr>
      <w:rFonts w:eastAsiaTheme="majorEastAsia" w:cstheme="majorBidi"/>
      <w:color w:val="009BA4" w:themeColor="text2"/>
      <w:sz w:val="28"/>
      <w14:textFill>
        <w14:solidFill>
          <w14:schemeClr w14:val="tx2"/>
        </w14:solidFill>
      </w14:textFill>
    </w:rPr>
  </w:style>
  <w:style w:type="paragraph" w:styleId="5">
    <w:name w:val="heading 4"/>
    <w:basedOn w:val="4"/>
    <w:next w:val="1"/>
    <w:link w:val="53"/>
    <w:qFormat/>
    <w:uiPriority w:val="3"/>
    <w:pPr>
      <w:keepNext/>
      <w:keepLines/>
      <w:numPr>
        <w:ilvl w:val="3"/>
        <w:numId w:val="1"/>
      </w:numPr>
      <w:ind w:left="992" w:hanging="992"/>
      <w:outlineLvl w:val="3"/>
    </w:pPr>
    <w:rPr>
      <w:rFonts w:cstheme="minorHAnsi"/>
    </w:rPr>
  </w:style>
  <w:style w:type="paragraph" w:styleId="6">
    <w:name w:val="heading 5"/>
    <w:basedOn w:val="1"/>
    <w:next w:val="1"/>
    <w:link w:val="55"/>
    <w:unhideWhenUsed/>
    <w:qFormat/>
    <w:uiPriority w:val="9"/>
    <w:pPr>
      <w:pBdr>
        <w:bottom w:val="single" w:color="009BA4" w:themeColor="accent1" w:sz="6" w:space="1"/>
      </w:pBdr>
      <w:spacing w:before="200" w:after="0"/>
      <w:outlineLvl w:val="4"/>
    </w:pPr>
    <w:rPr>
      <w:caps/>
      <w:color w:val="00747B" w:themeColor="accent1" w:themeShade="BF"/>
      <w:spacing w:val="10"/>
    </w:rPr>
  </w:style>
  <w:style w:type="paragraph" w:styleId="7">
    <w:name w:val="heading 6"/>
    <w:basedOn w:val="1"/>
    <w:next w:val="1"/>
    <w:link w:val="88"/>
    <w:semiHidden/>
    <w:unhideWhenUsed/>
    <w:qFormat/>
    <w:uiPriority w:val="9"/>
    <w:pPr>
      <w:pBdr>
        <w:bottom w:val="dotted" w:color="009BA4" w:themeColor="accent1" w:sz="6" w:space="1"/>
      </w:pBdr>
      <w:spacing w:before="200" w:after="0"/>
      <w:outlineLvl w:val="5"/>
    </w:pPr>
    <w:rPr>
      <w:caps/>
      <w:color w:val="00747B" w:themeColor="accent1" w:themeShade="BF"/>
      <w:spacing w:val="10"/>
    </w:rPr>
  </w:style>
  <w:style w:type="paragraph" w:styleId="8">
    <w:name w:val="heading 7"/>
    <w:basedOn w:val="1"/>
    <w:next w:val="1"/>
    <w:link w:val="80"/>
    <w:semiHidden/>
    <w:unhideWhenUsed/>
    <w:qFormat/>
    <w:uiPriority w:val="9"/>
    <w:pPr>
      <w:keepNext/>
      <w:keepLines/>
      <w:spacing w:before="40" w:after="0"/>
      <w:outlineLvl w:val="6"/>
    </w:pPr>
    <w:rPr>
      <w:rFonts w:asciiTheme="majorHAnsi" w:hAnsiTheme="majorHAnsi" w:eastAsiaTheme="majorEastAsia" w:cstheme="majorBidi"/>
      <w:i/>
      <w:iCs/>
      <w:color w:val="004E52" w:themeColor="accent1" w:themeShade="80"/>
    </w:rPr>
  </w:style>
  <w:style w:type="paragraph" w:styleId="9">
    <w:name w:val="heading 8"/>
    <w:basedOn w:val="1"/>
    <w:next w:val="1"/>
    <w:link w:val="81"/>
    <w:semiHidden/>
    <w:unhideWhenUsed/>
    <w:qFormat/>
    <w:uiPriority w:val="9"/>
    <w:pPr>
      <w:keepNext/>
      <w:keepLines/>
      <w:spacing w:before="40" w:after="0"/>
      <w:outlineLvl w:val="7"/>
    </w:pPr>
    <w:rPr>
      <w:rFonts w:asciiTheme="majorHAnsi" w:hAnsiTheme="majorHAnsi" w:eastAsiaTheme="majorEastAsia" w:cstheme="majorBidi"/>
      <w:color w:val="60606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82"/>
    <w:semiHidden/>
    <w:unhideWhenUsed/>
    <w:qFormat/>
    <w:uiPriority w:val="9"/>
    <w:pPr>
      <w:keepNext/>
      <w:keepLines/>
      <w:spacing w:before="40" w:after="0"/>
      <w:outlineLvl w:val="8"/>
    </w:pPr>
    <w:rPr>
      <w:rFonts w:asciiTheme="majorHAnsi" w:hAnsiTheme="majorHAnsi" w:eastAsiaTheme="majorEastAsia" w:cstheme="majorBidi"/>
      <w:i/>
      <w:iCs/>
      <w:color w:val="60606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rPr>
      <w:rFonts w:ascii="Segoe UI" w:hAnsi="Segoe UI" w:cs="Segoe UI"/>
      <w:sz w:val="18"/>
      <w:szCs w:val="18"/>
    </w:rPr>
  </w:style>
  <w:style w:type="paragraph" w:styleId="14">
    <w:name w:val="caption"/>
    <w:basedOn w:val="1"/>
    <w:next w:val="1"/>
    <w:qFormat/>
    <w:uiPriority w:val="14"/>
    <w:pPr>
      <w:spacing w:before="0" w:after="200"/>
    </w:pPr>
    <w:rPr>
      <w:i/>
      <w:iCs/>
      <w:color w:val="44546A"/>
      <w:sz w:val="18"/>
      <w:szCs w:val="18"/>
    </w:rPr>
  </w:style>
  <w:style w:type="character" w:styleId="15">
    <w:name w:val="Emphasis"/>
    <w:qFormat/>
    <w:uiPriority w:val="20"/>
    <w:rPr>
      <w:caps/>
      <w:color w:val="004E52" w:themeColor="accent1" w:themeShade="80"/>
      <w:spacing w:val="5"/>
    </w:rPr>
  </w:style>
  <w:style w:type="character" w:styleId="1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43"/>
    <w:unhideWhenUsed/>
    <w:qFormat/>
    <w:uiPriority w:val="99"/>
    <w:pPr>
      <w:tabs>
        <w:tab w:val="center" w:pos="4513"/>
        <w:tab w:val="right" w:pos="9026"/>
      </w:tabs>
      <w:spacing w:before="0" w:after="0"/>
    </w:pPr>
  </w:style>
  <w:style w:type="paragraph" w:styleId="18">
    <w:name w:val="header"/>
    <w:basedOn w:val="1"/>
    <w:link w:val="42"/>
    <w:unhideWhenUsed/>
    <w:qFormat/>
    <w:uiPriority w:val="99"/>
    <w:pPr>
      <w:tabs>
        <w:tab w:val="center" w:pos="4513"/>
        <w:tab w:val="right" w:pos="9026"/>
      </w:tabs>
      <w:spacing w:before="0" w:after="0"/>
    </w:p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character" w:styleId="20">
    <w:name w:val="Strong"/>
    <w:qFormat/>
    <w:uiPriority w:val="22"/>
    <w:rPr>
      <w:b/>
      <w:bCs/>
    </w:rPr>
  </w:style>
  <w:style w:type="paragraph" w:styleId="21">
    <w:name w:val="Subtitle"/>
    <w:basedOn w:val="1"/>
    <w:next w:val="1"/>
    <w:link w:val="89"/>
    <w:qFormat/>
    <w:uiPriority w:val="11"/>
    <w:pPr>
      <w:spacing w:before="0" w:after="500"/>
    </w:pPr>
    <w:rPr>
      <w:caps/>
      <w:color w:val="858585" w:themeColor="text1" w:themeTint="A6"/>
      <w:spacing w:val="10"/>
      <w:sz w:val="21"/>
      <w:szCs w:val="21"/>
      <w14:textFill>
        <w14:solidFill>
          <w14:schemeClr w14:val="tx1">
            <w14:lumMod w14:val="65000"/>
            <w14:lumOff w14:val="35000"/>
          </w14:schemeClr>
        </w14:solidFill>
      </w14:textFill>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0" w:after="0"/>
    </w:pPr>
    <w:rPr>
      <w:rFonts w:cstheme="minorHAnsi"/>
      <w:b/>
      <w:iCs/>
      <w:sz w:val="22"/>
    </w:rPr>
  </w:style>
  <w:style w:type="paragraph" w:styleId="24">
    <w:name w:val="Title"/>
    <w:basedOn w:val="1"/>
    <w:link w:val="87"/>
    <w:qFormat/>
    <w:uiPriority w:val="12"/>
    <w:rPr>
      <w:rFonts w:eastAsiaTheme="majorEastAsia" w:cstheme="majorBidi"/>
      <w:b/>
      <w:bCs/>
      <w:sz w:val="56"/>
      <w:szCs w:val="48"/>
    </w:rPr>
  </w:style>
  <w:style w:type="paragraph" w:styleId="25">
    <w:name w:val="toc 1"/>
    <w:basedOn w:val="1"/>
    <w:next w:val="1"/>
    <w:autoRedefine/>
    <w:qFormat/>
    <w:uiPriority w:val="39"/>
    <w:pPr>
      <w:spacing w:before="120" w:after="0"/>
    </w:pPr>
    <w:rPr>
      <w:rFonts w:cstheme="minorHAnsi"/>
      <w:b/>
      <w:bCs/>
      <w:iCs/>
    </w:rPr>
  </w:style>
  <w:style w:type="paragraph" w:styleId="26">
    <w:name w:val="toc 2"/>
    <w:basedOn w:val="1"/>
    <w:next w:val="1"/>
    <w:autoRedefine/>
    <w:qFormat/>
    <w:uiPriority w:val="39"/>
    <w:pPr>
      <w:spacing w:before="120" w:after="0"/>
      <w:ind w:left="240"/>
    </w:pPr>
    <w:rPr>
      <w:rFonts w:cstheme="minorHAnsi"/>
      <w:b/>
      <w:bCs/>
      <w:sz w:val="22"/>
      <w:szCs w:val="22"/>
    </w:rPr>
  </w:style>
  <w:style w:type="paragraph" w:styleId="27">
    <w:name w:val="toc 3"/>
    <w:basedOn w:val="1"/>
    <w:next w:val="1"/>
    <w:autoRedefine/>
    <w:qFormat/>
    <w:uiPriority w:val="39"/>
    <w:pPr>
      <w:spacing w:before="0" w:after="0"/>
      <w:ind w:left="480"/>
    </w:pPr>
    <w:rPr>
      <w:rFonts w:cstheme="minorHAnsi"/>
      <w:sz w:val="20"/>
    </w:rPr>
  </w:style>
  <w:style w:type="paragraph" w:styleId="28">
    <w:name w:val="toc 4"/>
    <w:basedOn w:val="1"/>
    <w:next w:val="1"/>
    <w:autoRedefine/>
    <w:unhideWhenUsed/>
    <w:qFormat/>
    <w:uiPriority w:val="39"/>
    <w:pPr>
      <w:spacing w:before="0" w:after="0"/>
      <w:ind w:left="720"/>
    </w:pPr>
    <w:rPr>
      <w:rFonts w:cstheme="minorHAnsi"/>
      <w:sz w:val="20"/>
    </w:rPr>
  </w:style>
  <w:style w:type="paragraph" w:styleId="29">
    <w:name w:val="toc 5"/>
    <w:basedOn w:val="1"/>
    <w:next w:val="1"/>
    <w:autoRedefine/>
    <w:unhideWhenUsed/>
    <w:qFormat/>
    <w:uiPriority w:val="39"/>
    <w:pPr>
      <w:spacing w:before="0" w:after="0"/>
      <w:ind w:left="960"/>
    </w:pPr>
    <w:rPr>
      <w:rFonts w:cstheme="minorHAnsi"/>
      <w:sz w:val="20"/>
    </w:rPr>
  </w:style>
  <w:style w:type="paragraph" w:styleId="30">
    <w:name w:val="toc 6"/>
    <w:basedOn w:val="1"/>
    <w:next w:val="1"/>
    <w:autoRedefine/>
    <w:unhideWhenUsed/>
    <w:qFormat/>
    <w:uiPriority w:val="39"/>
    <w:pPr>
      <w:spacing w:before="0" w:after="0"/>
      <w:ind w:left="1200"/>
    </w:pPr>
    <w:rPr>
      <w:rFonts w:cstheme="minorHAnsi"/>
      <w:sz w:val="20"/>
    </w:rPr>
  </w:style>
  <w:style w:type="paragraph" w:styleId="31">
    <w:name w:val="toc 7"/>
    <w:basedOn w:val="1"/>
    <w:next w:val="1"/>
    <w:autoRedefine/>
    <w:unhideWhenUsed/>
    <w:qFormat/>
    <w:uiPriority w:val="39"/>
    <w:pPr>
      <w:spacing w:before="0" w:after="0"/>
      <w:ind w:left="1440"/>
    </w:pPr>
    <w:rPr>
      <w:rFonts w:cstheme="minorHAnsi"/>
      <w:sz w:val="20"/>
    </w:rPr>
  </w:style>
  <w:style w:type="paragraph" w:styleId="32">
    <w:name w:val="toc 8"/>
    <w:basedOn w:val="1"/>
    <w:next w:val="1"/>
    <w:autoRedefine/>
    <w:unhideWhenUsed/>
    <w:qFormat/>
    <w:uiPriority w:val="39"/>
    <w:pPr>
      <w:spacing w:before="0" w:after="0"/>
      <w:ind w:left="1680"/>
    </w:pPr>
    <w:rPr>
      <w:rFonts w:cstheme="minorHAnsi"/>
      <w:sz w:val="20"/>
    </w:rPr>
  </w:style>
  <w:style w:type="paragraph" w:styleId="33">
    <w:name w:val="toc 9"/>
    <w:basedOn w:val="1"/>
    <w:next w:val="1"/>
    <w:autoRedefine/>
    <w:unhideWhenUsed/>
    <w:qFormat/>
    <w:uiPriority w:val="39"/>
    <w:pPr>
      <w:spacing w:before="0" w:after="0"/>
      <w:ind w:left="1920"/>
    </w:pPr>
    <w:rPr>
      <w:rFonts w:cstheme="minorHAnsi"/>
      <w:sz w:val="20"/>
    </w:rPr>
  </w:style>
  <w:style w:type="character" w:customStyle="1" w:styleId="34">
    <w:name w:val="Heading 1 Char"/>
    <w:basedOn w:val="11"/>
    <w:link w:val="2"/>
    <w:qFormat/>
    <w:uiPriority w:val="0"/>
    <w:rPr>
      <w:rFonts w:eastAsiaTheme="majorEastAsia" w:cstheme="majorBidi"/>
      <w:color w:val="009BA4" w:themeColor="text2"/>
      <w:kern w:val="28"/>
      <w:sz w:val="36"/>
      <w14:textFill>
        <w14:solidFill>
          <w14:schemeClr w14:val="tx2"/>
        </w14:solidFill>
      </w14:textFill>
    </w:rPr>
  </w:style>
  <w:style w:type="character" w:customStyle="1" w:styleId="35">
    <w:name w:val="Heading 2 Char"/>
    <w:basedOn w:val="11"/>
    <w:link w:val="3"/>
    <w:qFormat/>
    <w:uiPriority w:val="1"/>
    <w:rPr>
      <w:rFonts w:eastAsiaTheme="majorEastAsia" w:cstheme="majorBidi"/>
      <w:color w:val="009BA4" w:themeColor="text2"/>
      <w:sz w:val="32"/>
      <w14:textFill>
        <w14:solidFill>
          <w14:schemeClr w14:val="tx2"/>
        </w14:solidFill>
      </w14:textFill>
    </w:rPr>
  </w:style>
  <w:style w:type="character" w:customStyle="1" w:styleId="36">
    <w:name w:val="Heading 3 Char"/>
    <w:basedOn w:val="11"/>
    <w:link w:val="4"/>
    <w:qFormat/>
    <w:uiPriority w:val="2"/>
    <w:rPr>
      <w:rFonts w:eastAsiaTheme="majorEastAsia" w:cstheme="majorBidi"/>
      <w:color w:val="009BA4" w:themeColor="text2"/>
      <w:sz w:val="28"/>
      <w14:textFill>
        <w14:solidFill>
          <w14:schemeClr w14:val="tx2"/>
        </w14:solidFill>
      </w14:textFill>
    </w:rPr>
  </w:style>
  <w:style w:type="paragraph" w:customStyle="1" w:styleId="37">
    <w:name w:val="Bulleted list"/>
    <w:basedOn w:val="38"/>
    <w:link w:val="39"/>
    <w:autoRedefine/>
    <w:qFormat/>
    <w:uiPriority w:val="5"/>
    <w:pPr>
      <w:numPr>
        <w:ilvl w:val="0"/>
        <w:numId w:val="2"/>
      </w:numPr>
    </w:pPr>
  </w:style>
  <w:style w:type="paragraph" w:styleId="38">
    <w:name w:val="List Paragraph"/>
    <w:basedOn w:val="1"/>
    <w:qFormat/>
    <w:uiPriority w:val="34"/>
    <w:pPr>
      <w:ind w:left="720"/>
      <w:contextualSpacing/>
    </w:pPr>
  </w:style>
  <w:style w:type="character" w:customStyle="1" w:styleId="39">
    <w:name w:val="Bulleted list Char"/>
    <w:basedOn w:val="11"/>
    <w:link w:val="37"/>
    <w:qFormat/>
    <w:uiPriority w:val="5"/>
  </w:style>
  <w:style w:type="paragraph" w:customStyle="1" w:styleId="40">
    <w:name w:val="Bulleted list header"/>
    <w:basedOn w:val="1"/>
    <w:link w:val="41"/>
    <w:autoRedefine/>
    <w:qFormat/>
    <w:uiPriority w:val="24"/>
    <w:pPr>
      <w:autoSpaceDE w:val="0"/>
      <w:autoSpaceDN w:val="0"/>
      <w:adjustRightInd w:val="0"/>
      <w:spacing w:after="120"/>
    </w:pPr>
    <w:rPr>
      <w:rFonts w:cstheme="minorHAnsi"/>
      <w:b/>
      <w:iCs/>
      <w:color w:val="000000"/>
    </w:rPr>
  </w:style>
  <w:style w:type="character" w:customStyle="1" w:styleId="41">
    <w:name w:val="Bulleted list header Char"/>
    <w:basedOn w:val="11"/>
    <w:link w:val="40"/>
    <w:qFormat/>
    <w:uiPriority w:val="24"/>
    <w:rPr>
      <w:rFonts w:cstheme="minorHAnsi"/>
      <w:b/>
      <w:iCs/>
      <w:color w:val="000000"/>
    </w:rPr>
  </w:style>
  <w:style w:type="character" w:customStyle="1" w:styleId="42">
    <w:name w:val="Header Char"/>
    <w:basedOn w:val="11"/>
    <w:link w:val="18"/>
    <w:qFormat/>
    <w:uiPriority w:val="99"/>
    <w:rPr>
      <w:rFonts w:cs="Times New Roman"/>
      <w:color w:val="444444"/>
      <w:sz w:val="24"/>
      <w:szCs w:val="20"/>
    </w:rPr>
  </w:style>
  <w:style w:type="character" w:customStyle="1" w:styleId="43">
    <w:name w:val="Footer Char"/>
    <w:basedOn w:val="11"/>
    <w:link w:val="17"/>
    <w:qFormat/>
    <w:uiPriority w:val="99"/>
    <w:rPr>
      <w:rFonts w:cs="Times New Roman"/>
      <w:color w:val="444444"/>
      <w:sz w:val="24"/>
      <w:szCs w:val="20"/>
    </w:rPr>
  </w:style>
  <w:style w:type="character" w:customStyle="1" w:styleId="44">
    <w:name w:val="Balloon Text Char"/>
    <w:basedOn w:val="11"/>
    <w:link w:val="13"/>
    <w:semiHidden/>
    <w:qFormat/>
    <w:uiPriority w:val="99"/>
    <w:rPr>
      <w:rFonts w:ascii="Segoe UI" w:hAnsi="Segoe UI" w:cs="Segoe UI"/>
      <w:color w:val="444444"/>
      <w:sz w:val="18"/>
      <w:szCs w:val="18"/>
    </w:rPr>
  </w:style>
  <w:style w:type="paragraph" w:styleId="45">
    <w:name w:val="No Spacing"/>
    <w:link w:val="63"/>
    <w:qFormat/>
    <w:uiPriority w:val="1"/>
    <w:pPr>
      <w:spacing w:after="0" w:line="240" w:lineRule="auto"/>
    </w:pPr>
    <w:rPr>
      <w:rFonts w:eastAsia="Times New Roman" w:cs="Times New Roman" w:asciiTheme="minorHAnsi" w:hAnsiTheme="minorHAnsi"/>
      <w:color w:val="444444"/>
      <w:sz w:val="24"/>
      <w:szCs w:val="24"/>
      <w:lang w:val="en-GB" w:eastAsia="en-US" w:bidi="ar-SA"/>
    </w:rPr>
  </w:style>
  <w:style w:type="paragraph" w:customStyle="1" w:styleId="46">
    <w:name w:val="TOC Heading"/>
    <w:basedOn w:val="2"/>
    <w:next w:val="1"/>
    <w:unhideWhenUsed/>
    <w:qFormat/>
    <w:uiPriority w:val="39"/>
    <w:pPr>
      <w:outlineLvl w:val="9"/>
    </w:pPr>
  </w:style>
  <w:style w:type="character" w:customStyle="1" w:styleId="47">
    <w:name w:val="Unresolved Mention"/>
    <w:basedOn w:val="11"/>
    <w:semiHidden/>
    <w:unhideWhenUsed/>
    <w:qFormat/>
    <w:uiPriority w:val="99"/>
    <w:rPr>
      <w:color w:val="605E5C"/>
      <w:shd w:val="clear" w:color="auto" w:fill="E1DFDD"/>
    </w:rPr>
  </w:style>
  <w:style w:type="paragraph" w:customStyle="1" w:styleId="48">
    <w:name w:val="Default"/>
    <w:qFormat/>
    <w:uiPriority w:val="21"/>
    <w:pPr>
      <w:autoSpaceDE w:val="0"/>
      <w:autoSpaceDN w:val="0"/>
      <w:adjustRightInd w:val="0"/>
      <w:spacing w:after="0" w:line="240" w:lineRule="auto"/>
    </w:pPr>
    <w:rPr>
      <w:rFonts w:ascii="Calibri" w:hAnsi="Calibri" w:eastAsia="Calibri" w:cs="Calibri"/>
      <w:color w:val="000000"/>
      <w:sz w:val="24"/>
      <w:szCs w:val="24"/>
      <w:lang w:val="en-GB" w:eastAsia="en-GB" w:bidi="ar-SA"/>
    </w:rPr>
  </w:style>
  <w:style w:type="paragraph" w:customStyle="1" w:styleId="49">
    <w:name w:val="Table Body"/>
    <w:basedOn w:val="1"/>
    <w:link w:val="51"/>
    <w:qFormat/>
    <w:uiPriority w:val="7"/>
    <w:pPr>
      <w:spacing w:before="0" w:after="0"/>
    </w:pPr>
    <w:rPr>
      <w:color w:val="444444" w:themeColor="text1"/>
      <w:sz w:val="20"/>
      <w14:textFill>
        <w14:solidFill>
          <w14:schemeClr w14:val="tx1"/>
        </w14:solidFill>
      </w14:textFill>
    </w:rPr>
  </w:style>
  <w:style w:type="paragraph" w:customStyle="1" w:styleId="50">
    <w:name w:val="Table Heading"/>
    <w:basedOn w:val="49"/>
    <w:link w:val="52"/>
    <w:qFormat/>
    <w:uiPriority w:val="6"/>
    <w:pPr>
      <w:spacing w:before="40" w:after="40"/>
    </w:pPr>
    <w:rPr>
      <w:b/>
      <w:bCs/>
      <w:color w:val="FFFFFF" w:themeColor="background1"/>
      <w14:textFill>
        <w14:solidFill>
          <w14:schemeClr w14:val="bg1"/>
        </w14:solidFill>
      </w14:textFill>
    </w:rPr>
  </w:style>
  <w:style w:type="character" w:customStyle="1" w:styleId="51">
    <w:name w:val="Table Body Char"/>
    <w:basedOn w:val="11"/>
    <w:link w:val="49"/>
    <w:qFormat/>
    <w:uiPriority w:val="7"/>
    <w:rPr>
      <w:color w:val="444444" w:themeColor="text1"/>
      <w:sz w:val="20"/>
      <w14:textFill>
        <w14:solidFill>
          <w14:schemeClr w14:val="tx1"/>
        </w14:solidFill>
      </w14:textFill>
    </w:rPr>
  </w:style>
  <w:style w:type="character" w:customStyle="1" w:styleId="52">
    <w:name w:val="Table Heading Char"/>
    <w:basedOn w:val="51"/>
    <w:link w:val="50"/>
    <w:qFormat/>
    <w:uiPriority w:val="6"/>
    <w:rPr>
      <w:b/>
      <w:bCs/>
      <w:color w:val="FFFFFF" w:themeColor="background1"/>
      <w:sz w:val="20"/>
      <w14:textFill>
        <w14:solidFill>
          <w14:schemeClr w14:val="bg1"/>
        </w14:solidFill>
      </w14:textFill>
    </w:rPr>
  </w:style>
  <w:style w:type="character" w:customStyle="1" w:styleId="53">
    <w:name w:val="Heading 4 Char"/>
    <w:basedOn w:val="11"/>
    <w:link w:val="5"/>
    <w:qFormat/>
    <w:uiPriority w:val="3"/>
    <w:rPr>
      <w:rFonts w:eastAsiaTheme="majorEastAsia" w:cstheme="minorHAnsi"/>
      <w:color w:val="009BA4" w:themeColor="text2"/>
      <w:sz w:val="28"/>
      <w14:textFill>
        <w14:solidFill>
          <w14:schemeClr w14:val="tx2"/>
        </w14:solidFill>
      </w14:textFill>
    </w:rPr>
  </w:style>
  <w:style w:type="character" w:styleId="54">
    <w:name w:val="Placeholder Text"/>
    <w:basedOn w:val="11"/>
    <w:semiHidden/>
    <w:qFormat/>
    <w:uiPriority w:val="99"/>
    <w:rPr>
      <w:color w:val="808080"/>
    </w:rPr>
  </w:style>
  <w:style w:type="character" w:customStyle="1" w:styleId="55">
    <w:name w:val="Heading 5 Char"/>
    <w:basedOn w:val="11"/>
    <w:link w:val="6"/>
    <w:qFormat/>
    <w:uiPriority w:val="9"/>
    <w:rPr>
      <w:caps/>
      <w:color w:val="00747B" w:themeColor="accent1" w:themeShade="BF"/>
      <w:spacing w:val="10"/>
    </w:rPr>
  </w:style>
  <w:style w:type="character" w:customStyle="1" w:styleId="56">
    <w:name w:val="Classification"/>
    <w:basedOn w:val="11"/>
    <w:qFormat/>
    <w:uiPriority w:val="21"/>
    <w:rPr>
      <w:rFonts w:asciiTheme="minorHAnsi" w:hAnsiTheme="minorHAnsi"/>
      <w:sz w:val="20"/>
    </w:rPr>
  </w:style>
  <w:style w:type="character" w:customStyle="1" w:styleId="57">
    <w:name w:val="Style1"/>
    <w:basedOn w:val="11"/>
    <w:qFormat/>
    <w:uiPriority w:val="21"/>
    <w:rPr>
      <w:rFonts w:asciiTheme="minorHAnsi" w:hAnsiTheme="minorHAnsi"/>
      <w:color w:val="444444"/>
      <w:sz w:val="20"/>
    </w:rPr>
  </w:style>
  <w:style w:type="character" w:customStyle="1" w:styleId="58">
    <w:name w:val="Version number"/>
    <w:basedOn w:val="11"/>
    <w:qFormat/>
    <w:uiPriority w:val="19"/>
    <w:rPr>
      <w:rFonts w:asciiTheme="minorHAnsi" w:hAnsiTheme="minorHAnsi"/>
      <w:sz w:val="20"/>
    </w:rPr>
  </w:style>
  <w:style w:type="character" w:customStyle="1" w:styleId="59">
    <w:name w:val="Toolkit Date"/>
    <w:basedOn w:val="11"/>
    <w:qFormat/>
    <w:uiPriority w:val="27"/>
    <w:rPr>
      <w:rFonts w:asciiTheme="minorHAnsi" w:hAnsiTheme="minorHAnsi"/>
      <w:sz w:val="20"/>
    </w:rPr>
  </w:style>
  <w:style w:type="table" w:customStyle="1" w:styleId="60">
    <w:name w:val="CertiKit tables"/>
    <w:basedOn w:val="12"/>
    <w:qFormat/>
    <w:uiPriority w:val="99"/>
    <w:pPr>
      <w:spacing w:after="0" w:line="240" w:lineRule="auto"/>
    </w:pPr>
  </w:style>
  <w:style w:type="table" w:customStyle="1" w:styleId="61">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62">
    <w:name w:val="Plain Table 2"/>
    <w:basedOn w:val="12"/>
    <w:qFormat/>
    <w:uiPriority w:val="42"/>
    <w:pPr>
      <w:spacing w:after="0" w:line="240" w:lineRule="auto"/>
    </w:pPr>
    <w:tblPr>
      <w:tblBorders>
        <w:top w:val="single" w:color="A1A1A1" w:themeColor="text1" w:themeTint="80" w:sz="4" w:space="0"/>
        <w:bottom w:val="single" w:color="A1A1A1" w:themeColor="text1" w:themeTint="80" w:sz="4" w:space="0"/>
      </w:tblBorders>
    </w:tblPr>
    <w:tblStylePr w:type="firstRow">
      <w:rPr>
        <w:b/>
        <w:bCs/>
      </w:rPr>
      <w:tcPr>
        <w:tcBorders>
          <w:bottom w:val="single" w:color="A1A1A1" w:themeColor="text1" w:themeTint="80" w:sz="4" w:space="0"/>
        </w:tcBorders>
      </w:tcPr>
    </w:tblStylePr>
    <w:tblStylePr w:type="lastRow">
      <w:rPr>
        <w:b/>
        <w:bCs/>
      </w:rPr>
      <w:tcPr>
        <w:tcBorders>
          <w:top w:val="single" w:color="A1A1A1" w:themeColor="text1" w:themeTint="80" w:sz="4" w:space="0"/>
        </w:tcBorders>
      </w:tcPr>
    </w:tblStylePr>
    <w:tblStylePr w:type="firstCol">
      <w:rPr>
        <w:b/>
        <w:bCs/>
      </w:rPr>
    </w:tblStylePr>
    <w:tblStylePr w:type="lastCol">
      <w:rPr>
        <w:b/>
        <w:bCs/>
      </w:rPr>
    </w:tblStylePr>
    <w:tblStylePr w:type="band1Vert">
      <w:tcPr>
        <w:tcBorders>
          <w:left w:val="single" w:color="A1A1A1" w:themeColor="text1" w:themeTint="80" w:sz="4" w:space="0"/>
          <w:right w:val="single" w:color="A1A1A1" w:themeColor="text1" w:themeTint="80" w:sz="4" w:space="0"/>
        </w:tcBorders>
      </w:tcPr>
    </w:tblStylePr>
    <w:tblStylePr w:type="band2Vert">
      <w:tcPr>
        <w:tcBorders>
          <w:left w:val="single" w:color="A1A1A1" w:themeColor="text1" w:themeTint="80" w:sz="4" w:space="0"/>
          <w:right w:val="single" w:color="A1A1A1" w:themeColor="text1" w:themeTint="80" w:sz="4" w:space="0"/>
        </w:tcBorders>
      </w:tcPr>
    </w:tblStylePr>
    <w:tblStylePr w:type="band1Horz">
      <w:tcPr>
        <w:tcBorders>
          <w:top w:val="single" w:color="A1A1A1" w:themeColor="text1" w:themeTint="80" w:sz="4" w:space="0"/>
          <w:bottom w:val="single" w:color="A1A1A1" w:themeColor="text1" w:themeTint="80" w:sz="4" w:space="0"/>
        </w:tcBorders>
      </w:tcPr>
    </w:tblStylePr>
  </w:style>
  <w:style w:type="character" w:customStyle="1" w:styleId="63">
    <w:name w:val="No Spacing Char"/>
    <w:basedOn w:val="11"/>
    <w:link w:val="45"/>
    <w:qFormat/>
    <w:uiPriority w:val="1"/>
  </w:style>
  <w:style w:type="paragraph" w:customStyle="1" w:styleId="64">
    <w:name w:val="Title (White)"/>
    <w:basedOn w:val="1"/>
    <w:link w:val="66"/>
    <w:qFormat/>
    <w:uiPriority w:val="11"/>
    <w:rPr>
      <w:b/>
      <w:bCs/>
      <w:color w:val="FFFFFF" w:themeColor="background1"/>
      <w:sz w:val="56"/>
      <w:szCs w:val="48"/>
      <w14:textFill>
        <w14:solidFill>
          <w14:schemeClr w14:val="bg1"/>
        </w14:solidFill>
      </w14:textFill>
    </w:rPr>
  </w:style>
  <w:style w:type="paragraph" w:customStyle="1" w:styleId="65">
    <w:name w:val="Title (Black)"/>
    <w:basedOn w:val="1"/>
    <w:link w:val="73"/>
    <w:qFormat/>
    <w:uiPriority w:val="12"/>
    <w:rPr>
      <w:b/>
      <w:bCs/>
      <w:sz w:val="56"/>
      <w:szCs w:val="48"/>
    </w:rPr>
  </w:style>
  <w:style w:type="character" w:customStyle="1" w:styleId="66">
    <w:name w:val="Title (White) Char"/>
    <w:basedOn w:val="11"/>
    <w:link w:val="64"/>
    <w:qFormat/>
    <w:uiPriority w:val="11"/>
    <w:rPr>
      <w:b/>
      <w:bCs/>
      <w:color w:val="FFFFFF" w:themeColor="background1"/>
      <w:sz w:val="56"/>
      <w:szCs w:val="48"/>
      <w14:textFill>
        <w14:solidFill>
          <w14:schemeClr w14:val="bg1"/>
        </w14:solidFill>
      </w14:textFill>
    </w:rPr>
  </w:style>
  <w:style w:type="paragraph" w:customStyle="1" w:styleId="67">
    <w:name w:val="Heading X"/>
    <w:basedOn w:val="1"/>
    <w:link w:val="68"/>
    <w:qFormat/>
    <w:uiPriority w:val="9"/>
    <w:rPr>
      <w:color w:val="009BA4" w:themeColor="text2"/>
      <w:sz w:val="36"/>
      <w:szCs w:val="28"/>
      <w14:textFill>
        <w14:solidFill>
          <w14:schemeClr w14:val="tx2"/>
        </w14:solidFill>
      </w14:textFill>
    </w:rPr>
  </w:style>
  <w:style w:type="character" w:customStyle="1" w:styleId="68">
    <w:name w:val="Heading X Char"/>
    <w:basedOn w:val="11"/>
    <w:link w:val="67"/>
    <w:qFormat/>
    <w:uiPriority w:val="9"/>
    <w:rPr>
      <w:color w:val="009BA4" w:themeColor="text2"/>
      <w:sz w:val="36"/>
      <w:szCs w:val="28"/>
      <w14:textFill>
        <w14:solidFill>
          <w14:schemeClr w14:val="tx2"/>
        </w14:solidFill>
      </w14:textFill>
    </w:rPr>
  </w:style>
  <w:style w:type="paragraph" w:customStyle="1" w:styleId="69">
    <w:name w:val="Heading Y"/>
    <w:basedOn w:val="1"/>
    <w:link w:val="70"/>
    <w:qFormat/>
    <w:uiPriority w:val="10"/>
    <w:rPr>
      <w:color w:val="009BA4" w:themeColor="text2"/>
      <w:sz w:val="32"/>
      <w14:textFill>
        <w14:solidFill>
          <w14:schemeClr w14:val="tx2"/>
        </w14:solidFill>
      </w14:textFill>
    </w:rPr>
  </w:style>
  <w:style w:type="character" w:customStyle="1" w:styleId="70">
    <w:name w:val="Heading Y Char"/>
    <w:basedOn w:val="11"/>
    <w:link w:val="69"/>
    <w:qFormat/>
    <w:uiPriority w:val="10"/>
    <w:rPr>
      <w:color w:val="009BA4" w:themeColor="text2"/>
      <w:sz w:val="32"/>
      <w14:textFill>
        <w14:solidFill>
          <w14:schemeClr w14:val="tx2"/>
        </w14:solidFill>
      </w14:textFill>
    </w:rPr>
  </w:style>
  <w:style w:type="paragraph" w:customStyle="1" w:styleId="71">
    <w:name w:val="Title Page (Black)"/>
    <w:basedOn w:val="65"/>
    <w:link w:val="74"/>
    <w:qFormat/>
    <w:uiPriority w:val="35"/>
  </w:style>
  <w:style w:type="paragraph" w:customStyle="1" w:styleId="72">
    <w:name w:val="Toolkit Name"/>
    <w:basedOn w:val="1"/>
    <w:link w:val="76"/>
    <w:qFormat/>
    <w:uiPriority w:val="13"/>
    <w:pPr>
      <w:jc w:val="right"/>
    </w:pPr>
    <w:rPr>
      <w:rFonts w:asciiTheme="majorHAnsi" w:hAnsiTheme="majorHAnsi" w:cstheme="majorHAnsi"/>
      <w:b/>
      <w:bCs/>
      <w:color w:val="FFFFFF" w:themeColor="background1"/>
      <w:sz w:val="36"/>
      <w:szCs w:val="36"/>
      <w14:textFill>
        <w14:solidFill>
          <w14:schemeClr w14:val="bg1"/>
        </w14:solidFill>
      </w14:textFill>
    </w:rPr>
  </w:style>
  <w:style w:type="character" w:customStyle="1" w:styleId="73">
    <w:name w:val="Title (Black) Char"/>
    <w:basedOn w:val="11"/>
    <w:link w:val="65"/>
    <w:qFormat/>
    <w:uiPriority w:val="12"/>
    <w:rPr>
      <w:b/>
      <w:bCs/>
      <w:sz w:val="56"/>
      <w:szCs w:val="48"/>
    </w:rPr>
  </w:style>
  <w:style w:type="character" w:customStyle="1" w:styleId="74">
    <w:name w:val="Title Page (Black) Char"/>
    <w:basedOn w:val="73"/>
    <w:link w:val="71"/>
    <w:qFormat/>
    <w:uiPriority w:val="35"/>
    <w:rPr>
      <w:sz w:val="56"/>
      <w:szCs w:val="48"/>
    </w:rPr>
  </w:style>
  <w:style w:type="paragraph" w:customStyle="1" w:styleId="75">
    <w:name w:val="Title Page Table Header"/>
    <w:basedOn w:val="50"/>
    <w:link w:val="77"/>
    <w:qFormat/>
    <w:uiPriority w:val="8"/>
    <w:pPr>
      <w:framePr w:hSpace="180" w:wrap="around" w:vAnchor="text" w:hAnchor="margin" w:xAlign="right" w:y="254"/>
    </w:pPr>
  </w:style>
  <w:style w:type="character" w:customStyle="1" w:styleId="76">
    <w:name w:val="Toolkit Name Char"/>
    <w:basedOn w:val="11"/>
    <w:link w:val="72"/>
    <w:qFormat/>
    <w:uiPriority w:val="13"/>
    <w:rPr>
      <w:rFonts w:asciiTheme="majorHAnsi" w:hAnsiTheme="majorHAnsi" w:cstheme="majorHAnsi"/>
      <w:b/>
      <w:bCs/>
      <w:color w:val="FFFFFF" w:themeColor="background1"/>
      <w:sz w:val="36"/>
      <w:szCs w:val="36"/>
      <w14:textFill>
        <w14:solidFill>
          <w14:schemeClr w14:val="bg1"/>
        </w14:solidFill>
      </w14:textFill>
    </w:rPr>
  </w:style>
  <w:style w:type="character" w:customStyle="1" w:styleId="77">
    <w:name w:val="Title Page Table Header Char"/>
    <w:basedOn w:val="52"/>
    <w:link w:val="75"/>
    <w:qFormat/>
    <w:uiPriority w:val="8"/>
    <w:rPr>
      <w:color w:val="FFFFFF" w:themeColor="background1"/>
      <w:sz w:val="20"/>
      <w14:textFill>
        <w14:solidFill>
          <w14:schemeClr w14:val="bg1"/>
        </w14:solidFill>
      </w14:textFill>
    </w:rPr>
  </w:style>
  <w:style w:type="paragraph" w:customStyle="1" w:styleId="78">
    <w:name w:val="Form header"/>
    <w:basedOn w:val="1"/>
    <w:link w:val="79"/>
    <w:qFormat/>
    <w:uiPriority w:val="16"/>
    <w:pPr>
      <w:spacing w:before="60" w:after="60"/>
    </w:pPr>
    <w:rPr>
      <w:b/>
      <w:bCs/>
    </w:rPr>
  </w:style>
  <w:style w:type="character" w:customStyle="1" w:styleId="79">
    <w:name w:val="Form header Char"/>
    <w:basedOn w:val="11"/>
    <w:link w:val="78"/>
    <w:qFormat/>
    <w:uiPriority w:val="16"/>
    <w:rPr>
      <w:b/>
      <w:bCs/>
    </w:rPr>
  </w:style>
  <w:style w:type="character" w:customStyle="1" w:styleId="80">
    <w:name w:val="Heading 7 Char"/>
    <w:basedOn w:val="11"/>
    <w:link w:val="8"/>
    <w:semiHidden/>
    <w:qFormat/>
    <w:uiPriority w:val="9"/>
    <w:rPr>
      <w:rFonts w:asciiTheme="majorHAnsi" w:hAnsiTheme="majorHAnsi" w:eastAsiaTheme="majorEastAsia" w:cstheme="majorBidi"/>
      <w:i/>
      <w:iCs/>
      <w:color w:val="004E52" w:themeColor="accent1" w:themeShade="80"/>
    </w:rPr>
  </w:style>
  <w:style w:type="character" w:customStyle="1" w:styleId="81">
    <w:name w:val="Heading 8 Char"/>
    <w:basedOn w:val="11"/>
    <w:link w:val="9"/>
    <w:semiHidden/>
    <w:qFormat/>
    <w:uiPriority w:val="9"/>
    <w:rPr>
      <w:rFonts w:asciiTheme="majorHAnsi" w:hAnsiTheme="majorHAnsi" w:eastAsiaTheme="majorEastAsia" w:cstheme="majorBidi"/>
      <w:color w:val="606060" w:themeColor="text1" w:themeTint="D9"/>
      <w:sz w:val="21"/>
      <w:szCs w:val="21"/>
      <w14:textFill>
        <w14:solidFill>
          <w14:schemeClr w14:val="tx1">
            <w14:lumMod w14:val="85000"/>
            <w14:lumOff w14:val="15000"/>
          </w14:schemeClr>
        </w14:solidFill>
      </w14:textFill>
    </w:rPr>
  </w:style>
  <w:style w:type="character" w:customStyle="1" w:styleId="82">
    <w:name w:val="Heading 9 Char"/>
    <w:basedOn w:val="11"/>
    <w:link w:val="10"/>
    <w:semiHidden/>
    <w:qFormat/>
    <w:uiPriority w:val="9"/>
    <w:rPr>
      <w:rFonts w:asciiTheme="majorHAnsi" w:hAnsiTheme="majorHAnsi" w:eastAsiaTheme="majorEastAsia" w:cstheme="majorBidi"/>
      <w:i/>
      <w:iCs/>
      <w:color w:val="606060" w:themeColor="text1" w:themeTint="D9"/>
      <w:sz w:val="21"/>
      <w:szCs w:val="21"/>
      <w14:textFill>
        <w14:solidFill>
          <w14:schemeClr w14:val="tx1">
            <w14:lumMod w14:val="85000"/>
            <w14:lumOff w14:val="15000"/>
          </w14:schemeClr>
        </w14:solidFill>
      </w14:textFill>
    </w:rPr>
  </w:style>
  <w:style w:type="paragraph" w:customStyle="1" w:styleId="83">
    <w:name w:val="Form title"/>
    <w:basedOn w:val="1"/>
    <w:link w:val="84"/>
    <w:qFormat/>
    <w:uiPriority w:val="15"/>
    <w:pPr>
      <w:jc w:val="right"/>
    </w:pPr>
    <w:rPr>
      <w:b/>
      <w:bCs/>
      <w:sz w:val="36"/>
      <w:szCs w:val="36"/>
    </w:rPr>
  </w:style>
  <w:style w:type="character" w:customStyle="1" w:styleId="84">
    <w:name w:val="Form title Char"/>
    <w:basedOn w:val="11"/>
    <w:link w:val="83"/>
    <w:qFormat/>
    <w:uiPriority w:val="15"/>
    <w:rPr>
      <w:b/>
      <w:bCs/>
      <w:sz w:val="36"/>
      <w:szCs w:val="36"/>
    </w:rPr>
  </w:style>
  <w:style w:type="paragraph" w:customStyle="1" w:styleId="85">
    <w:name w:val="Form body"/>
    <w:basedOn w:val="1"/>
    <w:link w:val="86"/>
    <w:qFormat/>
    <w:uiPriority w:val="17"/>
    <w:pPr>
      <w:spacing w:before="60" w:after="60"/>
    </w:pPr>
  </w:style>
  <w:style w:type="character" w:customStyle="1" w:styleId="86">
    <w:name w:val="Form body Char"/>
    <w:basedOn w:val="11"/>
    <w:link w:val="85"/>
    <w:qFormat/>
    <w:uiPriority w:val="17"/>
  </w:style>
  <w:style w:type="character" w:customStyle="1" w:styleId="87">
    <w:name w:val="Title Char"/>
    <w:basedOn w:val="11"/>
    <w:link w:val="24"/>
    <w:qFormat/>
    <w:uiPriority w:val="12"/>
    <w:rPr>
      <w:rFonts w:eastAsiaTheme="majorEastAsia" w:cstheme="majorBidi"/>
      <w:b/>
      <w:bCs/>
      <w:sz w:val="56"/>
      <w:szCs w:val="48"/>
    </w:rPr>
  </w:style>
  <w:style w:type="character" w:customStyle="1" w:styleId="88">
    <w:name w:val="Heading 6 Char"/>
    <w:basedOn w:val="11"/>
    <w:link w:val="7"/>
    <w:semiHidden/>
    <w:qFormat/>
    <w:uiPriority w:val="9"/>
    <w:rPr>
      <w:caps/>
      <w:color w:val="00747B" w:themeColor="accent1" w:themeShade="BF"/>
      <w:spacing w:val="10"/>
    </w:rPr>
  </w:style>
  <w:style w:type="character" w:customStyle="1" w:styleId="89">
    <w:name w:val="Subtitle Char"/>
    <w:basedOn w:val="11"/>
    <w:link w:val="21"/>
    <w:qFormat/>
    <w:uiPriority w:val="11"/>
    <w:rPr>
      <w:caps/>
      <w:color w:val="858585" w:themeColor="text1" w:themeTint="A6"/>
      <w:spacing w:val="10"/>
      <w:sz w:val="21"/>
      <w:szCs w:val="21"/>
      <w14:textFill>
        <w14:solidFill>
          <w14:schemeClr w14:val="tx1">
            <w14:lumMod w14:val="65000"/>
            <w14:lumOff w14:val="35000"/>
          </w14:schemeClr>
        </w14:solidFill>
      </w14:textFill>
    </w:rPr>
  </w:style>
  <w:style w:type="paragraph" w:styleId="90">
    <w:name w:val="Quote"/>
    <w:basedOn w:val="1"/>
    <w:next w:val="1"/>
    <w:link w:val="91"/>
    <w:qFormat/>
    <w:uiPriority w:val="29"/>
    <w:rPr>
      <w:i/>
      <w:iCs/>
    </w:rPr>
  </w:style>
  <w:style w:type="character" w:customStyle="1" w:styleId="91">
    <w:name w:val="Quote Char"/>
    <w:basedOn w:val="11"/>
    <w:link w:val="90"/>
    <w:qFormat/>
    <w:uiPriority w:val="29"/>
    <w:rPr>
      <w:i/>
      <w:iCs/>
      <w:sz w:val="24"/>
      <w:szCs w:val="24"/>
    </w:rPr>
  </w:style>
  <w:style w:type="paragraph" w:styleId="92">
    <w:name w:val="Intense Quote"/>
    <w:basedOn w:val="1"/>
    <w:next w:val="1"/>
    <w:link w:val="93"/>
    <w:qFormat/>
    <w:uiPriority w:val="30"/>
    <w:pPr>
      <w:ind w:left="1080" w:right="1080"/>
      <w:jc w:val="center"/>
    </w:pPr>
    <w:rPr>
      <w:color w:val="009BA4" w:themeColor="accent1"/>
      <w14:textFill>
        <w14:solidFill>
          <w14:schemeClr w14:val="accent1"/>
        </w14:solidFill>
      </w14:textFill>
    </w:rPr>
  </w:style>
  <w:style w:type="character" w:customStyle="1" w:styleId="93">
    <w:name w:val="Intense Quote Char"/>
    <w:basedOn w:val="11"/>
    <w:link w:val="92"/>
    <w:qFormat/>
    <w:uiPriority w:val="30"/>
    <w:rPr>
      <w:color w:val="009BA4" w:themeColor="accent1"/>
      <w:sz w:val="24"/>
      <w:szCs w:val="24"/>
      <w14:textFill>
        <w14:solidFill>
          <w14:schemeClr w14:val="accent1"/>
        </w14:solidFill>
      </w14:textFill>
    </w:rPr>
  </w:style>
  <w:style w:type="character" w:customStyle="1" w:styleId="94">
    <w:name w:val="Subtle Emphasis"/>
    <w:qFormat/>
    <w:uiPriority w:val="19"/>
    <w:rPr>
      <w:i/>
      <w:iCs/>
      <w:color w:val="004E52" w:themeColor="accent1" w:themeShade="80"/>
    </w:rPr>
  </w:style>
  <w:style w:type="character" w:customStyle="1" w:styleId="95">
    <w:name w:val="Intense Emphasis"/>
    <w:qFormat/>
    <w:uiPriority w:val="21"/>
    <w:rPr>
      <w:b/>
      <w:bCs/>
      <w:caps/>
      <w:color w:val="004E52" w:themeColor="accent1" w:themeShade="80"/>
      <w:spacing w:val="10"/>
    </w:rPr>
  </w:style>
  <w:style w:type="character" w:customStyle="1" w:styleId="96">
    <w:name w:val="Subtle Reference"/>
    <w:qFormat/>
    <w:uiPriority w:val="31"/>
    <w:rPr>
      <w:b/>
      <w:bCs/>
      <w:color w:val="009BA4" w:themeColor="accent1"/>
      <w14:textFill>
        <w14:solidFill>
          <w14:schemeClr w14:val="accent1"/>
        </w14:solidFill>
      </w14:textFill>
    </w:rPr>
  </w:style>
  <w:style w:type="character" w:customStyle="1" w:styleId="97">
    <w:name w:val="Intense Reference"/>
    <w:qFormat/>
    <w:uiPriority w:val="32"/>
    <w:rPr>
      <w:b/>
      <w:bCs/>
      <w:i/>
      <w:iCs/>
      <w:caps/>
      <w:color w:val="009BA4" w:themeColor="accent1"/>
      <w14:textFill>
        <w14:solidFill>
          <w14:schemeClr w14:val="accent1"/>
        </w14:solidFill>
      </w14:textFill>
    </w:rPr>
  </w:style>
  <w:style w:type="character" w:customStyle="1" w:styleId="98">
    <w:name w:val="Book Title"/>
    <w:qFormat/>
    <w:uiPriority w:val="33"/>
    <w:rPr>
      <w:b/>
      <w:bCs/>
      <w:i/>
      <w:iCs/>
      <w:spacing w:val="0"/>
    </w:rPr>
  </w:style>
  <w:style w:type="paragraph" w:customStyle="1" w:styleId="99">
    <w:name w:val="WPSOffice手动目录 1"/>
    <w:uiPriority w:val="0"/>
    <w:pPr>
      <w:ind w:leftChars="0"/>
    </w:pPr>
    <w:rPr>
      <w:rFonts w:eastAsia="Times New Roman" w:cs="Times New Roman" w:asciiTheme="minorHAnsi" w:hAnsiTheme="minorHAns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03d366e-2e9b-4be9-b686-17dfc2520fb7}"/>
        <w:style w:val=""/>
        <w:category>
          <w:name w:val="General"/>
          <w:gallery w:val="placeholder"/>
        </w:category>
        <w:types>
          <w:type w:val="bbPlcHdr"/>
        </w:types>
        <w:behaviors>
          <w:behavior w:val="content"/>
        </w:behaviors>
        <w:description w:val=""/>
        <w:guid w:val="{e03d366e-2e9b-4be9-b686-17dfc2520fb7}"/>
      </w:docPartPr>
      <w:docPartBody>
        <w:p w14:paraId="0AE59F9E">
          <w:pPr>
            <w:pStyle w:val="5"/>
          </w:pPr>
          <w:r>
            <w:rPr>
              <w:rStyle w:val="4"/>
            </w:rPr>
            <w:t>Click or tap here to enter text.</w:t>
          </w:r>
        </w:p>
      </w:docPartBody>
    </w:docPart>
    <w:docPart>
      <w:docPartPr>
        <w:name w:val="{53360751-b50a-4a70-957b-ef2f3bac49d8}"/>
        <w:style w:val=""/>
        <w:category>
          <w:name w:val="General"/>
          <w:gallery w:val="placeholder"/>
        </w:category>
        <w:types>
          <w:type w:val="bbPlcHdr"/>
        </w:types>
        <w:behaviors>
          <w:behavior w:val="content"/>
        </w:behaviors>
        <w:description w:val=""/>
        <w:guid w:val="{53360751-b50a-4a70-957b-ef2f3bac49d8}"/>
      </w:docPartPr>
      <w:docPartBody>
        <w:p w14:paraId="19565934">
          <w:pPr>
            <w:pStyle w:val="6"/>
          </w:pPr>
          <w:r>
            <w:rPr>
              <w:rStyle w:val="4"/>
            </w:rPr>
            <w:t>Click or tap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54"/>
    <w:rsid w:val="000A4A70"/>
    <w:rsid w:val="000A7125"/>
    <w:rsid w:val="000D5F12"/>
    <w:rsid w:val="001151DE"/>
    <w:rsid w:val="00133F2C"/>
    <w:rsid w:val="001574F6"/>
    <w:rsid w:val="001653F8"/>
    <w:rsid w:val="001777D3"/>
    <w:rsid w:val="001944A3"/>
    <w:rsid w:val="001D4C48"/>
    <w:rsid w:val="001D7D4C"/>
    <w:rsid w:val="001E0136"/>
    <w:rsid w:val="001F52FD"/>
    <w:rsid w:val="001F782D"/>
    <w:rsid w:val="00205285"/>
    <w:rsid w:val="002147AF"/>
    <w:rsid w:val="0022563F"/>
    <w:rsid w:val="00272379"/>
    <w:rsid w:val="002A2ED8"/>
    <w:rsid w:val="002B4689"/>
    <w:rsid w:val="002E3879"/>
    <w:rsid w:val="002F186D"/>
    <w:rsid w:val="00347498"/>
    <w:rsid w:val="0038529D"/>
    <w:rsid w:val="003D77F1"/>
    <w:rsid w:val="004504F1"/>
    <w:rsid w:val="004B0FD3"/>
    <w:rsid w:val="004B60FB"/>
    <w:rsid w:val="004D2B87"/>
    <w:rsid w:val="00535C4B"/>
    <w:rsid w:val="00555984"/>
    <w:rsid w:val="00587C83"/>
    <w:rsid w:val="00594754"/>
    <w:rsid w:val="00630E7D"/>
    <w:rsid w:val="00662406"/>
    <w:rsid w:val="006879AA"/>
    <w:rsid w:val="006912C8"/>
    <w:rsid w:val="006D612A"/>
    <w:rsid w:val="00701DEC"/>
    <w:rsid w:val="00733A9B"/>
    <w:rsid w:val="00741E17"/>
    <w:rsid w:val="0079194A"/>
    <w:rsid w:val="007C4C8E"/>
    <w:rsid w:val="007C5F4A"/>
    <w:rsid w:val="007D2207"/>
    <w:rsid w:val="007E0D2A"/>
    <w:rsid w:val="00846105"/>
    <w:rsid w:val="0089297F"/>
    <w:rsid w:val="009C32BE"/>
    <w:rsid w:val="00A511C8"/>
    <w:rsid w:val="00A85C70"/>
    <w:rsid w:val="00AA26D2"/>
    <w:rsid w:val="00AA6D9F"/>
    <w:rsid w:val="00AE75FB"/>
    <w:rsid w:val="00B12885"/>
    <w:rsid w:val="00BC199E"/>
    <w:rsid w:val="00BD1005"/>
    <w:rsid w:val="00C60B9F"/>
    <w:rsid w:val="00CD7653"/>
    <w:rsid w:val="00D42952"/>
    <w:rsid w:val="00D56FC3"/>
    <w:rsid w:val="00DD399C"/>
    <w:rsid w:val="00DD4C9F"/>
    <w:rsid w:val="00DD53BB"/>
    <w:rsid w:val="00DE2832"/>
    <w:rsid w:val="00DE625A"/>
    <w:rsid w:val="00E45CC2"/>
    <w:rsid w:val="00E753B8"/>
    <w:rsid w:val="00E93EE8"/>
    <w:rsid w:val="00EF4225"/>
    <w:rsid w:val="00F04438"/>
    <w:rsid w:val="00F42FEC"/>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D3A53425E4D446CB00BCB6A89E9B8E0"/>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BB316B96C5864064A972B2CA55349196"/>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FBE391B385AD844AB493184D886D2C9" ma:contentTypeVersion="6" ma:contentTypeDescription="Create a new document." ma:contentTypeScope="" ma:versionID="b06754cb97ed1caa3d36cbc88c452a66">
  <xsd:schema xmlns:xsd="http://www.w3.org/2001/XMLSchema" xmlns:xs="http://www.w3.org/2001/XMLSchema" xmlns:p="http://schemas.microsoft.com/office/2006/metadata/properties" xmlns:ns2="72939085-20c8-49cd-a6b5-18876cf04c0b" targetNamespace="http://schemas.microsoft.com/office/2006/metadata/properties" ma:root="true" ma:fieldsID="748203485cc0dd8fb77204c51c686b80" ns2:_="">
    <xsd:import namespace="72939085-20c8-49cd-a6b5-18876cf04c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39085-20c8-49cd-a6b5-18876cf04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89C290-F305-43C5-8BAA-0D389BE8AE4A}">
  <ds:schemaRefs/>
</ds:datastoreItem>
</file>

<file path=customXml/itemProps3.xml><?xml version="1.0" encoding="utf-8"?>
<ds:datastoreItem xmlns:ds="http://schemas.openxmlformats.org/officeDocument/2006/customXml" ds:itemID="{2390C505-9DE7-4B9C-B8E5-A59BE4E80791}">
  <ds:schemaRefs/>
</ds:datastoreItem>
</file>

<file path=customXml/itemProps4.xml><?xml version="1.0" encoding="utf-8"?>
<ds:datastoreItem xmlns:ds="http://schemas.openxmlformats.org/officeDocument/2006/customXml" ds:itemID="{31618442-F11D-4F28-82B8-9EEC3B8A1DE2}">
  <ds:schemaRefs/>
</ds:datastoreItem>
</file>

<file path=customXml/itemProps5.xml><?xml version="1.0" encoding="utf-8"?>
<ds:datastoreItem xmlns:ds="http://schemas.openxmlformats.org/officeDocument/2006/customXml" ds:itemID="{57335A4B-6B9E-47AB-8BFC-D4EB445EB6DD}">
  <ds:schemaRefs/>
</ds:datastoreItem>
</file>

<file path=docProps/app.xml><?xml version="1.0" encoding="utf-8"?>
<Properties xmlns="http://schemas.openxmlformats.org/officeDocument/2006/extended-properties" xmlns:vt="http://schemas.openxmlformats.org/officeDocument/2006/docPropsVTypes">
  <Template>Normal</Template>
  <Pages>10</Pages>
  <Words>2578</Words>
  <Characters>14696</Characters>
  <Lines>122</Lines>
  <Paragraphs>34</Paragraphs>
  <TotalTime>8</TotalTime>
  <ScaleCrop>false</ScaleCrop>
  <LinksUpToDate>false</LinksUpToDate>
  <CharactersWithSpaces>17240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2019-07-31T13:20:00Z</dcterms:created>
  <dc:creator>Copyright CertiKit</dc:creator>
  <cp:lastModifiedBy>Stephanie Uzama</cp:lastModifiedBy>
  <dcterms:modified xsi:type="dcterms:W3CDTF">2025-10-24T15:07:18Z</dcterms:modified>
  <dc:title>CertiKit ISO27001 Toolkit</dc:title>
  <cp:revision>898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Order">
    <vt:r8>1273800</vt:r8>
  </property>
  <property fmtid="{D5CDD505-2E9C-101B-9397-08002B2CF9AE}" pid="4" name="ContentTypeId">
    <vt:lpwstr>0x0101004FBE391B385AD844AB493184D886D2C9</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y fmtid="{D5CDD505-2E9C-101B-9397-08002B2CF9AE}" pid="9" name="MSIP_Label_99f6558b-068d-40af-834e-396ad12ce252_Enabled">
    <vt:lpwstr>true</vt:lpwstr>
  </property>
  <property fmtid="{D5CDD505-2E9C-101B-9397-08002B2CF9AE}" pid="10" name="MSIP_Label_99f6558b-068d-40af-834e-396ad12ce252_SetDate">
    <vt:lpwstr>2025-08-15T13:40:09Z</vt:lpwstr>
  </property>
  <property fmtid="{D5CDD505-2E9C-101B-9397-08002B2CF9AE}" pid="11" name="MSIP_Label_99f6558b-068d-40af-834e-396ad12ce252_Method">
    <vt:lpwstr>Standard</vt:lpwstr>
  </property>
  <property fmtid="{D5CDD505-2E9C-101B-9397-08002B2CF9AE}" pid="12" name="MSIP_Label_99f6558b-068d-40af-834e-396ad12ce252_Name">
    <vt:lpwstr>None</vt:lpwstr>
  </property>
  <property fmtid="{D5CDD505-2E9C-101B-9397-08002B2CF9AE}" pid="13" name="MSIP_Label_99f6558b-068d-40af-834e-396ad12ce252_SiteId">
    <vt:lpwstr>9d9b5b64-d03d-4521-b2e7-2a9a16aa5d2b</vt:lpwstr>
  </property>
  <property fmtid="{D5CDD505-2E9C-101B-9397-08002B2CF9AE}" pid="14" name="MSIP_Label_99f6558b-068d-40af-834e-396ad12ce252_ActionId">
    <vt:lpwstr>3623cc4d-2ef4-43e0-94d3-117af142a812</vt:lpwstr>
  </property>
  <property fmtid="{D5CDD505-2E9C-101B-9397-08002B2CF9AE}" pid="15" name="MSIP_Label_99f6558b-068d-40af-834e-396ad12ce252_ContentBits">
    <vt:lpwstr>0</vt:lpwstr>
  </property>
  <property fmtid="{D5CDD505-2E9C-101B-9397-08002B2CF9AE}" pid="16" name="MSIP_Label_99f6558b-068d-40af-834e-396ad12ce252_Tag">
    <vt:lpwstr>10, 3, 0, 1</vt:lpwstr>
  </property>
  <property fmtid="{D5CDD505-2E9C-101B-9397-08002B2CF9AE}" pid="17" name="KSOProductBuildVer">
    <vt:lpwstr>2057-12.2.0.23149</vt:lpwstr>
  </property>
  <property fmtid="{D5CDD505-2E9C-101B-9397-08002B2CF9AE}" pid="18" name="ICV">
    <vt:lpwstr>758AC29B63444A53AAE7233976CA6493_12</vt:lpwstr>
  </property>
</Properties>
</file>