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261E" w14:textId="11B97EB6" w:rsidR="002A57D1" w:rsidRPr="002121A4" w:rsidRDefault="002A57D1" w:rsidP="00482B28">
      <w:pPr>
        <w:pStyle w:val="Kopfzeile"/>
        <w:ind w:left="708"/>
        <w:jc w:val="right"/>
        <w:rPr>
          <w:lang w:val="en-GB"/>
        </w:rPr>
      </w:pPr>
      <w:r w:rsidRPr="002121A4">
        <w:rPr>
          <w:noProof/>
          <w:szCs w:val="23"/>
          <w:lang w:val="en-GB" w:eastAsia="de-DE"/>
        </w:rPr>
        <w:drawing>
          <wp:anchor distT="0" distB="0" distL="114300" distR="114300" simplePos="0" relativeHeight="251653632" behindDoc="1" locked="0" layoutInCell="1" allowOverlap="1" wp14:anchorId="26F64DB4" wp14:editId="2C0B29FB">
            <wp:simplePos x="0" y="0"/>
            <wp:positionH relativeFrom="column">
              <wp:posOffset>0</wp:posOffset>
            </wp:positionH>
            <wp:positionV relativeFrom="page">
              <wp:posOffset>453224</wp:posOffset>
            </wp:positionV>
            <wp:extent cx="2194560" cy="692785"/>
            <wp:effectExtent l="0" t="0" r="0" b="0"/>
            <wp:wrapNone/>
            <wp:docPr id="1" name="Bild 1" descr="logo_sw_8x2cm"/>
            <wp:cNvGraphicFramePr/>
            <a:graphic xmlns:a="http://schemas.openxmlformats.org/drawingml/2006/main">
              <a:graphicData uri="http://schemas.openxmlformats.org/drawingml/2006/picture">
                <pic:pic xmlns:pic="http://schemas.openxmlformats.org/drawingml/2006/picture">
                  <pic:nvPicPr>
                    <pic:cNvPr id="6" name="Bild 1" descr="logo_sw_8x2cm"/>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4560" cy="692785"/>
                    </a:xfrm>
                    <a:prstGeom prst="rect">
                      <a:avLst/>
                    </a:prstGeom>
                    <a:noFill/>
                    <a:ln>
                      <a:noFill/>
                    </a:ln>
                  </pic:spPr>
                </pic:pic>
              </a:graphicData>
            </a:graphic>
            <wp14:sizeRelH relativeFrom="page">
              <wp14:pctWidth>0</wp14:pctWidth>
            </wp14:sizeRelH>
            <wp14:sizeRelV relativeFrom="page">
              <wp14:pctHeight>0</wp14:pctHeight>
            </wp14:sizeRelV>
          </wp:anchor>
        </w:drawing>
      </w:r>
      <w:r w:rsidR="00D10B3E" w:rsidRPr="002121A4">
        <w:rPr>
          <w:lang w:val="en-GB"/>
        </w:rPr>
        <w:tab/>
      </w:r>
    </w:p>
    <w:p w14:paraId="5C298EEB" w14:textId="77777777" w:rsidR="00955891" w:rsidRPr="002121A4" w:rsidRDefault="00955891" w:rsidP="00A83093">
      <w:pPr>
        <w:spacing w:before="0" w:after="160" w:line="259" w:lineRule="auto"/>
        <w:rPr>
          <w:b/>
          <w:caps/>
          <w:sz w:val="24"/>
          <w:szCs w:val="24"/>
          <w:lang w:val="en-GB"/>
        </w:rPr>
      </w:pPr>
    </w:p>
    <w:p w14:paraId="1AAFD27B" w14:textId="77777777" w:rsidR="00955891" w:rsidRPr="002121A4" w:rsidRDefault="00955891" w:rsidP="00A83093">
      <w:pPr>
        <w:spacing w:before="0" w:after="160" w:line="259" w:lineRule="auto"/>
        <w:rPr>
          <w:b/>
          <w:caps/>
          <w:sz w:val="24"/>
          <w:szCs w:val="24"/>
          <w:lang w:val="en-GB"/>
        </w:rPr>
      </w:pPr>
    </w:p>
    <w:p w14:paraId="2A17C951" w14:textId="77777777" w:rsidR="00955891" w:rsidRPr="002121A4" w:rsidRDefault="00955891" w:rsidP="00A83093">
      <w:pPr>
        <w:spacing w:before="0" w:after="160" w:line="259" w:lineRule="auto"/>
        <w:jc w:val="center"/>
        <w:rPr>
          <w:b/>
          <w:caps/>
          <w:sz w:val="24"/>
          <w:szCs w:val="24"/>
          <w:lang w:val="en-GB"/>
        </w:rPr>
      </w:pPr>
    </w:p>
    <w:p w14:paraId="3735F124" w14:textId="77777777" w:rsidR="00955891" w:rsidRPr="002121A4" w:rsidRDefault="00955891" w:rsidP="00A83093">
      <w:pPr>
        <w:spacing w:before="0" w:after="160" w:line="259" w:lineRule="auto"/>
        <w:jc w:val="center"/>
        <w:rPr>
          <w:b/>
          <w:caps/>
          <w:sz w:val="24"/>
          <w:szCs w:val="24"/>
          <w:lang w:val="en-GB"/>
        </w:rPr>
      </w:pPr>
    </w:p>
    <w:p w14:paraId="204353F1" w14:textId="45C8BDC5" w:rsidR="00955891" w:rsidRPr="002121A4" w:rsidRDefault="00955891" w:rsidP="00A83093">
      <w:pPr>
        <w:spacing w:before="0" w:after="160" w:line="259" w:lineRule="auto"/>
        <w:jc w:val="center"/>
        <w:rPr>
          <w:b/>
          <w:caps/>
          <w:sz w:val="24"/>
          <w:szCs w:val="24"/>
          <w:lang w:val="en-GB"/>
        </w:rPr>
      </w:pPr>
    </w:p>
    <w:p w14:paraId="35F4FC89" w14:textId="77777777" w:rsidR="00955891" w:rsidRPr="002121A4" w:rsidRDefault="00955891" w:rsidP="00A83093">
      <w:pPr>
        <w:spacing w:before="0" w:after="160" w:line="259" w:lineRule="auto"/>
        <w:jc w:val="center"/>
        <w:rPr>
          <w:b/>
          <w:caps/>
          <w:sz w:val="24"/>
          <w:szCs w:val="24"/>
          <w:lang w:val="en-GB"/>
        </w:rPr>
      </w:pPr>
    </w:p>
    <w:p w14:paraId="617C08A0" w14:textId="77777777" w:rsidR="009B69B5" w:rsidRPr="002121A4" w:rsidRDefault="009B69B5" w:rsidP="00A83093">
      <w:pPr>
        <w:spacing w:before="0" w:after="160" w:line="259" w:lineRule="auto"/>
        <w:jc w:val="center"/>
        <w:rPr>
          <w:b/>
          <w:caps/>
          <w:sz w:val="24"/>
          <w:szCs w:val="24"/>
          <w:lang w:val="en-GB"/>
        </w:rPr>
      </w:pPr>
    </w:p>
    <w:p w14:paraId="03AA5ED8" w14:textId="77777777" w:rsidR="009B69B5" w:rsidRPr="002121A4" w:rsidRDefault="009B69B5" w:rsidP="00A83093">
      <w:pPr>
        <w:spacing w:before="0" w:after="160" w:line="259" w:lineRule="auto"/>
        <w:jc w:val="center"/>
        <w:rPr>
          <w:b/>
          <w:caps/>
          <w:sz w:val="24"/>
          <w:szCs w:val="24"/>
          <w:lang w:val="en-GB"/>
        </w:rPr>
      </w:pPr>
    </w:p>
    <w:p w14:paraId="77623803" w14:textId="77777777" w:rsidR="009B69B5" w:rsidRPr="002121A4" w:rsidRDefault="009B69B5" w:rsidP="00A83093">
      <w:pPr>
        <w:spacing w:before="0" w:after="160" w:line="259" w:lineRule="auto"/>
        <w:jc w:val="center"/>
        <w:rPr>
          <w:b/>
          <w:caps/>
          <w:sz w:val="24"/>
          <w:szCs w:val="24"/>
          <w:lang w:val="en-GB"/>
        </w:rPr>
      </w:pPr>
    </w:p>
    <w:p w14:paraId="7315E9ED" w14:textId="77777777" w:rsidR="009B69B5" w:rsidRPr="002121A4" w:rsidRDefault="009B69B5" w:rsidP="00A83093">
      <w:pPr>
        <w:spacing w:before="0" w:after="160" w:line="259" w:lineRule="auto"/>
        <w:jc w:val="center"/>
        <w:rPr>
          <w:b/>
          <w:caps/>
          <w:sz w:val="24"/>
          <w:szCs w:val="24"/>
          <w:lang w:val="en-GB"/>
        </w:rPr>
      </w:pPr>
    </w:p>
    <w:p w14:paraId="74DA3042" w14:textId="0E0BBB1C" w:rsidR="00955891" w:rsidRPr="002121A4" w:rsidRDefault="00955891" w:rsidP="00A83093">
      <w:pPr>
        <w:spacing w:before="0" w:after="160" w:line="259" w:lineRule="auto"/>
        <w:jc w:val="center"/>
        <w:rPr>
          <w:b/>
          <w:caps/>
          <w:sz w:val="24"/>
          <w:szCs w:val="24"/>
          <w:lang w:val="en-GB"/>
        </w:rPr>
      </w:pPr>
      <w:r w:rsidRPr="002121A4">
        <w:rPr>
          <w:b/>
          <w:caps/>
          <w:sz w:val="24"/>
          <w:szCs w:val="24"/>
          <w:lang w:val="en-GB"/>
        </w:rPr>
        <w:t>EU Capital Markets Law</w:t>
      </w:r>
    </w:p>
    <w:p w14:paraId="781E1DB9" w14:textId="788D17E6" w:rsidR="00955891" w:rsidRPr="002121A4" w:rsidRDefault="00955891" w:rsidP="00A83093">
      <w:pPr>
        <w:spacing w:before="0" w:after="160" w:line="259" w:lineRule="auto"/>
        <w:jc w:val="center"/>
        <w:rPr>
          <w:b/>
          <w:caps/>
          <w:sz w:val="24"/>
          <w:szCs w:val="24"/>
          <w:lang w:val="en-GB"/>
        </w:rPr>
      </w:pPr>
      <w:r w:rsidRPr="002121A4">
        <w:rPr>
          <w:b/>
          <w:caps/>
          <w:sz w:val="24"/>
          <w:szCs w:val="24"/>
          <w:lang w:val="en-GB"/>
        </w:rPr>
        <w:t>SumMer Term 202</w:t>
      </w:r>
      <w:r w:rsidR="00EB1742">
        <w:rPr>
          <w:b/>
          <w:caps/>
          <w:sz w:val="24"/>
          <w:szCs w:val="24"/>
          <w:lang w:val="en-GB"/>
        </w:rPr>
        <w:t>5</w:t>
      </w:r>
    </w:p>
    <w:p w14:paraId="1DBD1479" w14:textId="646E9C35" w:rsidR="002A57D1" w:rsidRPr="002121A4" w:rsidRDefault="002A57D1" w:rsidP="00A83093">
      <w:pPr>
        <w:spacing w:before="0" w:after="160" w:line="259" w:lineRule="auto"/>
        <w:jc w:val="center"/>
        <w:rPr>
          <w:szCs w:val="23"/>
          <w:lang w:val="en-GB"/>
        </w:rPr>
      </w:pPr>
      <w:r w:rsidRPr="002121A4">
        <w:rPr>
          <w:szCs w:val="23"/>
          <w:lang w:val="en-GB"/>
        </w:rPr>
        <w:t>Stephan Balthasar</w:t>
      </w:r>
    </w:p>
    <w:p w14:paraId="4905565D" w14:textId="6CCF1ABA" w:rsidR="002A57D1" w:rsidRPr="002121A4" w:rsidRDefault="002A57D1" w:rsidP="00A83093">
      <w:pPr>
        <w:spacing w:before="0" w:after="160" w:line="259" w:lineRule="auto"/>
        <w:jc w:val="center"/>
        <w:rPr>
          <w:szCs w:val="23"/>
          <w:lang w:val="en-GB"/>
        </w:rPr>
      </w:pPr>
    </w:p>
    <w:p w14:paraId="604155D1" w14:textId="77777777" w:rsidR="002A57D1" w:rsidRPr="002121A4" w:rsidRDefault="002A57D1" w:rsidP="00A83093">
      <w:pPr>
        <w:spacing w:before="0" w:after="160" w:line="259" w:lineRule="auto"/>
        <w:jc w:val="center"/>
        <w:rPr>
          <w:b/>
          <w:caps/>
          <w:sz w:val="24"/>
          <w:szCs w:val="24"/>
          <w:lang w:val="en-GB"/>
        </w:rPr>
      </w:pPr>
    </w:p>
    <w:p w14:paraId="5F3EB039" w14:textId="2F96EF8F" w:rsidR="00955891" w:rsidRPr="002121A4" w:rsidRDefault="00955891" w:rsidP="00A83093">
      <w:pPr>
        <w:spacing w:before="0" w:after="160" w:line="259" w:lineRule="auto"/>
        <w:jc w:val="center"/>
        <w:rPr>
          <w:b/>
          <w:caps/>
          <w:sz w:val="24"/>
          <w:szCs w:val="24"/>
          <w:lang w:val="en-GB"/>
        </w:rPr>
      </w:pPr>
      <w:r w:rsidRPr="002121A4">
        <w:rPr>
          <w:b/>
          <w:caps/>
          <w:sz w:val="24"/>
          <w:szCs w:val="24"/>
          <w:lang w:val="en-GB"/>
        </w:rPr>
        <w:br w:type="page"/>
      </w:r>
    </w:p>
    <w:p w14:paraId="12434F41" w14:textId="6476DA12" w:rsidR="00955891" w:rsidRPr="002121A4" w:rsidRDefault="00ED6378" w:rsidP="00A83093">
      <w:pPr>
        <w:jc w:val="center"/>
        <w:rPr>
          <w:b/>
          <w:caps/>
          <w:sz w:val="24"/>
          <w:szCs w:val="24"/>
          <w:lang w:val="en-GB"/>
        </w:rPr>
      </w:pPr>
      <w:r w:rsidRPr="002121A4">
        <w:rPr>
          <w:b/>
          <w:caps/>
          <w:sz w:val="24"/>
          <w:szCs w:val="24"/>
          <w:lang w:val="en-GB"/>
        </w:rPr>
        <w:lastRenderedPageBreak/>
        <w:t>Overview</w:t>
      </w:r>
    </w:p>
    <w:p w14:paraId="3E98D036" w14:textId="77777777" w:rsidR="00C84359" w:rsidRPr="002121A4" w:rsidRDefault="00C84359" w:rsidP="00A83093">
      <w:pPr>
        <w:jc w:val="center"/>
        <w:rPr>
          <w:b/>
          <w:caps/>
          <w:sz w:val="24"/>
          <w:szCs w:val="24"/>
          <w:lang w:val="en-GB"/>
        </w:rPr>
      </w:pPr>
    </w:p>
    <w:p w14:paraId="3C668F65" w14:textId="2EC64925" w:rsidR="00A221E1" w:rsidRDefault="00ED6378">
      <w:pPr>
        <w:pStyle w:val="Verzeichnis1"/>
        <w:rPr>
          <w:rFonts w:asciiTheme="minorHAnsi" w:eastAsiaTheme="minorEastAsia" w:hAnsiTheme="minorHAnsi" w:cs="Kokila"/>
          <w:noProof/>
          <w:kern w:val="2"/>
          <w:sz w:val="22"/>
          <w:lang w:eastAsia="de-DE"/>
          <w14:ligatures w14:val="standardContextual"/>
        </w:rPr>
      </w:pPr>
      <w:r w:rsidRPr="002121A4">
        <w:rPr>
          <w:b/>
          <w:caps/>
          <w:sz w:val="24"/>
          <w:szCs w:val="24"/>
          <w:lang w:val="en-GB"/>
        </w:rPr>
        <w:fldChar w:fldCharType="begin"/>
      </w:r>
      <w:r w:rsidRPr="002121A4">
        <w:rPr>
          <w:b/>
          <w:caps/>
          <w:sz w:val="24"/>
          <w:szCs w:val="24"/>
          <w:lang w:val="en-GB"/>
        </w:rPr>
        <w:instrText xml:space="preserve"> TOC \o "1-2" \h \z \u </w:instrText>
      </w:r>
      <w:r w:rsidRPr="002121A4">
        <w:rPr>
          <w:b/>
          <w:caps/>
          <w:sz w:val="24"/>
          <w:szCs w:val="24"/>
          <w:lang w:val="en-GB"/>
        </w:rPr>
        <w:fldChar w:fldCharType="separate"/>
      </w:r>
      <w:hyperlink w:anchor="_Toc194577758" w:history="1">
        <w:r w:rsidR="00A221E1" w:rsidRPr="002C4101">
          <w:rPr>
            <w:rStyle w:val="Hyperlink"/>
            <w:noProof/>
            <w:lang w:val="en-GB"/>
          </w:rPr>
          <w:t>1</w:t>
        </w:r>
        <w:r w:rsidR="00A221E1">
          <w:rPr>
            <w:rFonts w:asciiTheme="minorHAnsi" w:eastAsiaTheme="minorEastAsia" w:hAnsiTheme="minorHAnsi" w:cs="Kokila"/>
            <w:noProof/>
            <w:kern w:val="2"/>
            <w:sz w:val="22"/>
            <w:lang w:eastAsia="de-DE"/>
            <w14:ligatures w14:val="standardContextual"/>
          </w:rPr>
          <w:tab/>
        </w:r>
        <w:r w:rsidR="00A221E1" w:rsidRPr="002C4101">
          <w:rPr>
            <w:rStyle w:val="Hyperlink"/>
            <w:noProof/>
            <w:lang w:val="en-GB"/>
          </w:rPr>
          <w:t>Introduction</w:t>
        </w:r>
        <w:r w:rsidR="00A221E1">
          <w:rPr>
            <w:noProof/>
            <w:webHidden/>
          </w:rPr>
          <w:tab/>
        </w:r>
        <w:r w:rsidR="00A221E1">
          <w:rPr>
            <w:noProof/>
            <w:webHidden/>
          </w:rPr>
          <w:fldChar w:fldCharType="begin"/>
        </w:r>
        <w:r w:rsidR="00A221E1">
          <w:rPr>
            <w:noProof/>
            <w:webHidden/>
          </w:rPr>
          <w:instrText xml:space="preserve"> PAGEREF _Toc194577758 \h </w:instrText>
        </w:r>
        <w:r w:rsidR="00A221E1">
          <w:rPr>
            <w:noProof/>
            <w:webHidden/>
          </w:rPr>
        </w:r>
        <w:r w:rsidR="00A221E1">
          <w:rPr>
            <w:noProof/>
            <w:webHidden/>
          </w:rPr>
          <w:fldChar w:fldCharType="separate"/>
        </w:r>
        <w:r w:rsidR="00D56145">
          <w:rPr>
            <w:noProof/>
            <w:webHidden/>
          </w:rPr>
          <w:t>3</w:t>
        </w:r>
        <w:r w:rsidR="00A221E1">
          <w:rPr>
            <w:noProof/>
            <w:webHidden/>
          </w:rPr>
          <w:fldChar w:fldCharType="end"/>
        </w:r>
      </w:hyperlink>
    </w:p>
    <w:p w14:paraId="4597E890" w14:textId="4965E40E"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59" w:history="1">
        <w:r w:rsidRPr="002C4101">
          <w:rPr>
            <w:rStyle w:val="Hyperlink"/>
            <w:noProof/>
            <w:lang w:val="en-GB"/>
          </w:rPr>
          <w:t>1.1</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Course content and modules</w:t>
        </w:r>
        <w:r>
          <w:rPr>
            <w:noProof/>
            <w:webHidden/>
          </w:rPr>
          <w:tab/>
        </w:r>
        <w:r>
          <w:rPr>
            <w:noProof/>
            <w:webHidden/>
          </w:rPr>
          <w:fldChar w:fldCharType="begin"/>
        </w:r>
        <w:r>
          <w:rPr>
            <w:noProof/>
            <w:webHidden/>
          </w:rPr>
          <w:instrText xml:space="preserve"> PAGEREF _Toc194577759 \h </w:instrText>
        </w:r>
        <w:r>
          <w:rPr>
            <w:noProof/>
            <w:webHidden/>
          </w:rPr>
        </w:r>
        <w:r>
          <w:rPr>
            <w:noProof/>
            <w:webHidden/>
          </w:rPr>
          <w:fldChar w:fldCharType="separate"/>
        </w:r>
        <w:r w:rsidR="00D56145">
          <w:rPr>
            <w:noProof/>
            <w:webHidden/>
          </w:rPr>
          <w:t>3</w:t>
        </w:r>
        <w:r>
          <w:rPr>
            <w:noProof/>
            <w:webHidden/>
          </w:rPr>
          <w:fldChar w:fldCharType="end"/>
        </w:r>
      </w:hyperlink>
    </w:p>
    <w:p w14:paraId="6FC1B21A" w14:textId="1CD2EFCD"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0" w:history="1">
        <w:r w:rsidRPr="002C4101">
          <w:rPr>
            <w:rStyle w:val="Hyperlink"/>
            <w:noProof/>
            <w:lang w:val="en-GB"/>
          </w:rPr>
          <w:t>1.2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What are capital markets?</w:t>
        </w:r>
        <w:r>
          <w:rPr>
            <w:noProof/>
            <w:webHidden/>
          </w:rPr>
          <w:tab/>
        </w:r>
        <w:r>
          <w:rPr>
            <w:noProof/>
            <w:webHidden/>
          </w:rPr>
          <w:fldChar w:fldCharType="begin"/>
        </w:r>
        <w:r>
          <w:rPr>
            <w:noProof/>
            <w:webHidden/>
          </w:rPr>
          <w:instrText xml:space="preserve"> PAGEREF _Toc194577760 \h </w:instrText>
        </w:r>
        <w:r>
          <w:rPr>
            <w:noProof/>
            <w:webHidden/>
          </w:rPr>
        </w:r>
        <w:r>
          <w:rPr>
            <w:noProof/>
            <w:webHidden/>
          </w:rPr>
          <w:fldChar w:fldCharType="separate"/>
        </w:r>
        <w:r w:rsidR="00D56145">
          <w:rPr>
            <w:noProof/>
            <w:webHidden/>
          </w:rPr>
          <w:t>4</w:t>
        </w:r>
        <w:r>
          <w:rPr>
            <w:noProof/>
            <w:webHidden/>
          </w:rPr>
          <w:fldChar w:fldCharType="end"/>
        </w:r>
      </w:hyperlink>
    </w:p>
    <w:p w14:paraId="74DA8ED2" w14:textId="18CA2360"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1" w:history="1">
        <w:r w:rsidRPr="002C4101">
          <w:rPr>
            <w:rStyle w:val="Hyperlink"/>
            <w:noProof/>
            <w:lang w:val="en-GB"/>
          </w:rPr>
          <w:t>1.3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How are capital markets regulated?</w:t>
        </w:r>
        <w:r>
          <w:rPr>
            <w:noProof/>
            <w:webHidden/>
          </w:rPr>
          <w:tab/>
        </w:r>
        <w:r>
          <w:rPr>
            <w:noProof/>
            <w:webHidden/>
          </w:rPr>
          <w:fldChar w:fldCharType="begin"/>
        </w:r>
        <w:r>
          <w:rPr>
            <w:noProof/>
            <w:webHidden/>
          </w:rPr>
          <w:instrText xml:space="preserve"> PAGEREF _Toc194577761 \h </w:instrText>
        </w:r>
        <w:r>
          <w:rPr>
            <w:noProof/>
            <w:webHidden/>
          </w:rPr>
        </w:r>
        <w:r>
          <w:rPr>
            <w:noProof/>
            <w:webHidden/>
          </w:rPr>
          <w:fldChar w:fldCharType="separate"/>
        </w:r>
        <w:r w:rsidR="00D56145">
          <w:rPr>
            <w:noProof/>
            <w:webHidden/>
          </w:rPr>
          <w:t>10</w:t>
        </w:r>
        <w:r>
          <w:rPr>
            <w:noProof/>
            <w:webHidden/>
          </w:rPr>
          <w:fldChar w:fldCharType="end"/>
        </w:r>
      </w:hyperlink>
    </w:p>
    <w:p w14:paraId="7FA60665" w14:textId="49BBDC1E"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2" w:history="1">
        <w:r w:rsidRPr="002C4101">
          <w:rPr>
            <w:rStyle w:val="Hyperlink"/>
            <w:noProof/>
            <w:lang w:val="en-GB"/>
          </w:rPr>
          <w:t>1.4</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What is the role of the EU for capital markets law?</w:t>
        </w:r>
        <w:r>
          <w:rPr>
            <w:noProof/>
            <w:webHidden/>
          </w:rPr>
          <w:tab/>
        </w:r>
        <w:r>
          <w:rPr>
            <w:noProof/>
            <w:webHidden/>
          </w:rPr>
          <w:fldChar w:fldCharType="begin"/>
        </w:r>
        <w:r>
          <w:rPr>
            <w:noProof/>
            <w:webHidden/>
          </w:rPr>
          <w:instrText xml:space="preserve"> PAGEREF _Toc194577762 \h </w:instrText>
        </w:r>
        <w:r>
          <w:rPr>
            <w:noProof/>
            <w:webHidden/>
          </w:rPr>
        </w:r>
        <w:r>
          <w:rPr>
            <w:noProof/>
            <w:webHidden/>
          </w:rPr>
          <w:fldChar w:fldCharType="separate"/>
        </w:r>
        <w:r w:rsidR="00D56145">
          <w:rPr>
            <w:noProof/>
            <w:webHidden/>
          </w:rPr>
          <w:t>11</w:t>
        </w:r>
        <w:r>
          <w:rPr>
            <w:noProof/>
            <w:webHidden/>
          </w:rPr>
          <w:fldChar w:fldCharType="end"/>
        </w:r>
      </w:hyperlink>
    </w:p>
    <w:p w14:paraId="1F50577D" w14:textId="3B63D000"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3" w:history="1">
        <w:r w:rsidRPr="002C4101">
          <w:rPr>
            <w:rStyle w:val="Hyperlink"/>
            <w:noProof/>
            <w:lang w:val="en-GB"/>
          </w:rPr>
          <w:t>1.5</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Recent developments</w:t>
        </w:r>
        <w:r>
          <w:rPr>
            <w:noProof/>
            <w:webHidden/>
          </w:rPr>
          <w:tab/>
        </w:r>
        <w:r>
          <w:rPr>
            <w:noProof/>
            <w:webHidden/>
          </w:rPr>
          <w:fldChar w:fldCharType="begin"/>
        </w:r>
        <w:r>
          <w:rPr>
            <w:noProof/>
            <w:webHidden/>
          </w:rPr>
          <w:instrText xml:space="preserve"> PAGEREF _Toc194577763 \h </w:instrText>
        </w:r>
        <w:r>
          <w:rPr>
            <w:noProof/>
            <w:webHidden/>
          </w:rPr>
        </w:r>
        <w:r>
          <w:rPr>
            <w:noProof/>
            <w:webHidden/>
          </w:rPr>
          <w:fldChar w:fldCharType="separate"/>
        </w:r>
        <w:r w:rsidR="00D56145">
          <w:rPr>
            <w:noProof/>
            <w:webHidden/>
          </w:rPr>
          <w:t>14</w:t>
        </w:r>
        <w:r>
          <w:rPr>
            <w:noProof/>
            <w:webHidden/>
          </w:rPr>
          <w:fldChar w:fldCharType="end"/>
        </w:r>
      </w:hyperlink>
    </w:p>
    <w:p w14:paraId="6839278E" w14:textId="56F3E62F"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4" w:history="1">
        <w:r w:rsidRPr="002C4101">
          <w:rPr>
            <w:rStyle w:val="Hyperlink"/>
            <w:noProof/>
            <w:lang w:val="en-GB"/>
          </w:rPr>
          <w:t>1.6</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Reading assignment: Capital Market Law at a Glance</w:t>
        </w:r>
        <w:r>
          <w:rPr>
            <w:noProof/>
            <w:webHidden/>
          </w:rPr>
          <w:tab/>
        </w:r>
        <w:r>
          <w:rPr>
            <w:noProof/>
            <w:webHidden/>
          </w:rPr>
          <w:fldChar w:fldCharType="begin"/>
        </w:r>
        <w:r>
          <w:rPr>
            <w:noProof/>
            <w:webHidden/>
          </w:rPr>
          <w:instrText xml:space="preserve"> PAGEREF _Toc194577764 \h </w:instrText>
        </w:r>
        <w:r>
          <w:rPr>
            <w:noProof/>
            <w:webHidden/>
          </w:rPr>
        </w:r>
        <w:r>
          <w:rPr>
            <w:noProof/>
            <w:webHidden/>
          </w:rPr>
          <w:fldChar w:fldCharType="separate"/>
        </w:r>
        <w:r w:rsidR="00D56145">
          <w:rPr>
            <w:noProof/>
            <w:webHidden/>
          </w:rPr>
          <w:t>15</w:t>
        </w:r>
        <w:r>
          <w:rPr>
            <w:noProof/>
            <w:webHidden/>
          </w:rPr>
          <w:fldChar w:fldCharType="end"/>
        </w:r>
      </w:hyperlink>
    </w:p>
    <w:p w14:paraId="73AF67EC" w14:textId="580D6FF8"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65" w:history="1">
        <w:r w:rsidRPr="002C4101">
          <w:rPr>
            <w:rStyle w:val="Hyperlink"/>
            <w:noProof/>
            <w:lang w:val="en-GB"/>
          </w:rPr>
          <w:t>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Capital Market Instruments and capital Market Participants</w:t>
        </w:r>
        <w:r>
          <w:rPr>
            <w:noProof/>
            <w:webHidden/>
          </w:rPr>
          <w:tab/>
        </w:r>
        <w:r>
          <w:rPr>
            <w:noProof/>
            <w:webHidden/>
          </w:rPr>
          <w:fldChar w:fldCharType="begin"/>
        </w:r>
        <w:r>
          <w:rPr>
            <w:noProof/>
            <w:webHidden/>
          </w:rPr>
          <w:instrText xml:space="preserve"> PAGEREF _Toc194577765 \h </w:instrText>
        </w:r>
        <w:r>
          <w:rPr>
            <w:noProof/>
            <w:webHidden/>
          </w:rPr>
        </w:r>
        <w:r>
          <w:rPr>
            <w:noProof/>
            <w:webHidden/>
          </w:rPr>
          <w:fldChar w:fldCharType="separate"/>
        </w:r>
        <w:r w:rsidR="00D56145">
          <w:rPr>
            <w:noProof/>
            <w:webHidden/>
          </w:rPr>
          <w:t>16</w:t>
        </w:r>
        <w:r>
          <w:rPr>
            <w:noProof/>
            <w:webHidden/>
          </w:rPr>
          <w:fldChar w:fldCharType="end"/>
        </w:r>
      </w:hyperlink>
    </w:p>
    <w:p w14:paraId="2B32B3CF" w14:textId="481BD72F"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6" w:history="1">
        <w:r w:rsidRPr="002C4101">
          <w:rPr>
            <w:rStyle w:val="Hyperlink"/>
            <w:noProof/>
            <w:lang w:val="en-GB"/>
          </w:rPr>
          <w:t>2.1</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Capital Markets Instruments</w:t>
        </w:r>
        <w:r>
          <w:rPr>
            <w:noProof/>
            <w:webHidden/>
          </w:rPr>
          <w:tab/>
        </w:r>
        <w:r>
          <w:rPr>
            <w:noProof/>
            <w:webHidden/>
          </w:rPr>
          <w:fldChar w:fldCharType="begin"/>
        </w:r>
        <w:r>
          <w:rPr>
            <w:noProof/>
            <w:webHidden/>
          </w:rPr>
          <w:instrText xml:space="preserve"> PAGEREF _Toc194577766 \h </w:instrText>
        </w:r>
        <w:r>
          <w:rPr>
            <w:noProof/>
            <w:webHidden/>
          </w:rPr>
        </w:r>
        <w:r>
          <w:rPr>
            <w:noProof/>
            <w:webHidden/>
          </w:rPr>
          <w:fldChar w:fldCharType="separate"/>
        </w:r>
        <w:r w:rsidR="00D56145">
          <w:rPr>
            <w:noProof/>
            <w:webHidden/>
          </w:rPr>
          <w:t>16</w:t>
        </w:r>
        <w:r>
          <w:rPr>
            <w:noProof/>
            <w:webHidden/>
          </w:rPr>
          <w:fldChar w:fldCharType="end"/>
        </w:r>
      </w:hyperlink>
    </w:p>
    <w:p w14:paraId="5328D567" w14:textId="7B4E34DD"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7" w:history="1">
        <w:r w:rsidRPr="002C4101">
          <w:rPr>
            <w:rStyle w:val="Hyperlink"/>
            <w:noProof/>
            <w:lang w:val="en-GB"/>
          </w:rPr>
          <w:t>2.2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Capital Market Participants</w:t>
        </w:r>
        <w:r>
          <w:rPr>
            <w:noProof/>
            <w:webHidden/>
          </w:rPr>
          <w:tab/>
        </w:r>
        <w:r>
          <w:rPr>
            <w:noProof/>
            <w:webHidden/>
          </w:rPr>
          <w:fldChar w:fldCharType="begin"/>
        </w:r>
        <w:r>
          <w:rPr>
            <w:noProof/>
            <w:webHidden/>
          </w:rPr>
          <w:instrText xml:space="preserve"> PAGEREF _Toc194577767 \h </w:instrText>
        </w:r>
        <w:r>
          <w:rPr>
            <w:noProof/>
            <w:webHidden/>
          </w:rPr>
        </w:r>
        <w:r>
          <w:rPr>
            <w:noProof/>
            <w:webHidden/>
          </w:rPr>
          <w:fldChar w:fldCharType="separate"/>
        </w:r>
        <w:r w:rsidR="00D56145">
          <w:rPr>
            <w:noProof/>
            <w:webHidden/>
          </w:rPr>
          <w:t>22</w:t>
        </w:r>
        <w:r>
          <w:rPr>
            <w:noProof/>
            <w:webHidden/>
          </w:rPr>
          <w:fldChar w:fldCharType="end"/>
        </w:r>
      </w:hyperlink>
    </w:p>
    <w:p w14:paraId="608FBC03" w14:textId="2C41C59B"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68" w:history="1">
        <w:r w:rsidRPr="002C4101">
          <w:rPr>
            <w:rStyle w:val="Hyperlink"/>
            <w:noProof/>
            <w:lang w:val="en-GB"/>
          </w:rPr>
          <w:t>2.3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Reading assignment</w:t>
        </w:r>
        <w:r>
          <w:rPr>
            <w:noProof/>
            <w:webHidden/>
          </w:rPr>
          <w:tab/>
        </w:r>
        <w:r>
          <w:rPr>
            <w:noProof/>
            <w:webHidden/>
          </w:rPr>
          <w:fldChar w:fldCharType="begin"/>
        </w:r>
        <w:r>
          <w:rPr>
            <w:noProof/>
            <w:webHidden/>
          </w:rPr>
          <w:instrText xml:space="preserve"> PAGEREF _Toc194577768 \h </w:instrText>
        </w:r>
        <w:r>
          <w:rPr>
            <w:noProof/>
            <w:webHidden/>
          </w:rPr>
        </w:r>
        <w:r>
          <w:rPr>
            <w:noProof/>
            <w:webHidden/>
          </w:rPr>
          <w:fldChar w:fldCharType="separate"/>
        </w:r>
        <w:r w:rsidR="00D56145">
          <w:rPr>
            <w:noProof/>
            <w:webHidden/>
          </w:rPr>
          <w:t>30</w:t>
        </w:r>
        <w:r>
          <w:rPr>
            <w:noProof/>
            <w:webHidden/>
          </w:rPr>
          <w:fldChar w:fldCharType="end"/>
        </w:r>
      </w:hyperlink>
    </w:p>
    <w:p w14:paraId="052CB901" w14:textId="1A8B335F"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69" w:history="1">
        <w:r w:rsidRPr="002C4101">
          <w:rPr>
            <w:rStyle w:val="Hyperlink"/>
            <w:noProof/>
            <w:lang w:val="en-GB"/>
          </w:rPr>
          <w:t>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Securities Prospectuses</w:t>
        </w:r>
        <w:r>
          <w:rPr>
            <w:noProof/>
            <w:webHidden/>
          </w:rPr>
          <w:tab/>
        </w:r>
        <w:r>
          <w:rPr>
            <w:noProof/>
            <w:webHidden/>
          </w:rPr>
          <w:fldChar w:fldCharType="begin"/>
        </w:r>
        <w:r>
          <w:rPr>
            <w:noProof/>
            <w:webHidden/>
          </w:rPr>
          <w:instrText xml:space="preserve"> PAGEREF _Toc194577769 \h </w:instrText>
        </w:r>
        <w:r>
          <w:rPr>
            <w:noProof/>
            <w:webHidden/>
          </w:rPr>
        </w:r>
        <w:r>
          <w:rPr>
            <w:noProof/>
            <w:webHidden/>
          </w:rPr>
          <w:fldChar w:fldCharType="separate"/>
        </w:r>
        <w:r w:rsidR="00D56145">
          <w:rPr>
            <w:noProof/>
            <w:webHidden/>
          </w:rPr>
          <w:t>31</w:t>
        </w:r>
        <w:r>
          <w:rPr>
            <w:noProof/>
            <w:webHidden/>
          </w:rPr>
          <w:fldChar w:fldCharType="end"/>
        </w:r>
      </w:hyperlink>
    </w:p>
    <w:p w14:paraId="1FC1FCC9" w14:textId="1E280569"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0" w:history="1">
        <w:r w:rsidRPr="002C4101">
          <w:rPr>
            <w:rStyle w:val="Hyperlink"/>
            <w:noProof/>
            <w:lang w:val="en-GB"/>
          </w:rPr>
          <w:t>3.1</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Overview</w:t>
        </w:r>
        <w:r>
          <w:rPr>
            <w:noProof/>
            <w:webHidden/>
          </w:rPr>
          <w:tab/>
        </w:r>
        <w:r>
          <w:rPr>
            <w:noProof/>
            <w:webHidden/>
          </w:rPr>
          <w:fldChar w:fldCharType="begin"/>
        </w:r>
        <w:r>
          <w:rPr>
            <w:noProof/>
            <w:webHidden/>
          </w:rPr>
          <w:instrText xml:space="preserve"> PAGEREF _Toc194577770 \h </w:instrText>
        </w:r>
        <w:r>
          <w:rPr>
            <w:noProof/>
            <w:webHidden/>
          </w:rPr>
        </w:r>
        <w:r>
          <w:rPr>
            <w:noProof/>
            <w:webHidden/>
          </w:rPr>
          <w:fldChar w:fldCharType="separate"/>
        </w:r>
        <w:r w:rsidR="00D56145">
          <w:rPr>
            <w:noProof/>
            <w:webHidden/>
          </w:rPr>
          <w:t>31</w:t>
        </w:r>
        <w:r>
          <w:rPr>
            <w:noProof/>
            <w:webHidden/>
          </w:rPr>
          <w:fldChar w:fldCharType="end"/>
        </w:r>
      </w:hyperlink>
    </w:p>
    <w:p w14:paraId="700B5EF1" w14:textId="2263162D"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1" w:history="1">
        <w:r w:rsidRPr="002C4101">
          <w:rPr>
            <w:rStyle w:val="Hyperlink"/>
            <w:noProof/>
            <w:lang w:val="en-GB"/>
          </w:rPr>
          <w:t>3.2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EU Prospectus Regulation</w:t>
        </w:r>
        <w:r>
          <w:rPr>
            <w:noProof/>
            <w:webHidden/>
          </w:rPr>
          <w:tab/>
        </w:r>
        <w:r>
          <w:rPr>
            <w:noProof/>
            <w:webHidden/>
          </w:rPr>
          <w:fldChar w:fldCharType="begin"/>
        </w:r>
        <w:r>
          <w:rPr>
            <w:noProof/>
            <w:webHidden/>
          </w:rPr>
          <w:instrText xml:space="preserve"> PAGEREF _Toc194577771 \h </w:instrText>
        </w:r>
        <w:r>
          <w:rPr>
            <w:noProof/>
            <w:webHidden/>
          </w:rPr>
        </w:r>
        <w:r>
          <w:rPr>
            <w:noProof/>
            <w:webHidden/>
          </w:rPr>
          <w:fldChar w:fldCharType="separate"/>
        </w:r>
        <w:r w:rsidR="00D56145">
          <w:rPr>
            <w:noProof/>
            <w:webHidden/>
          </w:rPr>
          <w:t>31</w:t>
        </w:r>
        <w:r>
          <w:rPr>
            <w:noProof/>
            <w:webHidden/>
          </w:rPr>
          <w:fldChar w:fldCharType="end"/>
        </w:r>
      </w:hyperlink>
    </w:p>
    <w:p w14:paraId="7F463F07" w14:textId="66D8BD04"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2" w:history="1">
        <w:r w:rsidRPr="002C4101">
          <w:rPr>
            <w:rStyle w:val="Hyperlink"/>
            <w:noProof/>
            <w:lang w:val="en-GB"/>
          </w:rPr>
          <w:t>3.3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Reading assignment</w:t>
        </w:r>
        <w:r>
          <w:rPr>
            <w:noProof/>
            <w:webHidden/>
          </w:rPr>
          <w:tab/>
        </w:r>
        <w:r>
          <w:rPr>
            <w:noProof/>
            <w:webHidden/>
          </w:rPr>
          <w:fldChar w:fldCharType="begin"/>
        </w:r>
        <w:r>
          <w:rPr>
            <w:noProof/>
            <w:webHidden/>
          </w:rPr>
          <w:instrText xml:space="preserve"> PAGEREF _Toc194577772 \h </w:instrText>
        </w:r>
        <w:r>
          <w:rPr>
            <w:noProof/>
            <w:webHidden/>
          </w:rPr>
        </w:r>
        <w:r>
          <w:rPr>
            <w:noProof/>
            <w:webHidden/>
          </w:rPr>
          <w:fldChar w:fldCharType="separate"/>
        </w:r>
        <w:r w:rsidR="00D56145">
          <w:rPr>
            <w:noProof/>
            <w:webHidden/>
          </w:rPr>
          <w:t>40</w:t>
        </w:r>
        <w:r>
          <w:rPr>
            <w:noProof/>
            <w:webHidden/>
          </w:rPr>
          <w:fldChar w:fldCharType="end"/>
        </w:r>
      </w:hyperlink>
    </w:p>
    <w:p w14:paraId="44ECFCEF" w14:textId="38A4CE2C"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73" w:history="1">
        <w:r w:rsidRPr="002C4101">
          <w:rPr>
            <w:rStyle w:val="Hyperlink"/>
            <w:noProof/>
            <w:lang w:val="en-GB"/>
          </w:rPr>
          <w:t>4</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Market Abuse</w:t>
        </w:r>
        <w:r>
          <w:rPr>
            <w:noProof/>
            <w:webHidden/>
          </w:rPr>
          <w:tab/>
        </w:r>
        <w:r>
          <w:rPr>
            <w:noProof/>
            <w:webHidden/>
          </w:rPr>
          <w:fldChar w:fldCharType="begin"/>
        </w:r>
        <w:r>
          <w:rPr>
            <w:noProof/>
            <w:webHidden/>
          </w:rPr>
          <w:instrText xml:space="preserve"> PAGEREF _Toc194577773 \h </w:instrText>
        </w:r>
        <w:r>
          <w:rPr>
            <w:noProof/>
            <w:webHidden/>
          </w:rPr>
        </w:r>
        <w:r>
          <w:rPr>
            <w:noProof/>
            <w:webHidden/>
          </w:rPr>
          <w:fldChar w:fldCharType="separate"/>
        </w:r>
        <w:r w:rsidR="00D56145">
          <w:rPr>
            <w:noProof/>
            <w:webHidden/>
          </w:rPr>
          <w:t>42</w:t>
        </w:r>
        <w:r>
          <w:rPr>
            <w:noProof/>
            <w:webHidden/>
          </w:rPr>
          <w:fldChar w:fldCharType="end"/>
        </w:r>
      </w:hyperlink>
    </w:p>
    <w:p w14:paraId="52B02D5F" w14:textId="2A75C739"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4" w:history="1">
        <w:r w:rsidRPr="002C4101">
          <w:rPr>
            <w:rStyle w:val="Hyperlink"/>
            <w:noProof/>
            <w:lang w:val="en-GB"/>
          </w:rPr>
          <w:t>4.1</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Overview</w:t>
        </w:r>
        <w:r>
          <w:rPr>
            <w:noProof/>
            <w:webHidden/>
          </w:rPr>
          <w:tab/>
        </w:r>
        <w:r>
          <w:rPr>
            <w:noProof/>
            <w:webHidden/>
          </w:rPr>
          <w:fldChar w:fldCharType="begin"/>
        </w:r>
        <w:r>
          <w:rPr>
            <w:noProof/>
            <w:webHidden/>
          </w:rPr>
          <w:instrText xml:space="preserve"> PAGEREF _Toc194577774 \h </w:instrText>
        </w:r>
        <w:r>
          <w:rPr>
            <w:noProof/>
            <w:webHidden/>
          </w:rPr>
        </w:r>
        <w:r>
          <w:rPr>
            <w:noProof/>
            <w:webHidden/>
          </w:rPr>
          <w:fldChar w:fldCharType="separate"/>
        </w:r>
        <w:r w:rsidR="00D56145">
          <w:rPr>
            <w:noProof/>
            <w:webHidden/>
          </w:rPr>
          <w:t>42</w:t>
        </w:r>
        <w:r>
          <w:rPr>
            <w:noProof/>
            <w:webHidden/>
          </w:rPr>
          <w:fldChar w:fldCharType="end"/>
        </w:r>
      </w:hyperlink>
    </w:p>
    <w:p w14:paraId="4BC97977" w14:textId="6165A811"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5" w:history="1">
        <w:r w:rsidRPr="002C4101">
          <w:rPr>
            <w:rStyle w:val="Hyperlink"/>
            <w:noProof/>
            <w:lang w:val="en-GB"/>
          </w:rPr>
          <w:t>4.2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EU Market Abuse Regulation</w:t>
        </w:r>
        <w:r>
          <w:rPr>
            <w:noProof/>
            <w:webHidden/>
          </w:rPr>
          <w:tab/>
        </w:r>
        <w:r>
          <w:rPr>
            <w:noProof/>
            <w:webHidden/>
          </w:rPr>
          <w:fldChar w:fldCharType="begin"/>
        </w:r>
        <w:r>
          <w:rPr>
            <w:noProof/>
            <w:webHidden/>
          </w:rPr>
          <w:instrText xml:space="preserve"> PAGEREF _Toc194577775 \h </w:instrText>
        </w:r>
        <w:r>
          <w:rPr>
            <w:noProof/>
            <w:webHidden/>
          </w:rPr>
        </w:r>
        <w:r>
          <w:rPr>
            <w:noProof/>
            <w:webHidden/>
          </w:rPr>
          <w:fldChar w:fldCharType="separate"/>
        </w:r>
        <w:r w:rsidR="00D56145">
          <w:rPr>
            <w:noProof/>
            <w:webHidden/>
          </w:rPr>
          <w:t>42</w:t>
        </w:r>
        <w:r>
          <w:rPr>
            <w:noProof/>
            <w:webHidden/>
          </w:rPr>
          <w:fldChar w:fldCharType="end"/>
        </w:r>
      </w:hyperlink>
    </w:p>
    <w:p w14:paraId="0B45AFE9" w14:textId="17155BF4"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6" w:history="1">
        <w:r w:rsidRPr="002C4101">
          <w:rPr>
            <w:rStyle w:val="Hyperlink"/>
            <w:noProof/>
            <w:lang w:val="en-GB"/>
          </w:rPr>
          <w:t>4.3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Reading assignment</w:t>
        </w:r>
        <w:r>
          <w:rPr>
            <w:noProof/>
            <w:webHidden/>
          </w:rPr>
          <w:tab/>
        </w:r>
        <w:r>
          <w:rPr>
            <w:noProof/>
            <w:webHidden/>
          </w:rPr>
          <w:fldChar w:fldCharType="begin"/>
        </w:r>
        <w:r>
          <w:rPr>
            <w:noProof/>
            <w:webHidden/>
          </w:rPr>
          <w:instrText xml:space="preserve"> PAGEREF _Toc194577776 \h </w:instrText>
        </w:r>
        <w:r>
          <w:rPr>
            <w:noProof/>
            <w:webHidden/>
          </w:rPr>
        </w:r>
        <w:r>
          <w:rPr>
            <w:noProof/>
            <w:webHidden/>
          </w:rPr>
          <w:fldChar w:fldCharType="separate"/>
        </w:r>
        <w:r w:rsidR="00D56145">
          <w:rPr>
            <w:noProof/>
            <w:webHidden/>
          </w:rPr>
          <w:t>55</w:t>
        </w:r>
        <w:r>
          <w:rPr>
            <w:noProof/>
            <w:webHidden/>
          </w:rPr>
          <w:fldChar w:fldCharType="end"/>
        </w:r>
      </w:hyperlink>
    </w:p>
    <w:p w14:paraId="0B7A43C8" w14:textId="18FC09CB"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77" w:history="1">
        <w:r w:rsidRPr="002C4101">
          <w:rPr>
            <w:rStyle w:val="Hyperlink"/>
            <w:noProof/>
            <w:lang w:val="en-GB"/>
          </w:rPr>
          <w:t>5</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Transparency Requirements</w:t>
        </w:r>
        <w:r>
          <w:rPr>
            <w:noProof/>
            <w:webHidden/>
          </w:rPr>
          <w:tab/>
        </w:r>
        <w:r>
          <w:rPr>
            <w:noProof/>
            <w:webHidden/>
          </w:rPr>
          <w:fldChar w:fldCharType="begin"/>
        </w:r>
        <w:r>
          <w:rPr>
            <w:noProof/>
            <w:webHidden/>
          </w:rPr>
          <w:instrText xml:space="preserve"> PAGEREF _Toc194577777 \h </w:instrText>
        </w:r>
        <w:r>
          <w:rPr>
            <w:noProof/>
            <w:webHidden/>
          </w:rPr>
        </w:r>
        <w:r>
          <w:rPr>
            <w:noProof/>
            <w:webHidden/>
          </w:rPr>
          <w:fldChar w:fldCharType="separate"/>
        </w:r>
        <w:r w:rsidR="00D56145">
          <w:rPr>
            <w:noProof/>
            <w:webHidden/>
          </w:rPr>
          <w:t>57</w:t>
        </w:r>
        <w:r>
          <w:rPr>
            <w:noProof/>
            <w:webHidden/>
          </w:rPr>
          <w:fldChar w:fldCharType="end"/>
        </w:r>
      </w:hyperlink>
    </w:p>
    <w:p w14:paraId="6C8703BB" w14:textId="47A832F7"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8" w:history="1">
        <w:r w:rsidRPr="002C4101">
          <w:rPr>
            <w:rStyle w:val="Hyperlink"/>
            <w:noProof/>
            <w:lang w:val="en-GB"/>
          </w:rPr>
          <w:t>5.1</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Overview</w:t>
        </w:r>
        <w:r>
          <w:rPr>
            <w:noProof/>
            <w:webHidden/>
          </w:rPr>
          <w:tab/>
        </w:r>
        <w:r>
          <w:rPr>
            <w:noProof/>
            <w:webHidden/>
          </w:rPr>
          <w:fldChar w:fldCharType="begin"/>
        </w:r>
        <w:r>
          <w:rPr>
            <w:noProof/>
            <w:webHidden/>
          </w:rPr>
          <w:instrText xml:space="preserve"> PAGEREF _Toc194577778 \h </w:instrText>
        </w:r>
        <w:r>
          <w:rPr>
            <w:noProof/>
            <w:webHidden/>
          </w:rPr>
        </w:r>
        <w:r>
          <w:rPr>
            <w:noProof/>
            <w:webHidden/>
          </w:rPr>
          <w:fldChar w:fldCharType="separate"/>
        </w:r>
        <w:r w:rsidR="00D56145">
          <w:rPr>
            <w:noProof/>
            <w:webHidden/>
          </w:rPr>
          <w:t>57</w:t>
        </w:r>
        <w:r>
          <w:rPr>
            <w:noProof/>
            <w:webHidden/>
          </w:rPr>
          <w:fldChar w:fldCharType="end"/>
        </w:r>
      </w:hyperlink>
    </w:p>
    <w:p w14:paraId="12A6FFFE" w14:textId="21D074A9"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79" w:history="1">
        <w:r w:rsidRPr="002C4101">
          <w:rPr>
            <w:rStyle w:val="Hyperlink"/>
            <w:noProof/>
            <w:lang w:val="en-GB"/>
          </w:rPr>
          <w:t>5.2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EU Transparency Directive</w:t>
        </w:r>
        <w:r>
          <w:rPr>
            <w:noProof/>
            <w:webHidden/>
          </w:rPr>
          <w:tab/>
        </w:r>
        <w:r>
          <w:rPr>
            <w:noProof/>
            <w:webHidden/>
          </w:rPr>
          <w:fldChar w:fldCharType="begin"/>
        </w:r>
        <w:r>
          <w:rPr>
            <w:noProof/>
            <w:webHidden/>
          </w:rPr>
          <w:instrText xml:space="preserve"> PAGEREF _Toc194577779 \h </w:instrText>
        </w:r>
        <w:r>
          <w:rPr>
            <w:noProof/>
            <w:webHidden/>
          </w:rPr>
        </w:r>
        <w:r>
          <w:rPr>
            <w:noProof/>
            <w:webHidden/>
          </w:rPr>
          <w:fldChar w:fldCharType="separate"/>
        </w:r>
        <w:r w:rsidR="00D56145">
          <w:rPr>
            <w:noProof/>
            <w:webHidden/>
          </w:rPr>
          <w:t>57</w:t>
        </w:r>
        <w:r>
          <w:rPr>
            <w:noProof/>
            <w:webHidden/>
          </w:rPr>
          <w:fldChar w:fldCharType="end"/>
        </w:r>
      </w:hyperlink>
    </w:p>
    <w:p w14:paraId="2BB76BD9" w14:textId="1DE35FA6"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0" w:history="1">
        <w:r w:rsidRPr="002C4101">
          <w:rPr>
            <w:rStyle w:val="Hyperlink"/>
            <w:noProof/>
            <w:lang w:val="en-GB"/>
          </w:rPr>
          <w:t>5.3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Reading assignment</w:t>
        </w:r>
        <w:r>
          <w:rPr>
            <w:noProof/>
            <w:webHidden/>
          </w:rPr>
          <w:tab/>
        </w:r>
        <w:r>
          <w:rPr>
            <w:noProof/>
            <w:webHidden/>
          </w:rPr>
          <w:fldChar w:fldCharType="begin"/>
        </w:r>
        <w:r>
          <w:rPr>
            <w:noProof/>
            <w:webHidden/>
          </w:rPr>
          <w:instrText xml:space="preserve"> PAGEREF _Toc194577780 \h </w:instrText>
        </w:r>
        <w:r>
          <w:rPr>
            <w:noProof/>
            <w:webHidden/>
          </w:rPr>
        </w:r>
        <w:r>
          <w:rPr>
            <w:noProof/>
            <w:webHidden/>
          </w:rPr>
          <w:fldChar w:fldCharType="separate"/>
        </w:r>
        <w:r w:rsidR="00D56145">
          <w:rPr>
            <w:noProof/>
            <w:webHidden/>
          </w:rPr>
          <w:t>64</w:t>
        </w:r>
        <w:r>
          <w:rPr>
            <w:noProof/>
            <w:webHidden/>
          </w:rPr>
          <w:fldChar w:fldCharType="end"/>
        </w:r>
      </w:hyperlink>
    </w:p>
    <w:p w14:paraId="36B11CA1" w14:textId="427C7A9F"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81" w:history="1">
        <w:r w:rsidRPr="002C4101">
          <w:rPr>
            <w:rStyle w:val="Hyperlink"/>
            <w:noProof/>
            <w:lang w:val="en-GB"/>
          </w:rPr>
          <w:t>6</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Takeover Bids</w:t>
        </w:r>
        <w:r>
          <w:rPr>
            <w:noProof/>
            <w:webHidden/>
          </w:rPr>
          <w:tab/>
        </w:r>
        <w:r>
          <w:rPr>
            <w:noProof/>
            <w:webHidden/>
          </w:rPr>
          <w:fldChar w:fldCharType="begin"/>
        </w:r>
        <w:r>
          <w:rPr>
            <w:noProof/>
            <w:webHidden/>
          </w:rPr>
          <w:instrText xml:space="preserve"> PAGEREF _Toc194577781 \h </w:instrText>
        </w:r>
        <w:r>
          <w:rPr>
            <w:noProof/>
            <w:webHidden/>
          </w:rPr>
        </w:r>
        <w:r>
          <w:rPr>
            <w:noProof/>
            <w:webHidden/>
          </w:rPr>
          <w:fldChar w:fldCharType="separate"/>
        </w:r>
        <w:r w:rsidR="00D56145">
          <w:rPr>
            <w:noProof/>
            <w:webHidden/>
          </w:rPr>
          <w:t>65</w:t>
        </w:r>
        <w:r>
          <w:rPr>
            <w:noProof/>
            <w:webHidden/>
          </w:rPr>
          <w:fldChar w:fldCharType="end"/>
        </w:r>
      </w:hyperlink>
    </w:p>
    <w:p w14:paraId="43A41A30" w14:textId="06A82301"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2" w:history="1">
        <w:r w:rsidRPr="002C4101">
          <w:rPr>
            <w:rStyle w:val="Hyperlink"/>
            <w:noProof/>
            <w:lang w:val="en-GB"/>
          </w:rPr>
          <w:t>6.1</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Overview</w:t>
        </w:r>
        <w:r>
          <w:rPr>
            <w:noProof/>
            <w:webHidden/>
          </w:rPr>
          <w:tab/>
        </w:r>
        <w:r>
          <w:rPr>
            <w:noProof/>
            <w:webHidden/>
          </w:rPr>
          <w:fldChar w:fldCharType="begin"/>
        </w:r>
        <w:r>
          <w:rPr>
            <w:noProof/>
            <w:webHidden/>
          </w:rPr>
          <w:instrText xml:space="preserve"> PAGEREF _Toc194577782 \h </w:instrText>
        </w:r>
        <w:r>
          <w:rPr>
            <w:noProof/>
            <w:webHidden/>
          </w:rPr>
        </w:r>
        <w:r>
          <w:rPr>
            <w:noProof/>
            <w:webHidden/>
          </w:rPr>
          <w:fldChar w:fldCharType="separate"/>
        </w:r>
        <w:r w:rsidR="00D56145">
          <w:rPr>
            <w:noProof/>
            <w:webHidden/>
          </w:rPr>
          <w:t>65</w:t>
        </w:r>
        <w:r>
          <w:rPr>
            <w:noProof/>
            <w:webHidden/>
          </w:rPr>
          <w:fldChar w:fldCharType="end"/>
        </w:r>
      </w:hyperlink>
    </w:p>
    <w:p w14:paraId="098D8B24" w14:textId="4F58A03E"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3" w:history="1">
        <w:r w:rsidRPr="002C4101">
          <w:rPr>
            <w:rStyle w:val="Hyperlink"/>
            <w:noProof/>
            <w:lang w:val="en-GB"/>
          </w:rPr>
          <w:t>6.2</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EU Takeover Bids Directive</w:t>
        </w:r>
        <w:r>
          <w:rPr>
            <w:noProof/>
            <w:webHidden/>
          </w:rPr>
          <w:tab/>
        </w:r>
        <w:r>
          <w:rPr>
            <w:noProof/>
            <w:webHidden/>
          </w:rPr>
          <w:fldChar w:fldCharType="begin"/>
        </w:r>
        <w:r>
          <w:rPr>
            <w:noProof/>
            <w:webHidden/>
          </w:rPr>
          <w:instrText xml:space="preserve"> PAGEREF _Toc194577783 \h </w:instrText>
        </w:r>
        <w:r>
          <w:rPr>
            <w:noProof/>
            <w:webHidden/>
          </w:rPr>
        </w:r>
        <w:r>
          <w:rPr>
            <w:noProof/>
            <w:webHidden/>
          </w:rPr>
          <w:fldChar w:fldCharType="separate"/>
        </w:r>
        <w:r w:rsidR="00D56145">
          <w:rPr>
            <w:noProof/>
            <w:webHidden/>
          </w:rPr>
          <w:t>65</w:t>
        </w:r>
        <w:r>
          <w:rPr>
            <w:noProof/>
            <w:webHidden/>
          </w:rPr>
          <w:fldChar w:fldCharType="end"/>
        </w:r>
      </w:hyperlink>
    </w:p>
    <w:p w14:paraId="161FA68B" w14:textId="58445DA9"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4" w:history="1">
        <w:r w:rsidRPr="002C4101">
          <w:rPr>
            <w:rStyle w:val="Hyperlink"/>
            <w:noProof/>
            <w:lang w:val="en-GB"/>
          </w:rPr>
          <w:t>6.3</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German takeover law</w:t>
        </w:r>
        <w:r>
          <w:rPr>
            <w:noProof/>
            <w:webHidden/>
          </w:rPr>
          <w:tab/>
        </w:r>
        <w:r>
          <w:rPr>
            <w:noProof/>
            <w:webHidden/>
          </w:rPr>
          <w:fldChar w:fldCharType="begin"/>
        </w:r>
        <w:r>
          <w:rPr>
            <w:noProof/>
            <w:webHidden/>
          </w:rPr>
          <w:instrText xml:space="preserve"> PAGEREF _Toc194577784 \h </w:instrText>
        </w:r>
        <w:r>
          <w:rPr>
            <w:noProof/>
            <w:webHidden/>
          </w:rPr>
        </w:r>
        <w:r>
          <w:rPr>
            <w:noProof/>
            <w:webHidden/>
          </w:rPr>
          <w:fldChar w:fldCharType="separate"/>
        </w:r>
        <w:r w:rsidR="00D56145">
          <w:rPr>
            <w:noProof/>
            <w:webHidden/>
          </w:rPr>
          <w:t>67</w:t>
        </w:r>
        <w:r>
          <w:rPr>
            <w:noProof/>
            <w:webHidden/>
          </w:rPr>
          <w:fldChar w:fldCharType="end"/>
        </w:r>
      </w:hyperlink>
    </w:p>
    <w:p w14:paraId="5744DA64" w14:textId="4D3FDEBA" w:rsidR="00A221E1" w:rsidRDefault="00A221E1">
      <w:pPr>
        <w:pStyle w:val="Verzeichnis2"/>
        <w:tabs>
          <w:tab w:val="left" w:pos="880"/>
          <w:tab w:val="right" w:leader="dot" w:pos="9016"/>
        </w:tabs>
        <w:rPr>
          <w:rFonts w:asciiTheme="minorHAnsi" w:eastAsiaTheme="minorEastAsia" w:hAnsiTheme="minorHAnsi" w:cs="Kokila"/>
          <w:noProof/>
          <w:kern w:val="2"/>
          <w:sz w:val="22"/>
          <w:lang w:eastAsia="de-DE"/>
          <w14:ligatures w14:val="standardContextual"/>
        </w:rPr>
      </w:pPr>
      <w:hyperlink w:anchor="_Toc194577785" w:history="1">
        <w:r w:rsidRPr="002C4101">
          <w:rPr>
            <w:rStyle w:val="Hyperlink"/>
            <w:noProof/>
            <w:lang w:val="en-GB"/>
          </w:rPr>
          <w:t>6.4</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Reading assignment</w:t>
        </w:r>
        <w:r>
          <w:rPr>
            <w:noProof/>
            <w:webHidden/>
          </w:rPr>
          <w:tab/>
        </w:r>
        <w:r>
          <w:rPr>
            <w:noProof/>
            <w:webHidden/>
          </w:rPr>
          <w:fldChar w:fldCharType="begin"/>
        </w:r>
        <w:r>
          <w:rPr>
            <w:noProof/>
            <w:webHidden/>
          </w:rPr>
          <w:instrText xml:space="preserve"> PAGEREF _Toc194577785 \h </w:instrText>
        </w:r>
        <w:r>
          <w:rPr>
            <w:noProof/>
            <w:webHidden/>
          </w:rPr>
        </w:r>
        <w:r>
          <w:rPr>
            <w:noProof/>
            <w:webHidden/>
          </w:rPr>
          <w:fldChar w:fldCharType="separate"/>
        </w:r>
        <w:r w:rsidR="00D56145">
          <w:rPr>
            <w:noProof/>
            <w:webHidden/>
          </w:rPr>
          <w:t>74</w:t>
        </w:r>
        <w:r>
          <w:rPr>
            <w:noProof/>
            <w:webHidden/>
          </w:rPr>
          <w:fldChar w:fldCharType="end"/>
        </w:r>
      </w:hyperlink>
    </w:p>
    <w:p w14:paraId="077B1B81" w14:textId="72EDA1E2"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86" w:history="1">
        <w:r w:rsidRPr="002C4101">
          <w:rPr>
            <w:rStyle w:val="Hyperlink"/>
            <w:noProof/>
            <w:lang w:val="en-GB"/>
          </w:rPr>
          <w:t>7</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Glossary and Abbreviations</w:t>
        </w:r>
        <w:r>
          <w:rPr>
            <w:noProof/>
            <w:webHidden/>
          </w:rPr>
          <w:tab/>
        </w:r>
        <w:r>
          <w:rPr>
            <w:noProof/>
            <w:webHidden/>
          </w:rPr>
          <w:fldChar w:fldCharType="begin"/>
        </w:r>
        <w:r>
          <w:rPr>
            <w:noProof/>
            <w:webHidden/>
          </w:rPr>
          <w:instrText xml:space="preserve"> PAGEREF _Toc194577786 \h </w:instrText>
        </w:r>
        <w:r>
          <w:rPr>
            <w:noProof/>
            <w:webHidden/>
          </w:rPr>
        </w:r>
        <w:r>
          <w:rPr>
            <w:noProof/>
            <w:webHidden/>
          </w:rPr>
          <w:fldChar w:fldCharType="separate"/>
        </w:r>
        <w:r w:rsidR="00D56145">
          <w:rPr>
            <w:noProof/>
            <w:webHidden/>
          </w:rPr>
          <w:t>75</w:t>
        </w:r>
        <w:r>
          <w:rPr>
            <w:noProof/>
            <w:webHidden/>
          </w:rPr>
          <w:fldChar w:fldCharType="end"/>
        </w:r>
      </w:hyperlink>
    </w:p>
    <w:p w14:paraId="18DAC9EE" w14:textId="3C7AC5F6" w:rsidR="00A221E1" w:rsidRDefault="00A221E1">
      <w:pPr>
        <w:pStyle w:val="Verzeichnis1"/>
        <w:rPr>
          <w:rFonts w:asciiTheme="minorHAnsi" w:eastAsiaTheme="minorEastAsia" w:hAnsiTheme="minorHAnsi" w:cs="Kokila"/>
          <w:noProof/>
          <w:kern w:val="2"/>
          <w:sz w:val="22"/>
          <w:lang w:eastAsia="de-DE"/>
          <w14:ligatures w14:val="standardContextual"/>
        </w:rPr>
      </w:pPr>
      <w:hyperlink w:anchor="_Toc194577787" w:history="1">
        <w:r w:rsidRPr="002C4101">
          <w:rPr>
            <w:rStyle w:val="Hyperlink"/>
            <w:noProof/>
            <w:lang w:val="en-GB"/>
          </w:rPr>
          <w:t>8</w:t>
        </w:r>
        <w:r>
          <w:rPr>
            <w:rFonts w:asciiTheme="minorHAnsi" w:eastAsiaTheme="minorEastAsia" w:hAnsiTheme="minorHAnsi" w:cs="Kokila"/>
            <w:noProof/>
            <w:kern w:val="2"/>
            <w:sz w:val="22"/>
            <w:lang w:eastAsia="de-DE"/>
            <w14:ligatures w14:val="standardContextual"/>
          </w:rPr>
          <w:tab/>
        </w:r>
        <w:r w:rsidRPr="002C4101">
          <w:rPr>
            <w:rStyle w:val="Hyperlink"/>
            <w:noProof/>
            <w:lang w:val="en-GB"/>
          </w:rPr>
          <w:t>Case Notes</w:t>
        </w:r>
        <w:r>
          <w:rPr>
            <w:noProof/>
            <w:webHidden/>
          </w:rPr>
          <w:tab/>
        </w:r>
        <w:r>
          <w:rPr>
            <w:noProof/>
            <w:webHidden/>
          </w:rPr>
          <w:fldChar w:fldCharType="begin"/>
        </w:r>
        <w:r>
          <w:rPr>
            <w:noProof/>
            <w:webHidden/>
          </w:rPr>
          <w:instrText xml:space="preserve"> PAGEREF _Toc194577787 \h </w:instrText>
        </w:r>
        <w:r>
          <w:rPr>
            <w:noProof/>
            <w:webHidden/>
          </w:rPr>
        </w:r>
        <w:r>
          <w:rPr>
            <w:noProof/>
            <w:webHidden/>
          </w:rPr>
          <w:fldChar w:fldCharType="separate"/>
        </w:r>
        <w:r w:rsidR="00D56145">
          <w:rPr>
            <w:noProof/>
            <w:webHidden/>
          </w:rPr>
          <w:t>80</w:t>
        </w:r>
        <w:r>
          <w:rPr>
            <w:noProof/>
            <w:webHidden/>
          </w:rPr>
          <w:fldChar w:fldCharType="end"/>
        </w:r>
      </w:hyperlink>
    </w:p>
    <w:p w14:paraId="4DE19334" w14:textId="1C816D6E" w:rsidR="008B28F6" w:rsidRPr="002121A4" w:rsidRDefault="00ED6378" w:rsidP="002C2D13">
      <w:pPr>
        <w:pStyle w:val="berschrift1"/>
        <w:rPr>
          <w:lang w:val="en-GB"/>
        </w:rPr>
      </w:pPr>
      <w:r w:rsidRPr="002121A4">
        <w:rPr>
          <w:lang w:val="en-GB"/>
        </w:rPr>
        <w:lastRenderedPageBreak/>
        <w:fldChar w:fldCharType="end"/>
      </w:r>
      <w:bookmarkStart w:id="0" w:name="_Toc194577758"/>
      <w:r w:rsidR="008B28F6" w:rsidRPr="002121A4">
        <w:rPr>
          <w:lang w:val="en-GB"/>
        </w:rPr>
        <w:t>Introduction</w:t>
      </w:r>
      <w:bookmarkEnd w:id="0"/>
    </w:p>
    <w:p w14:paraId="0F3B3453" w14:textId="63C16B34" w:rsidR="008A0984" w:rsidRPr="00A4453C" w:rsidRDefault="008A0984" w:rsidP="008A0984">
      <w:pPr>
        <w:rPr>
          <w:sz w:val="19"/>
          <w:szCs w:val="19"/>
        </w:rPr>
      </w:pPr>
      <w:r w:rsidRPr="00F9205E">
        <w:rPr>
          <w:b/>
          <w:sz w:val="19"/>
          <w:szCs w:val="19"/>
        </w:rPr>
        <w:t xml:space="preserve">Course </w:t>
      </w:r>
      <w:proofErr w:type="spellStart"/>
      <w:r w:rsidRPr="00F9205E">
        <w:rPr>
          <w:b/>
          <w:sz w:val="19"/>
          <w:szCs w:val="19"/>
        </w:rPr>
        <w:t>material</w:t>
      </w:r>
      <w:proofErr w:type="spellEnd"/>
      <w:r w:rsidRPr="00F9205E">
        <w:rPr>
          <w:b/>
          <w:sz w:val="19"/>
          <w:szCs w:val="19"/>
        </w:rPr>
        <w:t>.</w:t>
      </w:r>
      <w:r w:rsidRPr="00F9205E">
        <w:rPr>
          <w:sz w:val="19"/>
          <w:szCs w:val="19"/>
        </w:rPr>
        <w:t xml:space="preserve"> </w:t>
      </w:r>
      <w:r w:rsidRPr="00F9205E">
        <w:rPr>
          <w:b/>
          <w:sz w:val="19"/>
          <w:szCs w:val="19"/>
        </w:rPr>
        <w:t>Statutes:</w:t>
      </w:r>
      <w:r w:rsidRPr="00F9205E">
        <w:rPr>
          <w:sz w:val="19"/>
          <w:szCs w:val="19"/>
        </w:rPr>
        <w:t xml:space="preserve"> </w:t>
      </w:r>
      <w:r w:rsidRPr="00F9205E">
        <w:rPr>
          <w:i/>
          <w:sz w:val="19"/>
          <w:szCs w:val="19"/>
        </w:rPr>
        <w:t>Kapitalmarktrecht</w:t>
      </w:r>
      <w:r w:rsidRPr="00F9205E">
        <w:rPr>
          <w:sz w:val="19"/>
          <w:szCs w:val="19"/>
        </w:rPr>
        <w:t xml:space="preserve">, Beck-Texte im dtv, </w:t>
      </w:r>
      <w:r w:rsidR="0028717A" w:rsidRPr="00F9205E">
        <w:rPr>
          <w:sz w:val="19"/>
          <w:szCs w:val="19"/>
        </w:rPr>
        <w:t>1</w:t>
      </w:r>
      <w:r w:rsidR="00D1249C" w:rsidRPr="00F9205E">
        <w:rPr>
          <w:sz w:val="19"/>
          <w:szCs w:val="19"/>
        </w:rPr>
        <w:t>1</w:t>
      </w:r>
      <w:r w:rsidRPr="00F9205E">
        <w:rPr>
          <w:sz w:val="19"/>
          <w:szCs w:val="19"/>
        </w:rPr>
        <w:t xml:space="preserve">th </w:t>
      </w:r>
      <w:proofErr w:type="spellStart"/>
      <w:r w:rsidRPr="00F9205E">
        <w:rPr>
          <w:sz w:val="19"/>
          <w:szCs w:val="19"/>
        </w:rPr>
        <w:t>ed</w:t>
      </w:r>
      <w:proofErr w:type="spellEnd"/>
      <w:r w:rsidRPr="00F9205E">
        <w:rPr>
          <w:sz w:val="19"/>
          <w:szCs w:val="19"/>
        </w:rPr>
        <w:t>. 202</w:t>
      </w:r>
      <w:r w:rsidR="00D1249C" w:rsidRPr="00F9205E">
        <w:rPr>
          <w:sz w:val="19"/>
          <w:szCs w:val="19"/>
        </w:rPr>
        <w:t>4</w:t>
      </w:r>
      <w:r w:rsidRPr="00F9205E">
        <w:rPr>
          <w:sz w:val="19"/>
          <w:szCs w:val="19"/>
        </w:rPr>
        <w:t xml:space="preserve">. </w:t>
      </w:r>
      <w:r w:rsidRPr="002121A4">
        <w:rPr>
          <w:sz w:val="19"/>
          <w:szCs w:val="19"/>
          <w:lang w:val="en-GB"/>
        </w:rPr>
        <w:t>English EU legislation is available for download</w:t>
      </w:r>
      <w:r w:rsidR="0028717A" w:rsidRPr="002121A4">
        <w:rPr>
          <w:sz w:val="19"/>
          <w:szCs w:val="19"/>
          <w:lang w:val="en-GB"/>
        </w:rPr>
        <w:t xml:space="preserve"> on the e</w:t>
      </w:r>
      <w:r w:rsidR="001B40F3">
        <w:rPr>
          <w:sz w:val="19"/>
          <w:szCs w:val="19"/>
          <w:lang w:val="en-GB"/>
        </w:rPr>
        <w:t>-L</w:t>
      </w:r>
      <w:r w:rsidR="0028717A" w:rsidRPr="002121A4">
        <w:rPr>
          <w:sz w:val="19"/>
          <w:szCs w:val="19"/>
          <w:lang w:val="en-GB"/>
        </w:rPr>
        <w:t>earning section for this course (</w:t>
      </w:r>
      <w:r w:rsidR="0040715E">
        <w:fldChar w:fldCharType="begin"/>
      </w:r>
      <w:r w:rsidR="0040715E" w:rsidRPr="00080F04">
        <w:rPr>
          <w:lang w:val="en-US"/>
        </w:rPr>
        <w:instrText>HYPERLINK "https://elearning.uni-bayreuth.de/"</w:instrText>
      </w:r>
      <w:r w:rsidR="0040715E">
        <w:fldChar w:fldCharType="separate"/>
      </w:r>
      <w:r w:rsidR="0040715E" w:rsidRPr="002121A4">
        <w:rPr>
          <w:rStyle w:val="Hyperlink"/>
          <w:sz w:val="19"/>
          <w:szCs w:val="19"/>
          <w:lang w:val="en-GB"/>
        </w:rPr>
        <w:t>https://elearning.uni-bayreuth.de/</w:t>
      </w:r>
      <w:r w:rsidR="0040715E">
        <w:fldChar w:fldCharType="end"/>
      </w:r>
      <w:r w:rsidR="00526B35" w:rsidRPr="002121A4">
        <w:rPr>
          <w:sz w:val="19"/>
          <w:szCs w:val="19"/>
          <w:lang w:val="en-GB"/>
        </w:rPr>
        <w:t>).</w:t>
      </w:r>
      <w:r w:rsidRPr="002121A4">
        <w:rPr>
          <w:sz w:val="19"/>
          <w:szCs w:val="19"/>
          <w:lang w:val="en-GB"/>
        </w:rPr>
        <w:t xml:space="preserve"> For </w:t>
      </w:r>
      <w:r w:rsidR="00526B35" w:rsidRPr="002121A4">
        <w:rPr>
          <w:sz w:val="19"/>
          <w:szCs w:val="19"/>
          <w:lang w:val="en-GB"/>
        </w:rPr>
        <w:t xml:space="preserve">the </w:t>
      </w:r>
      <w:r w:rsidRPr="002121A4">
        <w:rPr>
          <w:sz w:val="19"/>
          <w:szCs w:val="19"/>
          <w:lang w:val="en-GB"/>
        </w:rPr>
        <w:t>examination, attention is drawn to the list of permitted material available online at</w:t>
      </w:r>
      <w:r w:rsidR="00E3245B" w:rsidRPr="002121A4">
        <w:rPr>
          <w:sz w:val="19"/>
          <w:szCs w:val="19"/>
          <w:lang w:val="en-GB"/>
        </w:rPr>
        <w:t xml:space="preserve"> </w:t>
      </w:r>
      <w:r w:rsidR="00E3245B">
        <w:fldChar w:fldCharType="begin"/>
      </w:r>
      <w:r w:rsidR="00E3245B" w:rsidRPr="00080F04">
        <w:rPr>
          <w:lang w:val="en-US"/>
        </w:rPr>
        <w:instrText>HYPERLINK "https://www.jura.uni-bayreuth.de/pool/dokumente/Hilfsmittelbekanntmachungen/2023_NEU_HMB.pdf"</w:instrText>
      </w:r>
      <w:r w:rsidR="00E3245B">
        <w:fldChar w:fldCharType="separate"/>
      </w:r>
      <w:r w:rsidR="00E3245B" w:rsidRPr="002121A4">
        <w:rPr>
          <w:rStyle w:val="Hyperlink"/>
          <w:sz w:val="19"/>
          <w:szCs w:val="19"/>
          <w:lang w:val="en-GB"/>
        </w:rPr>
        <w:t>https://www.jura.uni-bayreuth.de/pool/dokumente/Hilfsmittelbekanntmachungen/2023_NEU_HMB.pdf</w:t>
      </w:r>
      <w:r w:rsidR="00E3245B">
        <w:fldChar w:fldCharType="end"/>
      </w:r>
      <w:r w:rsidRPr="002121A4">
        <w:rPr>
          <w:sz w:val="19"/>
          <w:szCs w:val="19"/>
          <w:lang w:val="en-GB"/>
        </w:rPr>
        <w:t xml:space="preserve">. </w:t>
      </w:r>
      <w:r w:rsidRPr="002121A4">
        <w:rPr>
          <w:b/>
          <w:sz w:val="19"/>
          <w:szCs w:val="19"/>
          <w:lang w:val="en-GB"/>
        </w:rPr>
        <w:t>Textbooks:</w:t>
      </w:r>
      <w:r w:rsidRPr="002121A4">
        <w:rPr>
          <w:sz w:val="19"/>
          <w:szCs w:val="19"/>
          <w:lang w:val="en-GB"/>
        </w:rPr>
        <w:t xml:space="preserve"> Buck-Heeb, </w:t>
      </w:r>
      <w:proofErr w:type="spellStart"/>
      <w:r w:rsidRPr="002121A4">
        <w:rPr>
          <w:i/>
          <w:sz w:val="19"/>
          <w:szCs w:val="19"/>
          <w:lang w:val="en-GB"/>
        </w:rPr>
        <w:t>Kapi</w:t>
      </w:r>
      <w:r w:rsidR="00BC5576" w:rsidRPr="002121A4">
        <w:rPr>
          <w:i/>
          <w:sz w:val="19"/>
          <w:szCs w:val="19"/>
          <w:lang w:val="en-GB"/>
        </w:rPr>
        <w:softHyphen/>
      </w:r>
      <w:r w:rsidRPr="002121A4">
        <w:rPr>
          <w:i/>
          <w:sz w:val="19"/>
          <w:szCs w:val="19"/>
          <w:lang w:val="en-GB"/>
        </w:rPr>
        <w:t>tal</w:t>
      </w:r>
      <w:r w:rsidR="00BC5576" w:rsidRPr="002121A4">
        <w:rPr>
          <w:i/>
          <w:sz w:val="19"/>
          <w:szCs w:val="19"/>
          <w:lang w:val="en-GB"/>
        </w:rPr>
        <w:softHyphen/>
      </w:r>
      <w:r w:rsidR="00ED181B" w:rsidRPr="002121A4">
        <w:rPr>
          <w:i/>
          <w:sz w:val="19"/>
          <w:szCs w:val="19"/>
          <w:lang w:val="en-GB"/>
        </w:rPr>
        <w:softHyphen/>
      </w:r>
      <w:r w:rsidRPr="002121A4">
        <w:rPr>
          <w:i/>
          <w:sz w:val="19"/>
          <w:szCs w:val="19"/>
          <w:lang w:val="en-GB"/>
        </w:rPr>
        <w:t>markt</w:t>
      </w:r>
      <w:r w:rsidR="00ED181B" w:rsidRPr="002121A4">
        <w:rPr>
          <w:i/>
          <w:sz w:val="19"/>
          <w:szCs w:val="19"/>
          <w:lang w:val="en-GB"/>
        </w:rPr>
        <w:softHyphen/>
      </w:r>
      <w:r w:rsidR="009C56DB" w:rsidRPr="002121A4">
        <w:rPr>
          <w:i/>
          <w:sz w:val="19"/>
          <w:szCs w:val="19"/>
          <w:lang w:val="en-GB"/>
        </w:rPr>
        <w:softHyphen/>
      </w:r>
      <w:r w:rsidRPr="002121A4">
        <w:rPr>
          <w:i/>
          <w:sz w:val="19"/>
          <w:szCs w:val="19"/>
          <w:lang w:val="en-GB"/>
        </w:rPr>
        <w:t>recht</w:t>
      </w:r>
      <w:proofErr w:type="spellEnd"/>
      <w:r w:rsidRPr="002121A4">
        <w:rPr>
          <w:sz w:val="19"/>
          <w:szCs w:val="19"/>
          <w:lang w:val="en-GB"/>
        </w:rPr>
        <w:t>, 1</w:t>
      </w:r>
      <w:r w:rsidR="00CD27CC" w:rsidRPr="002121A4">
        <w:rPr>
          <w:sz w:val="19"/>
          <w:szCs w:val="19"/>
          <w:lang w:val="en-GB"/>
        </w:rPr>
        <w:t>3</w:t>
      </w:r>
      <w:r w:rsidRPr="002121A4">
        <w:rPr>
          <w:sz w:val="19"/>
          <w:szCs w:val="19"/>
          <w:lang w:val="en-GB"/>
        </w:rPr>
        <w:t>th ed. 202</w:t>
      </w:r>
      <w:r w:rsidR="00CD27CC" w:rsidRPr="002121A4">
        <w:rPr>
          <w:sz w:val="19"/>
          <w:szCs w:val="19"/>
          <w:lang w:val="en-GB"/>
        </w:rPr>
        <w:t>3</w:t>
      </w:r>
      <w:r w:rsidRPr="002121A4">
        <w:rPr>
          <w:sz w:val="19"/>
          <w:szCs w:val="19"/>
          <w:lang w:val="en-GB"/>
        </w:rPr>
        <w:t xml:space="preserve">; </w:t>
      </w:r>
      <w:proofErr w:type="spellStart"/>
      <w:r w:rsidRPr="002121A4">
        <w:rPr>
          <w:sz w:val="19"/>
          <w:szCs w:val="19"/>
          <w:lang w:val="en-GB"/>
        </w:rPr>
        <w:t>Lan</w:t>
      </w:r>
      <w:r w:rsidR="00D54377" w:rsidRPr="002121A4">
        <w:rPr>
          <w:sz w:val="19"/>
          <w:szCs w:val="19"/>
          <w:lang w:val="en-GB"/>
        </w:rPr>
        <w:softHyphen/>
      </w:r>
      <w:r w:rsidRPr="002121A4">
        <w:rPr>
          <w:sz w:val="19"/>
          <w:szCs w:val="19"/>
          <w:lang w:val="en-GB"/>
        </w:rPr>
        <w:t>gen</w:t>
      </w:r>
      <w:r w:rsidR="00D54377" w:rsidRPr="002121A4">
        <w:rPr>
          <w:sz w:val="19"/>
          <w:szCs w:val="19"/>
          <w:lang w:val="en-GB"/>
        </w:rPr>
        <w:softHyphen/>
      </w:r>
      <w:r w:rsidRPr="002121A4">
        <w:rPr>
          <w:sz w:val="19"/>
          <w:szCs w:val="19"/>
          <w:lang w:val="en-GB"/>
        </w:rPr>
        <w:t>bucher</w:t>
      </w:r>
      <w:proofErr w:type="spellEnd"/>
      <w:r w:rsidRPr="002121A4">
        <w:rPr>
          <w:sz w:val="19"/>
          <w:szCs w:val="19"/>
          <w:lang w:val="en-GB"/>
        </w:rPr>
        <w:t xml:space="preserve">, </w:t>
      </w:r>
      <w:proofErr w:type="spellStart"/>
      <w:r w:rsidRPr="002121A4">
        <w:rPr>
          <w:i/>
          <w:sz w:val="19"/>
          <w:szCs w:val="19"/>
          <w:lang w:val="en-GB"/>
        </w:rPr>
        <w:t>Aktien</w:t>
      </w:r>
      <w:proofErr w:type="spellEnd"/>
      <w:r w:rsidRPr="002121A4">
        <w:rPr>
          <w:i/>
          <w:sz w:val="19"/>
          <w:szCs w:val="19"/>
          <w:lang w:val="en-GB"/>
        </w:rPr>
        <w:t xml:space="preserve">- und </w:t>
      </w:r>
      <w:proofErr w:type="spellStart"/>
      <w:r w:rsidRPr="002121A4">
        <w:rPr>
          <w:i/>
          <w:sz w:val="19"/>
          <w:szCs w:val="19"/>
          <w:lang w:val="en-GB"/>
        </w:rPr>
        <w:t>Kapitalmarktrecht</w:t>
      </w:r>
      <w:proofErr w:type="spellEnd"/>
      <w:r w:rsidRPr="002121A4">
        <w:rPr>
          <w:sz w:val="19"/>
          <w:szCs w:val="19"/>
          <w:lang w:val="en-GB"/>
        </w:rPr>
        <w:t xml:space="preserve">, 5th ed. 2022; Poelzig, </w:t>
      </w:r>
      <w:proofErr w:type="spellStart"/>
      <w:r w:rsidRPr="002121A4">
        <w:rPr>
          <w:i/>
          <w:sz w:val="19"/>
          <w:szCs w:val="19"/>
          <w:lang w:val="en-GB"/>
        </w:rPr>
        <w:t>Kapitalmarktrecht</w:t>
      </w:r>
      <w:proofErr w:type="spellEnd"/>
      <w:r w:rsidRPr="002121A4">
        <w:rPr>
          <w:sz w:val="19"/>
          <w:szCs w:val="19"/>
          <w:lang w:val="en-GB"/>
        </w:rPr>
        <w:t xml:space="preserve">, </w:t>
      </w:r>
      <w:r w:rsidR="00B3382D" w:rsidRPr="002121A4">
        <w:rPr>
          <w:sz w:val="19"/>
          <w:szCs w:val="19"/>
          <w:lang w:val="en-GB"/>
        </w:rPr>
        <w:t>3rd</w:t>
      </w:r>
      <w:r w:rsidRPr="002121A4">
        <w:rPr>
          <w:sz w:val="19"/>
          <w:szCs w:val="19"/>
          <w:lang w:val="en-GB"/>
        </w:rPr>
        <w:t xml:space="preserve"> ed. 202</w:t>
      </w:r>
      <w:r w:rsidR="00B3382D" w:rsidRPr="002121A4">
        <w:rPr>
          <w:sz w:val="19"/>
          <w:szCs w:val="19"/>
          <w:lang w:val="en-GB"/>
        </w:rPr>
        <w:t>3</w:t>
      </w:r>
      <w:r w:rsidRPr="002121A4">
        <w:rPr>
          <w:sz w:val="19"/>
          <w:szCs w:val="19"/>
          <w:lang w:val="en-GB"/>
        </w:rPr>
        <w:t xml:space="preserve">; Veil, </w:t>
      </w:r>
      <w:proofErr w:type="spellStart"/>
      <w:r w:rsidRPr="002121A4">
        <w:rPr>
          <w:i/>
          <w:sz w:val="19"/>
          <w:szCs w:val="19"/>
          <w:lang w:val="en-GB"/>
        </w:rPr>
        <w:t>Europäisches</w:t>
      </w:r>
      <w:proofErr w:type="spellEnd"/>
      <w:r w:rsidRPr="002121A4">
        <w:rPr>
          <w:i/>
          <w:sz w:val="19"/>
          <w:szCs w:val="19"/>
          <w:lang w:val="en-GB"/>
        </w:rPr>
        <w:t xml:space="preserve"> und </w:t>
      </w:r>
      <w:proofErr w:type="spellStart"/>
      <w:r w:rsidRPr="002121A4">
        <w:rPr>
          <w:i/>
          <w:sz w:val="19"/>
          <w:szCs w:val="19"/>
          <w:lang w:val="en-GB"/>
        </w:rPr>
        <w:t>Deutsches</w:t>
      </w:r>
      <w:proofErr w:type="spellEnd"/>
      <w:r w:rsidRPr="002121A4">
        <w:rPr>
          <w:i/>
          <w:sz w:val="19"/>
          <w:szCs w:val="19"/>
          <w:lang w:val="en-GB"/>
        </w:rPr>
        <w:t xml:space="preserve"> </w:t>
      </w:r>
      <w:proofErr w:type="spellStart"/>
      <w:r w:rsidRPr="002121A4">
        <w:rPr>
          <w:i/>
          <w:sz w:val="19"/>
          <w:szCs w:val="19"/>
          <w:lang w:val="en-GB"/>
        </w:rPr>
        <w:t>Kapitalmarktrecht</w:t>
      </w:r>
      <w:proofErr w:type="spellEnd"/>
      <w:r w:rsidRPr="002121A4">
        <w:rPr>
          <w:sz w:val="19"/>
          <w:szCs w:val="19"/>
          <w:lang w:val="en-GB"/>
        </w:rPr>
        <w:t xml:space="preserve">, 3rd ed. 2022; Veil, </w:t>
      </w:r>
      <w:r w:rsidRPr="002121A4">
        <w:rPr>
          <w:i/>
          <w:sz w:val="19"/>
          <w:szCs w:val="19"/>
          <w:lang w:val="en-GB"/>
        </w:rPr>
        <w:t>European Capital Markets Law</w:t>
      </w:r>
      <w:r w:rsidRPr="002121A4">
        <w:rPr>
          <w:sz w:val="19"/>
          <w:szCs w:val="19"/>
          <w:lang w:val="en-GB"/>
        </w:rPr>
        <w:t xml:space="preserve">, 3rd ed. 2022. </w:t>
      </w:r>
      <w:r w:rsidR="00D54377" w:rsidRPr="00503463">
        <w:rPr>
          <w:b/>
          <w:sz w:val="19"/>
          <w:szCs w:val="19"/>
          <w:lang w:val="en-GB"/>
        </w:rPr>
        <w:t>Preparatory m</w:t>
      </w:r>
      <w:r w:rsidRPr="00503463">
        <w:rPr>
          <w:b/>
          <w:sz w:val="19"/>
          <w:szCs w:val="19"/>
          <w:lang w:val="en-GB"/>
        </w:rPr>
        <w:t>aterial for examination</w:t>
      </w:r>
      <w:r w:rsidR="00D54377" w:rsidRPr="00503463">
        <w:rPr>
          <w:b/>
          <w:sz w:val="19"/>
          <w:szCs w:val="19"/>
          <w:lang w:val="en-GB"/>
        </w:rPr>
        <w:t xml:space="preserve"> (</w:t>
      </w:r>
      <w:proofErr w:type="spellStart"/>
      <w:r w:rsidR="00D54377" w:rsidRPr="00503463">
        <w:rPr>
          <w:b/>
          <w:sz w:val="19"/>
          <w:szCs w:val="19"/>
          <w:lang w:val="en-GB"/>
        </w:rPr>
        <w:t>Schwerpunktbereich</w:t>
      </w:r>
      <w:proofErr w:type="spellEnd"/>
      <w:r w:rsidR="00D54377" w:rsidRPr="00503463">
        <w:rPr>
          <w:b/>
          <w:sz w:val="19"/>
          <w:szCs w:val="19"/>
          <w:lang w:val="en-GB"/>
        </w:rPr>
        <w:t xml:space="preserve"> III – </w:t>
      </w:r>
      <w:proofErr w:type="spellStart"/>
      <w:r w:rsidR="00D54377" w:rsidRPr="00503463">
        <w:rPr>
          <w:b/>
          <w:sz w:val="19"/>
          <w:szCs w:val="19"/>
          <w:lang w:val="en-GB"/>
        </w:rPr>
        <w:t>Unternehmen</w:t>
      </w:r>
      <w:proofErr w:type="spellEnd"/>
      <w:r w:rsidR="00D54377" w:rsidRPr="00503463">
        <w:rPr>
          <w:b/>
          <w:sz w:val="19"/>
          <w:szCs w:val="19"/>
          <w:lang w:val="en-GB"/>
        </w:rPr>
        <w:t xml:space="preserve">, Kapital und </w:t>
      </w:r>
      <w:proofErr w:type="spellStart"/>
      <w:r w:rsidR="00D54377" w:rsidRPr="00503463">
        <w:rPr>
          <w:b/>
          <w:sz w:val="19"/>
          <w:szCs w:val="19"/>
          <w:lang w:val="en-GB"/>
        </w:rPr>
        <w:t>Strukturierung</w:t>
      </w:r>
      <w:proofErr w:type="spellEnd"/>
      <w:r w:rsidR="00D54377" w:rsidRPr="00503463">
        <w:rPr>
          <w:b/>
          <w:sz w:val="19"/>
          <w:szCs w:val="19"/>
          <w:lang w:val="en-GB"/>
        </w:rPr>
        <w:t>)</w:t>
      </w:r>
      <w:r w:rsidRPr="00503463">
        <w:rPr>
          <w:b/>
          <w:sz w:val="19"/>
          <w:szCs w:val="19"/>
          <w:lang w:val="en-GB"/>
        </w:rPr>
        <w:t>:</w:t>
      </w:r>
      <w:r w:rsidRPr="00503463">
        <w:rPr>
          <w:sz w:val="19"/>
          <w:szCs w:val="19"/>
          <w:lang w:val="en-GB"/>
        </w:rPr>
        <w:t xml:space="preserve"> </w:t>
      </w:r>
      <w:r w:rsidR="00E05631" w:rsidRPr="00503463">
        <w:rPr>
          <w:b/>
          <w:i/>
          <w:sz w:val="19"/>
          <w:szCs w:val="19"/>
          <w:lang w:val="en-GB"/>
        </w:rPr>
        <w:t>Practical cases</w:t>
      </w:r>
      <w:r w:rsidR="00E05631" w:rsidRPr="00503463">
        <w:rPr>
          <w:sz w:val="19"/>
          <w:szCs w:val="19"/>
          <w:lang w:val="en-GB"/>
        </w:rPr>
        <w:t xml:space="preserve">: </w:t>
      </w:r>
      <w:r w:rsidRPr="00503463">
        <w:rPr>
          <w:sz w:val="19"/>
          <w:szCs w:val="19"/>
          <w:lang w:val="en-GB"/>
        </w:rPr>
        <w:t>Flei</w:t>
      </w:r>
      <w:r w:rsidR="00E47E32" w:rsidRPr="00503463">
        <w:rPr>
          <w:sz w:val="19"/>
          <w:szCs w:val="19"/>
          <w:lang w:val="en-GB"/>
        </w:rPr>
        <w:softHyphen/>
      </w:r>
      <w:r w:rsidRPr="00503463">
        <w:rPr>
          <w:sz w:val="19"/>
          <w:szCs w:val="19"/>
          <w:lang w:val="en-GB"/>
        </w:rPr>
        <w:t xml:space="preserve">scher/Korch, </w:t>
      </w:r>
      <w:proofErr w:type="spellStart"/>
      <w:r w:rsidRPr="00503463">
        <w:rPr>
          <w:i/>
          <w:sz w:val="19"/>
          <w:szCs w:val="19"/>
          <w:lang w:val="en-GB"/>
        </w:rPr>
        <w:t>Fälle</w:t>
      </w:r>
      <w:proofErr w:type="spellEnd"/>
      <w:r w:rsidRPr="00503463">
        <w:rPr>
          <w:i/>
          <w:sz w:val="19"/>
          <w:szCs w:val="19"/>
          <w:lang w:val="en-GB"/>
        </w:rPr>
        <w:t xml:space="preserve"> </w:t>
      </w:r>
      <w:proofErr w:type="spellStart"/>
      <w:r w:rsidRPr="00503463">
        <w:rPr>
          <w:i/>
          <w:sz w:val="19"/>
          <w:szCs w:val="19"/>
          <w:lang w:val="en-GB"/>
        </w:rPr>
        <w:t>zum</w:t>
      </w:r>
      <w:proofErr w:type="spellEnd"/>
      <w:r w:rsidRPr="00503463">
        <w:rPr>
          <w:i/>
          <w:sz w:val="19"/>
          <w:szCs w:val="19"/>
          <w:lang w:val="en-GB"/>
        </w:rPr>
        <w:t xml:space="preserve"> </w:t>
      </w:r>
      <w:proofErr w:type="spellStart"/>
      <w:r w:rsidRPr="00503463">
        <w:rPr>
          <w:i/>
          <w:sz w:val="19"/>
          <w:szCs w:val="19"/>
          <w:lang w:val="en-GB"/>
        </w:rPr>
        <w:t>Kapitalmarktrecht</w:t>
      </w:r>
      <w:proofErr w:type="spellEnd"/>
      <w:r w:rsidRPr="00503463">
        <w:rPr>
          <w:sz w:val="19"/>
          <w:szCs w:val="19"/>
          <w:lang w:val="en-GB"/>
        </w:rPr>
        <w:t xml:space="preserve">, 2021; </w:t>
      </w:r>
      <w:proofErr w:type="spellStart"/>
      <w:r w:rsidRPr="00503463">
        <w:rPr>
          <w:sz w:val="19"/>
          <w:szCs w:val="19"/>
          <w:lang w:val="en-GB"/>
        </w:rPr>
        <w:t>Haertlein</w:t>
      </w:r>
      <w:proofErr w:type="spellEnd"/>
      <w:r w:rsidRPr="00503463">
        <w:rPr>
          <w:sz w:val="19"/>
          <w:szCs w:val="19"/>
          <w:lang w:val="en-GB"/>
        </w:rPr>
        <w:t xml:space="preserve">/Poelzig, </w:t>
      </w:r>
      <w:proofErr w:type="spellStart"/>
      <w:r w:rsidRPr="00503463">
        <w:rPr>
          <w:i/>
          <w:sz w:val="19"/>
          <w:szCs w:val="19"/>
          <w:lang w:val="en-GB"/>
        </w:rPr>
        <w:t>Fälle</w:t>
      </w:r>
      <w:proofErr w:type="spellEnd"/>
      <w:r w:rsidRPr="00503463">
        <w:rPr>
          <w:i/>
          <w:sz w:val="19"/>
          <w:szCs w:val="19"/>
          <w:lang w:val="en-GB"/>
        </w:rPr>
        <w:t xml:space="preserve"> </w:t>
      </w:r>
      <w:proofErr w:type="spellStart"/>
      <w:r w:rsidRPr="00503463">
        <w:rPr>
          <w:i/>
          <w:sz w:val="19"/>
          <w:szCs w:val="19"/>
          <w:lang w:val="en-GB"/>
        </w:rPr>
        <w:t>zum</w:t>
      </w:r>
      <w:proofErr w:type="spellEnd"/>
      <w:r w:rsidRPr="00503463">
        <w:rPr>
          <w:i/>
          <w:sz w:val="19"/>
          <w:szCs w:val="19"/>
          <w:lang w:val="en-GB"/>
        </w:rPr>
        <w:t xml:space="preserve"> Bank- und </w:t>
      </w:r>
      <w:proofErr w:type="spellStart"/>
      <w:r w:rsidRPr="00503463">
        <w:rPr>
          <w:i/>
          <w:sz w:val="19"/>
          <w:szCs w:val="19"/>
          <w:lang w:val="en-GB"/>
        </w:rPr>
        <w:t>Kapitalmarktrecht</w:t>
      </w:r>
      <w:proofErr w:type="spellEnd"/>
      <w:r w:rsidRPr="00503463">
        <w:rPr>
          <w:sz w:val="19"/>
          <w:szCs w:val="19"/>
          <w:lang w:val="en-GB"/>
        </w:rPr>
        <w:t xml:space="preserve">, 2021; Leuschner/Sajnovits/Wilhelm, </w:t>
      </w:r>
      <w:proofErr w:type="spellStart"/>
      <w:r w:rsidRPr="00503463">
        <w:rPr>
          <w:i/>
          <w:sz w:val="19"/>
          <w:szCs w:val="19"/>
          <w:lang w:val="en-GB"/>
        </w:rPr>
        <w:t>Fälle</w:t>
      </w:r>
      <w:proofErr w:type="spellEnd"/>
      <w:r w:rsidRPr="00503463">
        <w:rPr>
          <w:i/>
          <w:sz w:val="19"/>
          <w:szCs w:val="19"/>
          <w:lang w:val="en-GB"/>
        </w:rPr>
        <w:t xml:space="preserve"> </w:t>
      </w:r>
      <w:proofErr w:type="spellStart"/>
      <w:r w:rsidRPr="00503463">
        <w:rPr>
          <w:i/>
          <w:sz w:val="19"/>
          <w:szCs w:val="19"/>
          <w:lang w:val="en-GB"/>
        </w:rPr>
        <w:t>zum</w:t>
      </w:r>
      <w:proofErr w:type="spellEnd"/>
      <w:r w:rsidRPr="00503463">
        <w:rPr>
          <w:i/>
          <w:sz w:val="19"/>
          <w:szCs w:val="19"/>
          <w:lang w:val="en-GB"/>
        </w:rPr>
        <w:t xml:space="preserve"> </w:t>
      </w:r>
      <w:proofErr w:type="spellStart"/>
      <w:r w:rsidRPr="00503463">
        <w:rPr>
          <w:i/>
          <w:sz w:val="19"/>
          <w:szCs w:val="19"/>
          <w:lang w:val="en-GB"/>
        </w:rPr>
        <w:t>Kapitalgesellschafts</w:t>
      </w:r>
      <w:proofErr w:type="spellEnd"/>
      <w:r w:rsidRPr="00503463">
        <w:rPr>
          <w:i/>
          <w:sz w:val="19"/>
          <w:szCs w:val="19"/>
          <w:lang w:val="en-GB"/>
        </w:rPr>
        <w:t xml:space="preserve">- und </w:t>
      </w:r>
      <w:proofErr w:type="spellStart"/>
      <w:r w:rsidRPr="00503463">
        <w:rPr>
          <w:i/>
          <w:sz w:val="19"/>
          <w:szCs w:val="19"/>
          <w:lang w:val="en-GB"/>
        </w:rPr>
        <w:t>Kapitalmarktrecht</w:t>
      </w:r>
      <w:proofErr w:type="spellEnd"/>
      <w:r w:rsidRPr="00503463">
        <w:rPr>
          <w:sz w:val="19"/>
          <w:szCs w:val="19"/>
          <w:lang w:val="en-GB"/>
        </w:rPr>
        <w:t xml:space="preserve">, </w:t>
      </w:r>
      <w:r w:rsidR="00CD27CC" w:rsidRPr="00503463">
        <w:rPr>
          <w:sz w:val="19"/>
          <w:szCs w:val="19"/>
          <w:lang w:val="en-GB"/>
        </w:rPr>
        <w:t xml:space="preserve">2nd ed. </w:t>
      </w:r>
      <w:r w:rsidRPr="00503463">
        <w:rPr>
          <w:sz w:val="19"/>
          <w:szCs w:val="19"/>
          <w:lang w:val="en-GB"/>
        </w:rPr>
        <w:t>202</w:t>
      </w:r>
      <w:r w:rsidR="00CD27CC" w:rsidRPr="00503463">
        <w:rPr>
          <w:sz w:val="19"/>
          <w:szCs w:val="19"/>
          <w:lang w:val="en-GB"/>
        </w:rPr>
        <w:t>4</w:t>
      </w:r>
      <w:r w:rsidRPr="00503463">
        <w:rPr>
          <w:sz w:val="19"/>
          <w:szCs w:val="19"/>
          <w:lang w:val="en-GB"/>
        </w:rPr>
        <w:t>.</w:t>
      </w:r>
      <w:r w:rsidR="00983073" w:rsidRPr="00503463">
        <w:rPr>
          <w:sz w:val="19"/>
          <w:szCs w:val="19"/>
          <w:lang w:val="en-GB"/>
        </w:rPr>
        <w:t xml:space="preserve"> </w:t>
      </w:r>
      <w:proofErr w:type="spellStart"/>
      <w:r w:rsidR="00983073" w:rsidRPr="00A4453C">
        <w:rPr>
          <w:b/>
          <w:i/>
          <w:sz w:val="19"/>
          <w:szCs w:val="19"/>
        </w:rPr>
        <w:t>Recent</w:t>
      </w:r>
      <w:proofErr w:type="spellEnd"/>
      <w:r w:rsidR="00983073" w:rsidRPr="00A4453C">
        <w:rPr>
          <w:b/>
          <w:i/>
          <w:sz w:val="19"/>
          <w:szCs w:val="19"/>
        </w:rPr>
        <w:t xml:space="preserve"> </w:t>
      </w:r>
      <w:proofErr w:type="spellStart"/>
      <w:r w:rsidR="00983073" w:rsidRPr="00A4453C">
        <w:rPr>
          <w:b/>
          <w:i/>
          <w:sz w:val="19"/>
          <w:szCs w:val="19"/>
        </w:rPr>
        <w:t>developments</w:t>
      </w:r>
      <w:proofErr w:type="spellEnd"/>
      <w:r w:rsidR="00983073" w:rsidRPr="00A4453C">
        <w:rPr>
          <w:sz w:val="19"/>
          <w:szCs w:val="19"/>
        </w:rPr>
        <w:t xml:space="preserve">: </w:t>
      </w:r>
      <w:proofErr w:type="spellStart"/>
      <w:r w:rsidR="00931040" w:rsidRPr="00A4453C">
        <w:rPr>
          <w:sz w:val="19"/>
          <w:szCs w:val="19"/>
        </w:rPr>
        <w:t>Maume</w:t>
      </w:r>
      <w:proofErr w:type="spellEnd"/>
      <w:r w:rsidR="00931040" w:rsidRPr="00A4453C">
        <w:rPr>
          <w:sz w:val="19"/>
          <w:szCs w:val="19"/>
        </w:rPr>
        <w:t xml:space="preserve">, “Die Entwicklung des </w:t>
      </w:r>
      <w:proofErr w:type="spellStart"/>
      <w:r w:rsidR="00931040" w:rsidRPr="00A4453C">
        <w:rPr>
          <w:sz w:val="19"/>
          <w:szCs w:val="19"/>
        </w:rPr>
        <w:t>Kapitalmarktechts</w:t>
      </w:r>
      <w:proofErr w:type="spellEnd"/>
      <w:r w:rsidR="008C4AFF">
        <w:rPr>
          <w:sz w:val="19"/>
          <w:szCs w:val="19"/>
        </w:rPr>
        <w:t xml:space="preserve"> 2024</w:t>
      </w:r>
      <w:r w:rsidR="004479F9" w:rsidRPr="00A4453C">
        <w:rPr>
          <w:sz w:val="19"/>
          <w:szCs w:val="19"/>
        </w:rPr>
        <w:t>”</w:t>
      </w:r>
      <w:r w:rsidR="00931040" w:rsidRPr="00A4453C">
        <w:rPr>
          <w:sz w:val="19"/>
          <w:szCs w:val="19"/>
        </w:rPr>
        <w:t>, (2025)</w:t>
      </w:r>
      <w:r w:rsidR="00153C41">
        <w:rPr>
          <w:sz w:val="19"/>
          <w:szCs w:val="19"/>
        </w:rPr>
        <w:t xml:space="preserve"> NJW</w:t>
      </w:r>
      <w:r w:rsidR="00931040" w:rsidRPr="00A4453C">
        <w:rPr>
          <w:sz w:val="19"/>
          <w:szCs w:val="19"/>
        </w:rPr>
        <w:t xml:space="preserve"> 940</w:t>
      </w:r>
      <w:r w:rsidR="00CE185E">
        <w:rPr>
          <w:sz w:val="19"/>
          <w:szCs w:val="19"/>
        </w:rPr>
        <w:t>–</w:t>
      </w:r>
      <w:r w:rsidR="00931040" w:rsidRPr="00A4453C">
        <w:rPr>
          <w:sz w:val="19"/>
          <w:szCs w:val="19"/>
        </w:rPr>
        <w:t xml:space="preserve">946; </w:t>
      </w:r>
      <w:r w:rsidR="00CD27CC" w:rsidRPr="00A4453C">
        <w:rPr>
          <w:sz w:val="19"/>
          <w:szCs w:val="19"/>
        </w:rPr>
        <w:t>Stüber, “Aktuelle Entwicklungen im Wertpapierhandelsrecht</w:t>
      </w:r>
      <w:r w:rsidR="004479F9" w:rsidRPr="00A4453C">
        <w:rPr>
          <w:sz w:val="19"/>
          <w:szCs w:val="19"/>
        </w:rPr>
        <w:t>”</w:t>
      </w:r>
      <w:r w:rsidR="00CD27CC" w:rsidRPr="00A4453C">
        <w:rPr>
          <w:sz w:val="19"/>
          <w:szCs w:val="19"/>
        </w:rPr>
        <w:t xml:space="preserve"> (20</w:t>
      </w:r>
      <w:r w:rsidR="008E5171" w:rsidRPr="00A4453C">
        <w:rPr>
          <w:sz w:val="19"/>
          <w:szCs w:val="19"/>
        </w:rPr>
        <w:t>2</w:t>
      </w:r>
      <w:r w:rsidR="00931040" w:rsidRPr="00A4453C">
        <w:rPr>
          <w:sz w:val="19"/>
          <w:szCs w:val="19"/>
        </w:rPr>
        <w:t>5</w:t>
      </w:r>
      <w:r w:rsidR="00CD27CC" w:rsidRPr="00A4453C">
        <w:rPr>
          <w:sz w:val="19"/>
          <w:szCs w:val="19"/>
        </w:rPr>
        <w:t xml:space="preserve">) </w:t>
      </w:r>
      <w:r w:rsidR="00CD27CC" w:rsidRPr="00A4453C">
        <w:rPr>
          <w:i/>
          <w:sz w:val="19"/>
          <w:szCs w:val="19"/>
        </w:rPr>
        <w:t>Der Konzern</w:t>
      </w:r>
      <w:r w:rsidR="00CD27CC" w:rsidRPr="00A4453C">
        <w:rPr>
          <w:sz w:val="19"/>
          <w:szCs w:val="19"/>
        </w:rPr>
        <w:t xml:space="preserve"> </w:t>
      </w:r>
      <w:r w:rsidR="00931040" w:rsidRPr="00A4453C">
        <w:rPr>
          <w:sz w:val="19"/>
          <w:szCs w:val="19"/>
        </w:rPr>
        <w:t>48</w:t>
      </w:r>
      <w:r w:rsidR="00CD27CC" w:rsidRPr="00A4453C">
        <w:rPr>
          <w:sz w:val="19"/>
          <w:szCs w:val="19"/>
        </w:rPr>
        <w:t>–</w:t>
      </w:r>
      <w:r w:rsidR="00931040" w:rsidRPr="00A4453C">
        <w:rPr>
          <w:sz w:val="19"/>
          <w:szCs w:val="19"/>
        </w:rPr>
        <w:t>56</w:t>
      </w:r>
      <w:r w:rsidR="00CD27CC" w:rsidRPr="00A4453C">
        <w:rPr>
          <w:sz w:val="19"/>
          <w:szCs w:val="19"/>
        </w:rPr>
        <w:t xml:space="preserve">; </w:t>
      </w:r>
      <w:r w:rsidR="002020A3" w:rsidRPr="00A4453C">
        <w:rPr>
          <w:sz w:val="19"/>
          <w:szCs w:val="19"/>
        </w:rPr>
        <w:t xml:space="preserve">Stüber, “Neuerungen im Marktmissbrauchsrecht durch den EU Listing Act”, (2025) </w:t>
      </w:r>
      <w:r w:rsidR="002020A3" w:rsidRPr="00A4453C">
        <w:rPr>
          <w:i/>
          <w:sz w:val="19"/>
          <w:szCs w:val="19"/>
        </w:rPr>
        <w:t>Wertpapiermitteilungen</w:t>
      </w:r>
      <w:r w:rsidR="002020A3" w:rsidRPr="00A4453C">
        <w:rPr>
          <w:sz w:val="19"/>
          <w:szCs w:val="19"/>
        </w:rPr>
        <w:t xml:space="preserve"> 293–300;</w:t>
      </w:r>
      <w:r w:rsidR="001242E4">
        <w:rPr>
          <w:sz w:val="19"/>
          <w:szCs w:val="19"/>
        </w:rPr>
        <w:t xml:space="preserve"> </w:t>
      </w:r>
      <w:r w:rsidR="00983073" w:rsidRPr="00A4453C">
        <w:rPr>
          <w:sz w:val="19"/>
          <w:szCs w:val="19"/>
        </w:rPr>
        <w:t xml:space="preserve">Weber, </w:t>
      </w:r>
      <w:r w:rsidR="00E0397A" w:rsidRPr="00A4453C">
        <w:rPr>
          <w:sz w:val="19"/>
          <w:szCs w:val="19"/>
        </w:rPr>
        <w:t>“</w:t>
      </w:r>
      <w:r w:rsidR="00446231" w:rsidRPr="00A4453C">
        <w:rPr>
          <w:sz w:val="19"/>
          <w:szCs w:val="19"/>
        </w:rPr>
        <w:t>Die Entwicklung des Kapitalmarktrechts 2023/24</w:t>
      </w:r>
      <w:r w:rsidR="00E0397A" w:rsidRPr="00A4453C">
        <w:rPr>
          <w:sz w:val="19"/>
          <w:szCs w:val="19"/>
        </w:rPr>
        <w:t>”</w:t>
      </w:r>
      <w:r w:rsidR="00446231" w:rsidRPr="00A4453C">
        <w:rPr>
          <w:sz w:val="19"/>
          <w:szCs w:val="19"/>
        </w:rPr>
        <w:t xml:space="preserve">, (2024) </w:t>
      </w:r>
      <w:r w:rsidR="00446231" w:rsidRPr="00A4453C">
        <w:rPr>
          <w:i/>
          <w:sz w:val="19"/>
          <w:szCs w:val="19"/>
        </w:rPr>
        <w:t>NJW</w:t>
      </w:r>
      <w:r w:rsidR="00446231" w:rsidRPr="00A4453C">
        <w:rPr>
          <w:sz w:val="19"/>
          <w:szCs w:val="19"/>
        </w:rPr>
        <w:t xml:space="preserve"> 939–945</w:t>
      </w:r>
      <w:r w:rsidR="00983073" w:rsidRPr="00A4453C">
        <w:rPr>
          <w:sz w:val="19"/>
          <w:szCs w:val="19"/>
        </w:rPr>
        <w:t>.</w:t>
      </w:r>
    </w:p>
    <w:p w14:paraId="17243820" w14:textId="3F15A681" w:rsidR="00811F74" w:rsidRPr="002121A4" w:rsidRDefault="00811F74" w:rsidP="00FD746F">
      <w:pPr>
        <w:pStyle w:val="berschrift2"/>
        <w:rPr>
          <w:lang w:val="en-GB"/>
        </w:rPr>
      </w:pPr>
      <w:bookmarkStart w:id="1" w:name="_Toc194577759"/>
      <w:r w:rsidRPr="002121A4">
        <w:rPr>
          <w:lang w:val="en-GB"/>
        </w:rPr>
        <w:t xml:space="preserve">Course </w:t>
      </w:r>
      <w:r w:rsidR="001C673C" w:rsidRPr="002121A4">
        <w:rPr>
          <w:lang w:val="en-GB"/>
        </w:rPr>
        <w:t xml:space="preserve">content and </w:t>
      </w:r>
      <w:r w:rsidRPr="002121A4">
        <w:rPr>
          <w:lang w:val="en-GB"/>
        </w:rPr>
        <w:t>modules</w:t>
      </w:r>
      <w:bookmarkEnd w:id="1"/>
    </w:p>
    <w:p w14:paraId="4193CB1C" w14:textId="32E9C5BE" w:rsidR="001C673C" w:rsidRPr="002121A4" w:rsidRDefault="001C673C" w:rsidP="005E2847">
      <w:pPr>
        <w:pStyle w:val="Standardwithparanumbering"/>
      </w:pPr>
      <w:r w:rsidRPr="002121A4">
        <w:t>This course covers the essential features of capital markets regulation in the European Union. The curriculum of this course includes</w:t>
      </w:r>
      <w:r w:rsidR="009D2550" w:rsidRPr="002121A4">
        <w:t>:</w:t>
      </w:r>
    </w:p>
    <w:p w14:paraId="045076E5" w14:textId="17D1E766" w:rsidR="00FF705E" w:rsidRPr="002121A4" w:rsidRDefault="001C673C" w:rsidP="00AB42AA">
      <w:pPr>
        <w:pStyle w:val="Listenabsatz"/>
        <w:numPr>
          <w:ilvl w:val="0"/>
          <w:numId w:val="11"/>
        </w:numPr>
        <w:rPr>
          <w:szCs w:val="23"/>
          <w:lang w:val="en-GB"/>
        </w:rPr>
      </w:pPr>
      <w:r w:rsidRPr="002121A4">
        <w:rPr>
          <w:szCs w:val="23"/>
          <w:lang w:val="en-GB"/>
        </w:rPr>
        <w:t xml:space="preserve">EU legislation </w:t>
      </w:r>
      <w:r w:rsidR="009D2550" w:rsidRPr="002121A4">
        <w:rPr>
          <w:szCs w:val="23"/>
          <w:lang w:val="en-GB"/>
        </w:rPr>
        <w:t xml:space="preserve">in relation to capital markets, </w:t>
      </w:r>
      <w:r w:rsidRPr="002121A4">
        <w:rPr>
          <w:szCs w:val="23"/>
          <w:lang w:val="en-GB"/>
        </w:rPr>
        <w:t>such as</w:t>
      </w:r>
      <w:r w:rsidR="0028717A" w:rsidRPr="002121A4">
        <w:rPr>
          <w:szCs w:val="23"/>
          <w:lang w:val="en-GB"/>
        </w:rPr>
        <w:t>:</w:t>
      </w:r>
    </w:p>
    <w:p w14:paraId="7CB33AE1" w14:textId="479178AC" w:rsidR="00FF705E" w:rsidRPr="002121A4" w:rsidRDefault="001C673C" w:rsidP="00AB42AA">
      <w:pPr>
        <w:pStyle w:val="Listenabsatz"/>
        <w:numPr>
          <w:ilvl w:val="1"/>
          <w:numId w:val="11"/>
        </w:numPr>
        <w:rPr>
          <w:szCs w:val="23"/>
          <w:lang w:val="en-GB"/>
        </w:rPr>
      </w:pPr>
      <w:r w:rsidRPr="002121A4">
        <w:rPr>
          <w:szCs w:val="23"/>
          <w:lang w:val="en-GB"/>
        </w:rPr>
        <w:t>the Markets in Financial Instruments Directive</w:t>
      </w:r>
      <w:r w:rsidR="00FF705E" w:rsidRPr="002121A4">
        <w:rPr>
          <w:szCs w:val="23"/>
          <w:lang w:val="en-GB"/>
        </w:rPr>
        <w:t xml:space="preserve"> II (MiFID II)</w:t>
      </w:r>
      <w:r w:rsidR="00252E21" w:rsidRPr="002121A4">
        <w:rPr>
          <w:szCs w:val="23"/>
          <w:lang w:val="en-GB"/>
        </w:rPr>
        <w:t xml:space="preserve"> and </w:t>
      </w:r>
      <w:r w:rsidR="00482B28" w:rsidRPr="002121A4">
        <w:rPr>
          <w:szCs w:val="23"/>
          <w:lang w:val="en-GB"/>
        </w:rPr>
        <w:t>the Markets in Financial Instruments Regulation (</w:t>
      </w:r>
      <w:proofErr w:type="spellStart"/>
      <w:r w:rsidR="00482B28" w:rsidRPr="002121A4">
        <w:rPr>
          <w:szCs w:val="23"/>
          <w:lang w:val="en-GB"/>
        </w:rPr>
        <w:t>MiFIR</w:t>
      </w:r>
      <w:proofErr w:type="spellEnd"/>
      <w:r w:rsidR="00482B28" w:rsidRPr="002121A4">
        <w:rPr>
          <w:szCs w:val="23"/>
          <w:lang w:val="en-GB"/>
        </w:rPr>
        <w:t>)</w:t>
      </w:r>
      <w:r w:rsidR="00B66714" w:rsidRPr="002121A4">
        <w:rPr>
          <w:szCs w:val="23"/>
          <w:lang w:val="en-GB"/>
        </w:rPr>
        <w:t>,</w:t>
      </w:r>
    </w:p>
    <w:p w14:paraId="6A3FDB55" w14:textId="278B7D52" w:rsidR="00FF705E" w:rsidRPr="002121A4" w:rsidRDefault="001C673C" w:rsidP="00AB42AA">
      <w:pPr>
        <w:pStyle w:val="Listenabsatz"/>
        <w:numPr>
          <w:ilvl w:val="1"/>
          <w:numId w:val="11"/>
        </w:numPr>
        <w:rPr>
          <w:szCs w:val="23"/>
          <w:lang w:val="en-GB"/>
        </w:rPr>
      </w:pPr>
      <w:r w:rsidRPr="002121A4">
        <w:rPr>
          <w:szCs w:val="23"/>
          <w:lang w:val="en-GB"/>
        </w:rPr>
        <w:t>the Prospectus Regulation</w:t>
      </w:r>
      <w:r w:rsidR="00FF705E" w:rsidRPr="002121A4">
        <w:rPr>
          <w:szCs w:val="23"/>
          <w:lang w:val="en-GB"/>
        </w:rPr>
        <w:t xml:space="preserve"> (PR)</w:t>
      </w:r>
      <w:r w:rsidRPr="002121A4">
        <w:rPr>
          <w:szCs w:val="23"/>
          <w:lang w:val="en-GB"/>
        </w:rPr>
        <w:t xml:space="preserve">, </w:t>
      </w:r>
    </w:p>
    <w:p w14:paraId="3AB15129" w14:textId="36FA75FC" w:rsidR="00FF705E" w:rsidRPr="002121A4" w:rsidRDefault="001C673C" w:rsidP="00AB42AA">
      <w:pPr>
        <w:pStyle w:val="Listenabsatz"/>
        <w:numPr>
          <w:ilvl w:val="1"/>
          <w:numId w:val="11"/>
        </w:numPr>
        <w:rPr>
          <w:szCs w:val="23"/>
          <w:lang w:val="en-GB"/>
        </w:rPr>
      </w:pPr>
      <w:r w:rsidRPr="002121A4">
        <w:rPr>
          <w:szCs w:val="23"/>
          <w:lang w:val="en-GB"/>
        </w:rPr>
        <w:t>the Market Abuse Regulation</w:t>
      </w:r>
      <w:r w:rsidR="00FF705E" w:rsidRPr="002121A4">
        <w:rPr>
          <w:szCs w:val="23"/>
          <w:lang w:val="en-GB"/>
        </w:rPr>
        <w:t xml:space="preserve"> (MAR)</w:t>
      </w:r>
      <w:r w:rsidRPr="002121A4">
        <w:rPr>
          <w:szCs w:val="23"/>
          <w:lang w:val="en-GB"/>
        </w:rPr>
        <w:t xml:space="preserve">, </w:t>
      </w:r>
    </w:p>
    <w:p w14:paraId="6421BC1D" w14:textId="77777777" w:rsidR="00FF705E" w:rsidRPr="002121A4" w:rsidRDefault="001C673C" w:rsidP="00AB42AA">
      <w:pPr>
        <w:pStyle w:val="Listenabsatz"/>
        <w:numPr>
          <w:ilvl w:val="1"/>
          <w:numId w:val="11"/>
        </w:numPr>
        <w:rPr>
          <w:szCs w:val="23"/>
          <w:lang w:val="en-GB"/>
        </w:rPr>
      </w:pPr>
      <w:r w:rsidRPr="002121A4">
        <w:rPr>
          <w:szCs w:val="23"/>
          <w:lang w:val="en-GB"/>
        </w:rPr>
        <w:t>the Transparency Directive</w:t>
      </w:r>
      <w:r w:rsidR="00FF705E" w:rsidRPr="002121A4">
        <w:rPr>
          <w:szCs w:val="23"/>
          <w:lang w:val="en-GB"/>
        </w:rPr>
        <w:t xml:space="preserve"> (TD), and</w:t>
      </w:r>
    </w:p>
    <w:p w14:paraId="3F9FFCC8" w14:textId="1D720CB0" w:rsidR="00230F19" w:rsidRPr="002121A4" w:rsidRDefault="00FF705E" w:rsidP="00AB42AA">
      <w:pPr>
        <w:pStyle w:val="Listenabsatz"/>
        <w:numPr>
          <w:ilvl w:val="1"/>
          <w:numId w:val="11"/>
        </w:numPr>
        <w:rPr>
          <w:szCs w:val="23"/>
          <w:lang w:val="en-GB"/>
        </w:rPr>
      </w:pPr>
      <w:r w:rsidRPr="002121A4">
        <w:rPr>
          <w:szCs w:val="23"/>
          <w:lang w:val="en-GB"/>
        </w:rPr>
        <w:t>the Takeover Bid Directive (TBD)</w:t>
      </w:r>
      <w:r w:rsidR="009D2550" w:rsidRPr="002121A4">
        <w:rPr>
          <w:szCs w:val="23"/>
          <w:lang w:val="en-GB"/>
        </w:rPr>
        <w:t>;</w:t>
      </w:r>
    </w:p>
    <w:p w14:paraId="65CCBA38" w14:textId="1AFA4BD8" w:rsidR="001C673C" w:rsidRPr="002121A4" w:rsidRDefault="00FF705E" w:rsidP="00AB42AA">
      <w:pPr>
        <w:pStyle w:val="Listenabsatz"/>
        <w:numPr>
          <w:ilvl w:val="0"/>
          <w:numId w:val="11"/>
        </w:numPr>
        <w:rPr>
          <w:szCs w:val="23"/>
          <w:lang w:val="en-GB"/>
        </w:rPr>
      </w:pPr>
      <w:r w:rsidRPr="002121A4">
        <w:rPr>
          <w:szCs w:val="23"/>
          <w:lang w:val="en-GB"/>
        </w:rPr>
        <w:t>D</w:t>
      </w:r>
      <w:r w:rsidR="001C673C" w:rsidRPr="002121A4">
        <w:rPr>
          <w:szCs w:val="23"/>
          <w:lang w:val="en-GB"/>
        </w:rPr>
        <w:t>omestic legislation</w:t>
      </w:r>
      <w:r w:rsidR="009D2550" w:rsidRPr="002121A4">
        <w:rPr>
          <w:szCs w:val="23"/>
          <w:lang w:val="en-GB"/>
        </w:rPr>
        <w:t xml:space="preserve"> implementing and supplementing EU capital markets legislation</w:t>
      </w:r>
      <w:r w:rsidRPr="002121A4">
        <w:rPr>
          <w:szCs w:val="23"/>
          <w:lang w:val="en-GB"/>
        </w:rPr>
        <w:t>, e.g.</w:t>
      </w:r>
      <w:r w:rsidR="0028717A" w:rsidRPr="002121A4">
        <w:rPr>
          <w:szCs w:val="23"/>
          <w:lang w:val="en-GB"/>
        </w:rPr>
        <w:t>,</w:t>
      </w:r>
    </w:p>
    <w:p w14:paraId="0EA35127" w14:textId="32CF328E" w:rsidR="0028717A" w:rsidRPr="002121A4" w:rsidRDefault="0028717A" w:rsidP="00AB42AA">
      <w:pPr>
        <w:pStyle w:val="Listenabsatz"/>
        <w:numPr>
          <w:ilvl w:val="1"/>
          <w:numId w:val="11"/>
        </w:numPr>
        <w:rPr>
          <w:szCs w:val="23"/>
          <w:lang w:val="en-GB"/>
        </w:rPr>
      </w:pPr>
      <w:proofErr w:type="spellStart"/>
      <w:r w:rsidRPr="002121A4">
        <w:rPr>
          <w:i/>
          <w:szCs w:val="23"/>
          <w:lang w:val="en-GB"/>
        </w:rPr>
        <w:t>Börsengesetz</w:t>
      </w:r>
      <w:proofErr w:type="spellEnd"/>
      <w:r w:rsidRPr="002121A4">
        <w:rPr>
          <w:szCs w:val="23"/>
          <w:lang w:val="en-GB"/>
        </w:rPr>
        <w:t xml:space="preserve"> (</w:t>
      </w:r>
      <w:proofErr w:type="spellStart"/>
      <w:r w:rsidRPr="002121A4">
        <w:rPr>
          <w:szCs w:val="23"/>
          <w:lang w:val="en-GB"/>
        </w:rPr>
        <w:t>BörsG</w:t>
      </w:r>
      <w:proofErr w:type="spellEnd"/>
      <w:r w:rsidRPr="002121A4">
        <w:rPr>
          <w:szCs w:val="23"/>
          <w:lang w:val="en-GB"/>
        </w:rPr>
        <w:t>)</w:t>
      </w:r>
      <w:r w:rsidR="00252E21" w:rsidRPr="002121A4">
        <w:rPr>
          <w:szCs w:val="23"/>
          <w:lang w:val="en-GB"/>
        </w:rPr>
        <w:t>,</w:t>
      </w:r>
    </w:p>
    <w:p w14:paraId="6982AE17" w14:textId="3435CA6C" w:rsidR="00FF705E" w:rsidRPr="002121A4" w:rsidRDefault="00FF705E" w:rsidP="00AB42AA">
      <w:pPr>
        <w:pStyle w:val="Listenabsatz"/>
        <w:numPr>
          <w:ilvl w:val="1"/>
          <w:numId w:val="11"/>
        </w:numPr>
        <w:rPr>
          <w:szCs w:val="23"/>
          <w:lang w:val="en-GB"/>
        </w:rPr>
      </w:pPr>
      <w:proofErr w:type="spellStart"/>
      <w:r w:rsidRPr="002121A4">
        <w:rPr>
          <w:i/>
          <w:szCs w:val="23"/>
          <w:lang w:val="en-GB"/>
        </w:rPr>
        <w:t>Wertpapierhandelsgesetz</w:t>
      </w:r>
      <w:proofErr w:type="spellEnd"/>
      <w:r w:rsidRPr="002121A4">
        <w:rPr>
          <w:szCs w:val="23"/>
          <w:lang w:val="en-GB"/>
        </w:rPr>
        <w:t xml:space="preserve"> (</w:t>
      </w:r>
      <w:proofErr w:type="spellStart"/>
      <w:r w:rsidRPr="002121A4">
        <w:rPr>
          <w:szCs w:val="23"/>
          <w:lang w:val="en-GB"/>
        </w:rPr>
        <w:t>WpHG</w:t>
      </w:r>
      <w:proofErr w:type="spellEnd"/>
      <w:r w:rsidRPr="002121A4">
        <w:rPr>
          <w:szCs w:val="23"/>
          <w:lang w:val="en-GB"/>
        </w:rPr>
        <w:t>)</w:t>
      </w:r>
      <w:r w:rsidR="00B66714" w:rsidRPr="002121A4">
        <w:rPr>
          <w:szCs w:val="23"/>
          <w:lang w:val="en-GB"/>
        </w:rPr>
        <w:t>,</w:t>
      </w:r>
    </w:p>
    <w:p w14:paraId="327E6FD0" w14:textId="13F2BA32" w:rsidR="00FF705E" w:rsidRPr="002121A4" w:rsidRDefault="00FF705E" w:rsidP="00AB42AA">
      <w:pPr>
        <w:pStyle w:val="Listenabsatz"/>
        <w:numPr>
          <w:ilvl w:val="1"/>
          <w:numId w:val="11"/>
        </w:numPr>
        <w:rPr>
          <w:szCs w:val="23"/>
          <w:lang w:val="en-GB"/>
        </w:rPr>
      </w:pPr>
      <w:proofErr w:type="spellStart"/>
      <w:r w:rsidRPr="002121A4">
        <w:rPr>
          <w:i/>
          <w:szCs w:val="23"/>
          <w:lang w:val="en-GB"/>
        </w:rPr>
        <w:t>Wertpapierprospektgesetz</w:t>
      </w:r>
      <w:proofErr w:type="spellEnd"/>
      <w:r w:rsidRPr="002121A4">
        <w:rPr>
          <w:szCs w:val="23"/>
          <w:lang w:val="en-GB"/>
        </w:rPr>
        <w:t xml:space="preserve"> (</w:t>
      </w:r>
      <w:proofErr w:type="spellStart"/>
      <w:r w:rsidRPr="002121A4">
        <w:rPr>
          <w:szCs w:val="23"/>
          <w:lang w:val="en-GB"/>
        </w:rPr>
        <w:t>WpPG</w:t>
      </w:r>
      <w:proofErr w:type="spellEnd"/>
      <w:r w:rsidRPr="002121A4">
        <w:rPr>
          <w:szCs w:val="23"/>
          <w:lang w:val="en-GB"/>
        </w:rPr>
        <w:t>)</w:t>
      </w:r>
      <w:r w:rsidR="00B66714" w:rsidRPr="002121A4">
        <w:rPr>
          <w:szCs w:val="23"/>
          <w:lang w:val="en-GB"/>
        </w:rPr>
        <w:t>, and</w:t>
      </w:r>
    </w:p>
    <w:p w14:paraId="1C52109F" w14:textId="61DDCEE1" w:rsidR="00FF705E" w:rsidRPr="002121A4" w:rsidRDefault="00FF705E" w:rsidP="00AB42AA">
      <w:pPr>
        <w:pStyle w:val="Listenabsatz"/>
        <w:numPr>
          <w:ilvl w:val="1"/>
          <w:numId w:val="11"/>
        </w:numPr>
        <w:rPr>
          <w:szCs w:val="23"/>
          <w:lang w:val="en-GB"/>
        </w:rPr>
      </w:pPr>
      <w:proofErr w:type="spellStart"/>
      <w:r w:rsidRPr="002121A4">
        <w:rPr>
          <w:i/>
          <w:szCs w:val="23"/>
          <w:lang w:val="en-GB"/>
        </w:rPr>
        <w:t>Wertpapiererwerbs</w:t>
      </w:r>
      <w:proofErr w:type="spellEnd"/>
      <w:r w:rsidRPr="002121A4">
        <w:rPr>
          <w:i/>
          <w:szCs w:val="23"/>
          <w:lang w:val="en-GB"/>
        </w:rPr>
        <w:t xml:space="preserve">- und </w:t>
      </w:r>
      <w:proofErr w:type="spellStart"/>
      <w:r w:rsidRPr="002121A4">
        <w:rPr>
          <w:i/>
          <w:szCs w:val="23"/>
          <w:lang w:val="en-GB"/>
        </w:rPr>
        <w:t>Übernahmegesetz</w:t>
      </w:r>
      <w:proofErr w:type="spellEnd"/>
      <w:r w:rsidRPr="002121A4">
        <w:rPr>
          <w:szCs w:val="23"/>
          <w:lang w:val="en-GB"/>
        </w:rPr>
        <w:t xml:space="preserve"> (</w:t>
      </w:r>
      <w:proofErr w:type="spellStart"/>
      <w:r w:rsidRPr="002121A4">
        <w:rPr>
          <w:szCs w:val="23"/>
          <w:lang w:val="en-GB"/>
        </w:rPr>
        <w:t>WpÜG</w:t>
      </w:r>
      <w:proofErr w:type="spellEnd"/>
      <w:r w:rsidRPr="002121A4">
        <w:rPr>
          <w:szCs w:val="23"/>
          <w:lang w:val="en-GB"/>
        </w:rPr>
        <w:t>)</w:t>
      </w:r>
      <w:r w:rsidR="00B66714" w:rsidRPr="002121A4">
        <w:rPr>
          <w:szCs w:val="23"/>
          <w:lang w:val="en-GB"/>
        </w:rPr>
        <w:t xml:space="preserve">; </w:t>
      </w:r>
    </w:p>
    <w:p w14:paraId="5964925D" w14:textId="77777777" w:rsidR="00D54DE5" w:rsidRPr="002121A4" w:rsidRDefault="001C673C" w:rsidP="00AB42AA">
      <w:pPr>
        <w:pStyle w:val="Listenabsatz"/>
        <w:numPr>
          <w:ilvl w:val="0"/>
          <w:numId w:val="11"/>
        </w:numPr>
        <w:rPr>
          <w:szCs w:val="23"/>
          <w:lang w:val="en-GB"/>
        </w:rPr>
      </w:pPr>
      <w:r w:rsidRPr="002121A4">
        <w:rPr>
          <w:szCs w:val="23"/>
          <w:lang w:val="en-GB"/>
        </w:rPr>
        <w:t>Case law, both from the ECJ and domestic courts</w:t>
      </w:r>
      <w:r w:rsidR="00D54DE5" w:rsidRPr="002121A4">
        <w:rPr>
          <w:szCs w:val="23"/>
          <w:lang w:val="en-GB"/>
        </w:rPr>
        <w:t>;</w:t>
      </w:r>
    </w:p>
    <w:p w14:paraId="56E5A25A" w14:textId="27F18180" w:rsidR="001C673C" w:rsidRPr="002121A4" w:rsidRDefault="00D54DE5" w:rsidP="00AB42AA">
      <w:pPr>
        <w:pStyle w:val="Listenabsatz"/>
        <w:numPr>
          <w:ilvl w:val="0"/>
          <w:numId w:val="11"/>
        </w:numPr>
        <w:rPr>
          <w:szCs w:val="23"/>
          <w:lang w:val="en-GB"/>
        </w:rPr>
      </w:pPr>
      <w:r w:rsidRPr="002121A4">
        <w:rPr>
          <w:szCs w:val="23"/>
          <w:lang w:val="en-GB"/>
        </w:rPr>
        <w:t xml:space="preserve">The institutional framework, in particular, EU </w:t>
      </w:r>
      <w:r w:rsidR="00252E21" w:rsidRPr="002121A4">
        <w:rPr>
          <w:szCs w:val="23"/>
          <w:lang w:val="en-GB"/>
        </w:rPr>
        <w:t xml:space="preserve">and domestic </w:t>
      </w:r>
      <w:r w:rsidRPr="002121A4">
        <w:rPr>
          <w:szCs w:val="23"/>
          <w:lang w:val="en-GB"/>
        </w:rPr>
        <w:t>regulator</w:t>
      </w:r>
      <w:r w:rsidR="00252E21" w:rsidRPr="002121A4">
        <w:rPr>
          <w:szCs w:val="23"/>
          <w:lang w:val="en-GB"/>
        </w:rPr>
        <w:t>s</w:t>
      </w:r>
      <w:r w:rsidRPr="002121A4">
        <w:rPr>
          <w:szCs w:val="23"/>
          <w:lang w:val="en-GB"/>
        </w:rPr>
        <w:t xml:space="preserve"> (</w:t>
      </w:r>
      <w:r w:rsidR="00252E21" w:rsidRPr="002121A4">
        <w:rPr>
          <w:szCs w:val="23"/>
          <w:lang w:val="en-GB"/>
        </w:rPr>
        <w:t xml:space="preserve">e.g., </w:t>
      </w:r>
      <w:r w:rsidRPr="002121A4">
        <w:rPr>
          <w:szCs w:val="23"/>
          <w:lang w:val="en-GB"/>
        </w:rPr>
        <w:t xml:space="preserve">European Securities and Markets Authority, ESMA, and </w:t>
      </w:r>
      <w:proofErr w:type="spellStart"/>
      <w:r w:rsidRPr="002121A4">
        <w:rPr>
          <w:i/>
          <w:szCs w:val="23"/>
          <w:lang w:val="en-GB"/>
        </w:rPr>
        <w:t>Bundesanstalt</w:t>
      </w:r>
      <w:proofErr w:type="spellEnd"/>
      <w:r w:rsidRPr="002121A4">
        <w:rPr>
          <w:i/>
          <w:szCs w:val="23"/>
          <w:lang w:val="en-GB"/>
        </w:rPr>
        <w:t xml:space="preserve"> für</w:t>
      </w:r>
      <w:r w:rsidRPr="002121A4">
        <w:rPr>
          <w:szCs w:val="23"/>
          <w:lang w:val="en-GB"/>
        </w:rPr>
        <w:t xml:space="preserve"> </w:t>
      </w:r>
      <w:proofErr w:type="spellStart"/>
      <w:r w:rsidRPr="002121A4">
        <w:rPr>
          <w:i/>
          <w:szCs w:val="23"/>
          <w:lang w:val="en-GB"/>
        </w:rPr>
        <w:t>Finanzdienstleistungs</w:t>
      </w:r>
      <w:r w:rsidR="001C052C" w:rsidRPr="002121A4">
        <w:rPr>
          <w:i/>
          <w:szCs w:val="23"/>
          <w:lang w:val="en-GB"/>
        </w:rPr>
        <w:softHyphen/>
      </w:r>
      <w:r w:rsidRPr="002121A4">
        <w:rPr>
          <w:i/>
          <w:szCs w:val="23"/>
          <w:lang w:val="en-GB"/>
        </w:rPr>
        <w:t>aufsicht</w:t>
      </w:r>
      <w:proofErr w:type="spellEnd"/>
      <w:r w:rsidRPr="002121A4">
        <w:rPr>
          <w:szCs w:val="23"/>
          <w:lang w:val="en-GB"/>
        </w:rPr>
        <w:t>, BaFin)</w:t>
      </w:r>
      <w:r w:rsidR="001C673C" w:rsidRPr="002121A4">
        <w:rPr>
          <w:szCs w:val="23"/>
          <w:lang w:val="en-GB"/>
        </w:rPr>
        <w:t>.</w:t>
      </w:r>
    </w:p>
    <w:p w14:paraId="0223849E" w14:textId="2EDC8F64" w:rsidR="00811F74" w:rsidRPr="002121A4" w:rsidRDefault="001C673C" w:rsidP="001C673C">
      <w:pPr>
        <w:rPr>
          <w:szCs w:val="23"/>
          <w:lang w:val="en-GB"/>
        </w:rPr>
      </w:pPr>
      <w:r w:rsidRPr="002121A4">
        <w:rPr>
          <w:szCs w:val="23"/>
          <w:lang w:val="en-GB"/>
        </w:rPr>
        <w:t xml:space="preserve">The course is open to any student interested in EU capital markets law. It is specifically designed for students </w:t>
      </w:r>
      <w:r w:rsidR="00DD3496" w:rsidRPr="002121A4">
        <w:rPr>
          <w:szCs w:val="23"/>
          <w:lang w:val="en-GB"/>
        </w:rPr>
        <w:t>enroll</w:t>
      </w:r>
      <w:r w:rsidRPr="002121A4">
        <w:rPr>
          <w:szCs w:val="23"/>
          <w:lang w:val="en-GB"/>
        </w:rPr>
        <w:t xml:space="preserve">ed in the </w:t>
      </w:r>
      <w:proofErr w:type="spellStart"/>
      <w:r w:rsidRPr="002121A4">
        <w:rPr>
          <w:i/>
          <w:szCs w:val="23"/>
          <w:lang w:val="en-GB"/>
        </w:rPr>
        <w:t>Schwerpunktbereich</w:t>
      </w:r>
      <w:proofErr w:type="spellEnd"/>
      <w:r w:rsidRPr="002121A4">
        <w:rPr>
          <w:i/>
          <w:szCs w:val="23"/>
          <w:lang w:val="en-GB"/>
        </w:rPr>
        <w:t xml:space="preserve"> III </w:t>
      </w:r>
      <w:r w:rsidR="00FF3B98" w:rsidRPr="002121A4">
        <w:rPr>
          <w:i/>
          <w:szCs w:val="23"/>
          <w:lang w:val="en-GB"/>
        </w:rPr>
        <w:t xml:space="preserve">– </w:t>
      </w:r>
      <w:proofErr w:type="spellStart"/>
      <w:r w:rsidR="00FF3B98" w:rsidRPr="002121A4">
        <w:rPr>
          <w:i/>
          <w:szCs w:val="23"/>
          <w:lang w:val="en-GB"/>
        </w:rPr>
        <w:t>Unternehmen</w:t>
      </w:r>
      <w:proofErr w:type="spellEnd"/>
      <w:r w:rsidR="00FF3B98" w:rsidRPr="002121A4">
        <w:rPr>
          <w:i/>
          <w:szCs w:val="23"/>
          <w:lang w:val="en-GB"/>
        </w:rPr>
        <w:t xml:space="preserve">, Kapital und </w:t>
      </w:r>
      <w:proofErr w:type="spellStart"/>
      <w:r w:rsidR="00FF3B98" w:rsidRPr="002121A4">
        <w:rPr>
          <w:i/>
          <w:szCs w:val="23"/>
          <w:lang w:val="en-GB"/>
        </w:rPr>
        <w:t>Strukturierung</w:t>
      </w:r>
      <w:proofErr w:type="spellEnd"/>
      <w:r w:rsidR="00FF3B98" w:rsidRPr="002121A4">
        <w:rPr>
          <w:szCs w:val="23"/>
          <w:lang w:val="en-GB"/>
        </w:rPr>
        <w:t>,</w:t>
      </w:r>
      <w:r w:rsidR="00FF3B98" w:rsidRPr="002121A4">
        <w:rPr>
          <w:i/>
          <w:szCs w:val="23"/>
          <w:lang w:val="en-GB"/>
        </w:rPr>
        <w:t xml:space="preserve"> </w:t>
      </w:r>
      <w:r w:rsidRPr="002121A4">
        <w:rPr>
          <w:szCs w:val="23"/>
          <w:lang w:val="en-GB"/>
        </w:rPr>
        <w:t>and will prepare them for the written examination. Work in class will include solving sample questions from previous</w:t>
      </w:r>
      <w:r w:rsidR="000257F9" w:rsidRPr="002121A4">
        <w:rPr>
          <w:szCs w:val="23"/>
          <w:lang w:val="en-GB"/>
        </w:rPr>
        <w:t xml:space="preserve"> examination</w:t>
      </w:r>
      <w:r w:rsidRPr="002121A4">
        <w:rPr>
          <w:szCs w:val="23"/>
          <w:lang w:val="en-GB"/>
        </w:rPr>
        <w:t xml:space="preserve"> papers</w:t>
      </w:r>
      <w:r w:rsidR="00DC3C94" w:rsidRPr="002121A4">
        <w:rPr>
          <w:szCs w:val="23"/>
          <w:lang w:val="en-GB"/>
        </w:rPr>
        <w:t>.</w:t>
      </w:r>
    </w:p>
    <w:p w14:paraId="2F8EEB0C" w14:textId="2078E6C4" w:rsidR="00C27CC3" w:rsidRPr="002121A4" w:rsidRDefault="00F97D7B">
      <w:pPr>
        <w:pStyle w:val="Standardwithparanumbering"/>
      </w:pPr>
      <w:r w:rsidRPr="002121A4">
        <w:t>The EU capital market</w:t>
      </w:r>
      <w:r w:rsidR="009F4471" w:rsidRPr="002121A4">
        <w:t>s</w:t>
      </w:r>
      <w:r w:rsidRPr="002121A4">
        <w:t xml:space="preserve"> play a pivotal role in the European economy. They bring together supply and demand for </w:t>
      </w:r>
      <w:r w:rsidR="00777269" w:rsidRPr="002121A4">
        <w:t xml:space="preserve">mid- and long-term </w:t>
      </w:r>
      <w:r w:rsidRPr="002121A4">
        <w:t>financing, i.e.</w:t>
      </w:r>
      <w:r w:rsidR="00DD3496" w:rsidRPr="002121A4">
        <w:t>,</w:t>
      </w:r>
      <w:r w:rsidRPr="002121A4">
        <w:t xml:space="preserve"> investors on the one hand, and private enterprises and public authorities on the other. </w:t>
      </w:r>
      <w:r w:rsidR="006E3D84" w:rsidRPr="002121A4">
        <w:t xml:space="preserve">According to </w:t>
      </w:r>
      <w:r w:rsidR="00195DD1" w:rsidRPr="002121A4">
        <w:t>the</w:t>
      </w:r>
      <w:r w:rsidR="00D54DE5" w:rsidRPr="002121A4">
        <w:t xml:space="preserve"> ESMA</w:t>
      </w:r>
      <w:r w:rsidR="006E3D84" w:rsidRPr="002121A4">
        <w:t xml:space="preserve"> report </w:t>
      </w:r>
      <w:r w:rsidR="00195DD1" w:rsidRPr="002121A4">
        <w:rPr>
          <w:i/>
        </w:rPr>
        <w:t>EU Securities Markets</w:t>
      </w:r>
      <w:r w:rsidR="00195DD1" w:rsidRPr="002121A4">
        <w:t xml:space="preserve"> </w:t>
      </w:r>
      <w:r w:rsidR="006E3D84" w:rsidRPr="002121A4">
        <w:t>published in 202</w:t>
      </w:r>
      <w:r w:rsidR="00E42501">
        <w:t>4</w:t>
      </w:r>
      <w:r w:rsidR="006E3D84" w:rsidRPr="002121A4">
        <w:t>, the total</w:t>
      </w:r>
      <w:r w:rsidR="00086A2F" w:rsidRPr="002121A4">
        <w:t xml:space="preserve"> size of capital</w:t>
      </w:r>
      <w:r w:rsidR="006E3D84" w:rsidRPr="002121A4">
        <w:t xml:space="preserve"> market</w:t>
      </w:r>
      <w:r w:rsidR="00086A2F" w:rsidRPr="002121A4">
        <w:t>s</w:t>
      </w:r>
      <w:r w:rsidR="006E3D84" w:rsidRPr="002121A4">
        <w:t xml:space="preserve"> </w:t>
      </w:r>
      <w:r w:rsidR="00086A2F" w:rsidRPr="002121A4">
        <w:t xml:space="preserve">in </w:t>
      </w:r>
      <w:r w:rsidR="006E3D84" w:rsidRPr="002121A4">
        <w:t>the EU and the EEA combined amounted to</w:t>
      </w:r>
      <w:r w:rsidR="003A7179" w:rsidRPr="002121A4">
        <w:t xml:space="preserve"> 1</w:t>
      </w:r>
      <w:r w:rsidR="008960B2">
        <w:t>6.9</w:t>
      </w:r>
      <w:r w:rsidR="003A7179" w:rsidRPr="002121A4">
        <w:t xml:space="preserve"> trillion euros (shares) and 2</w:t>
      </w:r>
      <w:r w:rsidR="008960B2">
        <w:t>2</w:t>
      </w:r>
      <w:r w:rsidR="003A7179" w:rsidRPr="002121A4">
        <w:t>.</w:t>
      </w:r>
      <w:r w:rsidR="008960B2">
        <w:t>7</w:t>
      </w:r>
      <w:r w:rsidR="003A7179" w:rsidRPr="002121A4">
        <w:t xml:space="preserve"> trillion euros (bonds), or a total of</w:t>
      </w:r>
      <w:r w:rsidR="006E3D84" w:rsidRPr="002121A4">
        <w:t xml:space="preserve"> </w:t>
      </w:r>
      <w:r w:rsidR="008960B2">
        <w:t>39</w:t>
      </w:r>
      <w:r w:rsidR="006E3D84" w:rsidRPr="002121A4">
        <w:t>.</w:t>
      </w:r>
      <w:r w:rsidR="008960B2">
        <w:t>6</w:t>
      </w:r>
      <w:r w:rsidR="006E3D84" w:rsidRPr="002121A4">
        <w:t xml:space="preserve"> trillion euros, of which </w:t>
      </w:r>
      <w:r w:rsidR="008960B2">
        <w:lastRenderedPageBreak/>
        <w:t>11</w:t>
      </w:r>
      <w:r w:rsidR="006E3D84" w:rsidRPr="002121A4">
        <w:t>.</w:t>
      </w:r>
      <w:r w:rsidR="008960B2">
        <w:t>5</w:t>
      </w:r>
      <w:r w:rsidR="006E3D84" w:rsidRPr="002121A4">
        <w:t xml:space="preserve"> trillion for sovereign issuers.</w:t>
      </w:r>
      <w:r w:rsidR="006E3D84" w:rsidRPr="002121A4">
        <w:rPr>
          <w:rStyle w:val="Funotenzeichen"/>
        </w:rPr>
        <w:footnoteReference w:id="1"/>
      </w:r>
      <w:r w:rsidR="006F7F85" w:rsidRPr="002121A4">
        <w:t xml:space="preserve"> </w:t>
      </w:r>
      <w:r w:rsidR="00A04E90" w:rsidRPr="002121A4">
        <w:t>Due to the size and the economic importance of capital markets</w:t>
      </w:r>
      <w:r w:rsidR="006F7F85" w:rsidRPr="002121A4">
        <w:t xml:space="preserve">, policy-makers </w:t>
      </w:r>
      <w:r w:rsidR="006F05CA" w:rsidRPr="002121A4">
        <w:t xml:space="preserve">and market participants alike have </w:t>
      </w:r>
      <w:r w:rsidR="006F7F85" w:rsidRPr="002121A4">
        <w:t xml:space="preserve">a deep interest in </w:t>
      </w:r>
      <w:r w:rsidR="006F05CA" w:rsidRPr="002121A4">
        <w:t>the legal fra</w:t>
      </w:r>
      <w:r w:rsidR="007E598E" w:rsidRPr="002121A4">
        <w:t>m</w:t>
      </w:r>
      <w:r w:rsidR="006F05CA" w:rsidRPr="002121A4">
        <w:t xml:space="preserve">ework for </w:t>
      </w:r>
      <w:r w:rsidR="00A04E90" w:rsidRPr="002121A4">
        <w:t xml:space="preserve">these </w:t>
      </w:r>
      <w:r w:rsidR="006F05CA" w:rsidRPr="002121A4">
        <w:t xml:space="preserve">markets </w:t>
      </w:r>
      <w:r w:rsidR="00DC70F7" w:rsidRPr="002121A4">
        <w:t>(</w:t>
      </w:r>
      <w:r w:rsidR="00BA05A1" w:rsidRPr="002121A4">
        <w:t>see</w:t>
      </w:r>
      <w:r w:rsidR="00DC70F7" w:rsidRPr="002121A4">
        <w:t xml:space="preserve"> section </w:t>
      </w:r>
      <w:r w:rsidR="00C23B8F" w:rsidRPr="002121A4">
        <w:fldChar w:fldCharType="begin"/>
      </w:r>
      <w:r w:rsidR="00C23B8F" w:rsidRPr="002121A4">
        <w:instrText xml:space="preserve"> REF _Ref118545048 \r \h </w:instrText>
      </w:r>
      <w:r w:rsidR="00C23B8F" w:rsidRPr="002121A4">
        <w:fldChar w:fldCharType="separate"/>
      </w:r>
      <w:r w:rsidR="00D56145">
        <w:t>1.2</w:t>
      </w:r>
      <w:r w:rsidR="00C23B8F" w:rsidRPr="002121A4">
        <w:fldChar w:fldCharType="end"/>
      </w:r>
      <w:r w:rsidR="00BA05A1" w:rsidRPr="002121A4">
        <w:t xml:space="preserve"> </w:t>
      </w:r>
      <w:r w:rsidR="00D271FA" w:rsidRPr="002121A4">
        <w:t>p. </w:t>
      </w:r>
      <w:r w:rsidR="00D271FA" w:rsidRPr="002121A4">
        <w:fldChar w:fldCharType="begin"/>
      </w:r>
      <w:r w:rsidR="00D271FA" w:rsidRPr="002121A4">
        <w:instrText xml:space="preserve"> PAGEREF _Ref118545048 \h </w:instrText>
      </w:r>
      <w:r w:rsidR="00D271FA" w:rsidRPr="002121A4">
        <w:fldChar w:fldCharType="separate"/>
      </w:r>
      <w:r w:rsidR="00D56145">
        <w:rPr>
          <w:noProof/>
        </w:rPr>
        <w:t>4</w:t>
      </w:r>
      <w:r w:rsidR="00D271FA" w:rsidRPr="002121A4">
        <w:fldChar w:fldCharType="end"/>
      </w:r>
      <w:r w:rsidR="00D271FA" w:rsidRPr="002121A4">
        <w:t xml:space="preserve"> </w:t>
      </w:r>
      <w:r w:rsidR="00BA05A1" w:rsidRPr="002121A4">
        <w:t>below</w:t>
      </w:r>
      <w:r w:rsidR="00DC70F7" w:rsidRPr="002121A4">
        <w:t xml:space="preserve">) </w:t>
      </w:r>
      <w:r w:rsidR="006F05CA" w:rsidRPr="002121A4">
        <w:t xml:space="preserve">and the way </w:t>
      </w:r>
      <w:r w:rsidR="00A04E90" w:rsidRPr="002121A4">
        <w:t>they</w:t>
      </w:r>
      <w:r w:rsidR="006F05CA" w:rsidRPr="002121A4">
        <w:t xml:space="preserve"> are regulated</w:t>
      </w:r>
      <w:r w:rsidR="00C23B8F" w:rsidRPr="002121A4">
        <w:t xml:space="preserve"> (</w:t>
      </w:r>
      <w:r w:rsidR="00BA05A1" w:rsidRPr="002121A4">
        <w:t>see</w:t>
      </w:r>
      <w:r w:rsidR="00BA05A1" w:rsidRPr="002121A4">
        <w:rPr>
          <w:i/>
        </w:rPr>
        <w:t xml:space="preserve"> </w:t>
      </w:r>
      <w:r w:rsidR="00C23B8F" w:rsidRPr="002121A4">
        <w:t>section</w:t>
      </w:r>
      <w:r w:rsidR="00252E21" w:rsidRPr="002121A4">
        <w:t xml:space="preserve"> </w:t>
      </w:r>
      <w:r w:rsidR="00252E21" w:rsidRPr="002121A4">
        <w:fldChar w:fldCharType="begin"/>
      </w:r>
      <w:r w:rsidR="00252E21" w:rsidRPr="002121A4">
        <w:instrText xml:space="preserve"> REF _Ref132300556 \r \h </w:instrText>
      </w:r>
      <w:r w:rsidR="00252E21" w:rsidRPr="002121A4">
        <w:fldChar w:fldCharType="separate"/>
      </w:r>
      <w:r w:rsidR="00D56145">
        <w:t>1.3</w:t>
      </w:r>
      <w:r w:rsidR="00252E21" w:rsidRPr="002121A4">
        <w:fldChar w:fldCharType="end"/>
      </w:r>
      <w:r w:rsidR="007E598E" w:rsidRPr="002121A4">
        <w:t xml:space="preserve"> </w:t>
      </w:r>
      <w:r w:rsidR="00252E21" w:rsidRPr="002121A4">
        <w:t>p. </w:t>
      </w:r>
      <w:r w:rsidR="00252E21" w:rsidRPr="002121A4">
        <w:fldChar w:fldCharType="begin"/>
      </w:r>
      <w:r w:rsidR="00252E21" w:rsidRPr="002121A4">
        <w:instrText xml:space="preserve"> PAGEREF _Ref132300559 \h </w:instrText>
      </w:r>
      <w:r w:rsidR="00252E21" w:rsidRPr="002121A4">
        <w:fldChar w:fldCharType="separate"/>
      </w:r>
      <w:r w:rsidR="00D56145">
        <w:rPr>
          <w:noProof/>
        </w:rPr>
        <w:t>10</w:t>
      </w:r>
      <w:r w:rsidR="00252E21" w:rsidRPr="002121A4">
        <w:fldChar w:fldCharType="end"/>
      </w:r>
      <w:r w:rsidR="00C23B8F" w:rsidRPr="002121A4">
        <w:t> </w:t>
      </w:r>
      <w:r w:rsidR="00BA05A1" w:rsidRPr="002121A4">
        <w:t>below</w:t>
      </w:r>
      <w:r w:rsidR="00C23B8F" w:rsidRPr="002121A4">
        <w:t>)</w:t>
      </w:r>
      <w:r w:rsidR="006F05CA" w:rsidRPr="002121A4">
        <w:t>.</w:t>
      </w:r>
    </w:p>
    <w:p w14:paraId="3E4EA61B" w14:textId="7DDDC27A" w:rsidR="00D54DE5" w:rsidRPr="002121A4" w:rsidRDefault="009A3A82" w:rsidP="00AB42AA">
      <w:pPr>
        <w:pStyle w:val="Case"/>
        <w:keepNext/>
        <w:numPr>
          <w:ilvl w:val="0"/>
          <w:numId w:val="14"/>
        </w:numPr>
        <w:ind w:left="567" w:firstLine="0"/>
      </w:pPr>
      <w:bookmarkStart w:id="2" w:name="_Ref163121297"/>
      <w:r w:rsidRPr="002121A4">
        <w:t xml:space="preserve">What is, in your view, the practical importance of English language and </w:t>
      </w:r>
      <w:r w:rsidR="002121A4">
        <w:t>E</w:t>
      </w:r>
      <w:r w:rsidR="00D10B3E" w:rsidRPr="002121A4">
        <w:t xml:space="preserve">nglish legal </w:t>
      </w:r>
      <w:r w:rsidRPr="002121A4">
        <w:t>terminology in the area of capital markets law</w:t>
      </w:r>
      <w:r w:rsidR="00D54DE5" w:rsidRPr="002121A4">
        <w:t>? Consider the following:</w:t>
      </w:r>
      <w:bookmarkEnd w:id="2"/>
    </w:p>
    <w:p w14:paraId="5157D25E" w14:textId="0EAB5751" w:rsidR="00D54DE5" w:rsidRPr="002121A4" w:rsidRDefault="00E85583" w:rsidP="00AB42AA">
      <w:pPr>
        <w:pStyle w:val="Case"/>
        <w:keepNext/>
        <w:numPr>
          <w:ilvl w:val="0"/>
          <w:numId w:val="16"/>
        </w:numPr>
      </w:pPr>
      <w:r w:rsidRPr="002121A4">
        <w:t xml:space="preserve">The Market Abuse Regulation was published in the EU Official Journal in June 2014 </w:t>
      </w:r>
      <w:r w:rsidR="00217AD0" w:rsidRPr="002121A4">
        <w:t>in all official languages of the EU</w:t>
      </w:r>
      <w:r w:rsidR="009A3A82" w:rsidRPr="002121A4">
        <w:t xml:space="preserve"> and</w:t>
      </w:r>
      <w:r w:rsidR="00217AD0" w:rsidRPr="002121A4">
        <w:t xml:space="preserve"> </w:t>
      </w:r>
      <w:r w:rsidRPr="002121A4">
        <w:t>applied as of 3 July 2016. Subsequently, the EU made 36 corrections to the German version of the regulation (OJ L 287 of 21 October 2016, OJ L 306 of 15 November 2016, OJ L 348 of 21 December 2016).</w:t>
      </w:r>
    </w:p>
    <w:p w14:paraId="0079C885" w14:textId="49C24990" w:rsidR="00E85583" w:rsidRPr="002121A4" w:rsidRDefault="00E85583" w:rsidP="00AB42AA">
      <w:pPr>
        <w:pStyle w:val="Case"/>
        <w:keepNext/>
        <w:numPr>
          <w:ilvl w:val="0"/>
          <w:numId w:val="16"/>
        </w:numPr>
      </w:pPr>
      <w:r w:rsidRPr="002121A4">
        <w:t>Where an issuer offers or lists securities in more th</w:t>
      </w:r>
      <w:r w:rsidR="00751CF3">
        <w:t>a</w:t>
      </w:r>
      <w:r w:rsidRPr="002121A4">
        <w:t xml:space="preserve">n one EU Member State, </w:t>
      </w:r>
      <w:r w:rsidR="001870C0" w:rsidRPr="002121A4">
        <w:t>article </w:t>
      </w:r>
      <w:r w:rsidRPr="002121A4">
        <w:t>27 Prospectus Regulation requires the</w:t>
      </w:r>
      <w:r w:rsidR="00626779" w:rsidRPr="002121A4">
        <w:t xml:space="preserve"> securities</w:t>
      </w:r>
      <w:r w:rsidRPr="002121A4">
        <w:t xml:space="preserve"> prospectus to be published in language</w:t>
      </w:r>
      <w:r w:rsidR="00CB7117" w:rsidRPr="002121A4">
        <w:t>s</w:t>
      </w:r>
      <w:r w:rsidRPr="002121A4">
        <w:t xml:space="preserve"> accepted </w:t>
      </w:r>
      <w:r w:rsidR="00CB7117" w:rsidRPr="002121A4">
        <w:t xml:space="preserve">in </w:t>
      </w:r>
      <w:r w:rsidR="00BF62EC" w:rsidRPr="002121A4">
        <w:t xml:space="preserve">the </w:t>
      </w:r>
      <w:r w:rsidR="00DD3496" w:rsidRPr="002121A4">
        <w:t xml:space="preserve">relevant </w:t>
      </w:r>
      <w:r w:rsidRPr="002121A4">
        <w:t>Member State</w:t>
      </w:r>
      <w:r w:rsidR="00BF62EC" w:rsidRPr="002121A4">
        <w:t>s</w:t>
      </w:r>
      <w:r w:rsidR="00DD3496" w:rsidRPr="002121A4">
        <w:t>,</w:t>
      </w:r>
      <w:r w:rsidRPr="002121A4">
        <w:t xml:space="preserve"> or </w:t>
      </w:r>
      <w:r w:rsidR="00CB7117" w:rsidRPr="002121A4">
        <w:t>“</w:t>
      </w:r>
      <w:r w:rsidRPr="002121A4">
        <w:t>in a language customary in the sphere of international finance”.</w:t>
      </w:r>
    </w:p>
    <w:p w14:paraId="0D1F753A" w14:textId="31E3E4E5" w:rsidR="00E85583" w:rsidRPr="002121A4" w:rsidRDefault="008E6721" w:rsidP="00AB42AA">
      <w:pPr>
        <w:pStyle w:val="Case"/>
        <w:keepNext/>
        <w:numPr>
          <w:ilvl w:val="0"/>
          <w:numId w:val="16"/>
        </w:numPr>
      </w:pPr>
      <w:r w:rsidRPr="002121A4">
        <w:t xml:space="preserve">ESMA </w:t>
      </w:r>
      <w:r w:rsidR="00DF4865" w:rsidRPr="002121A4">
        <w:t>maintains</w:t>
      </w:r>
      <w:r w:rsidRPr="002121A4">
        <w:t xml:space="preserve"> an “Interactive Single Rulebook”</w:t>
      </w:r>
      <w:r w:rsidR="00DF4865" w:rsidRPr="002121A4">
        <w:t>,</w:t>
      </w:r>
      <w:r w:rsidRPr="002121A4">
        <w:t xml:space="preserve"> an online tool providing a comprehensive overview of </w:t>
      </w:r>
      <w:r w:rsidR="00CD47B7" w:rsidRPr="002121A4">
        <w:t>EU legislation and implementing acts and measures</w:t>
      </w:r>
      <w:r w:rsidRPr="002121A4">
        <w:t xml:space="preserve"> (</w:t>
      </w:r>
      <w:hyperlink r:id="rId9" w:history="1">
        <w:r w:rsidRPr="002121A4">
          <w:rPr>
            <w:rStyle w:val="Hyperlink"/>
          </w:rPr>
          <w:t>https://www.esma.europa.eu/publications-and-data/interactive-single-rulebook</w:t>
        </w:r>
      </w:hyperlink>
      <w:r w:rsidRPr="002121A4">
        <w:t xml:space="preserve">). </w:t>
      </w:r>
    </w:p>
    <w:p w14:paraId="1FD5424A" w14:textId="5530CDA8" w:rsidR="009E4E57" w:rsidRPr="002121A4" w:rsidRDefault="009E4E57" w:rsidP="009E4E57">
      <w:pPr>
        <w:pStyle w:val="Case"/>
        <w:keepNext/>
        <w:rPr>
          <w:b/>
        </w:rPr>
      </w:pPr>
      <w:r w:rsidRPr="002121A4">
        <w:rPr>
          <w:b/>
        </w:rPr>
        <w:t>Notes.</w:t>
      </w:r>
      <w:r w:rsidR="0084559A" w:rsidRPr="002121A4">
        <w:rPr>
          <w:b/>
        </w:rPr>
        <w:t xml:space="preserve"> </w:t>
      </w:r>
      <w:r w:rsidR="00593593" w:rsidRPr="002121A4">
        <w:rPr>
          <w:b/>
        </w:rPr>
        <w:br/>
      </w:r>
      <w:r w:rsidR="00593593" w:rsidRPr="002121A4">
        <w:rPr>
          <w:b/>
        </w:rPr>
        <w:br/>
      </w:r>
      <w:r w:rsidR="00593593" w:rsidRPr="002121A4">
        <w:rPr>
          <w:b/>
        </w:rPr>
        <w:br/>
      </w:r>
      <w:r w:rsidR="00593593" w:rsidRPr="002121A4">
        <w:rPr>
          <w:b/>
        </w:rPr>
        <w:br/>
      </w:r>
      <w:r w:rsidR="00593593" w:rsidRPr="002121A4">
        <w:rPr>
          <w:b/>
        </w:rPr>
        <w:br/>
      </w:r>
    </w:p>
    <w:p w14:paraId="1825A117" w14:textId="4AD69092" w:rsidR="00976944" w:rsidRPr="002121A4" w:rsidRDefault="00976944" w:rsidP="00890B6B">
      <w:pPr>
        <w:pStyle w:val="berschrift2"/>
        <w:rPr>
          <w:lang w:val="en-GB"/>
        </w:rPr>
      </w:pPr>
      <w:bookmarkStart w:id="3" w:name="_Ref118545048"/>
      <w:bookmarkStart w:id="4" w:name="_Toc194577760"/>
      <w:r w:rsidRPr="002121A4">
        <w:rPr>
          <w:lang w:val="en-GB"/>
        </w:rPr>
        <w:t xml:space="preserve">What </w:t>
      </w:r>
      <w:r w:rsidR="00EA40A5" w:rsidRPr="002121A4">
        <w:rPr>
          <w:lang w:val="en-GB"/>
        </w:rPr>
        <w:t xml:space="preserve">are </w:t>
      </w:r>
      <w:r w:rsidRPr="002121A4">
        <w:rPr>
          <w:lang w:val="en-GB"/>
        </w:rPr>
        <w:t>capital markets?</w:t>
      </w:r>
      <w:bookmarkEnd w:id="3"/>
      <w:bookmarkEnd w:id="4"/>
    </w:p>
    <w:p w14:paraId="76A1B2B7" w14:textId="5CAEF0D1" w:rsidR="00976944" w:rsidRPr="002121A4" w:rsidRDefault="00976944" w:rsidP="00162BB1">
      <w:pPr>
        <w:pStyle w:val="berschrift3"/>
        <w:rPr>
          <w:lang w:val="en-GB"/>
        </w:rPr>
      </w:pPr>
      <w:r w:rsidRPr="002121A4">
        <w:rPr>
          <w:lang w:val="en-GB"/>
        </w:rPr>
        <w:t>What is traded on capital markets?</w:t>
      </w:r>
    </w:p>
    <w:p w14:paraId="00D154E4" w14:textId="50C63F01" w:rsidR="007429DD" w:rsidRPr="002121A4" w:rsidRDefault="007429DD" w:rsidP="00D2220D">
      <w:pPr>
        <w:pStyle w:val="berschrift4"/>
        <w:rPr>
          <w:lang w:val="en-GB"/>
        </w:rPr>
      </w:pPr>
      <w:bookmarkStart w:id="5" w:name="_Ref129284651"/>
      <w:r w:rsidRPr="002121A4">
        <w:rPr>
          <w:lang w:val="en-GB"/>
        </w:rPr>
        <w:t>Capital market instruments</w:t>
      </w:r>
    </w:p>
    <w:p w14:paraId="7D870CAD" w14:textId="1A02CF29" w:rsidR="00B8261B" w:rsidRPr="002121A4" w:rsidRDefault="00A47644" w:rsidP="006C21E3">
      <w:pPr>
        <w:pStyle w:val="Standardwithparanumbering"/>
      </w:pPr>
      <w:bookmarkStart w:id="6" w:name="_Ref163141332"/>
      <w:bookmarkStart w:id="7" w:name="_Ref131611818"/>
      <w:r w:rsidRPr="002121A4">
        <w:rPr>
          <w:noProof/>
        </w:rPr>
        <mc:AlternateContent>
          <mc:Choice Requires="wps">
            <w:drawing>
              <wp:anchor distT="45720" distB="45720" distL="114300" distR="114300" simplePos="0" relativeHeight="251667968" behindDoc="0" locked="0" layoutInCell="1" allowOverlap="1" wp14:anchorId="7B4AE409" wp14:editId="131BCFD4">
                <wp:simplePos x="0" y="0"/>
                <wp:positionH relativeFrom="margin">
                  <wp:posOffset>3298190</wp:posOffset>
                </wp:positionH>
                <wp:positionV relativeFrom="paragraph">
                  <wp:posOffset>17145</wp:posOffset>
                </wp:positionV>
                <wp:extent cx="2472690" cy="3001010"/>
                <wp:effectExtent l="0" t="0" r="22860" b="279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690" cy="3001010"/>
                        </a:xfrm>
                        <a:prstGeom prst="rect">
                          <a:avLst/>
                        </a:prstGeom>
                        <a:solidFill>
                          <a:srgbClr val="FFFFFF"/>
                        </a:solidFill>
                        <a:ln w="9525">
                          <a:solidFill>
                            <a:schemeClr val="bg1">
                              <a:lumMod val="65000"/>
                            </a:schemeClr>
                          </a:solidFill>
                          <a:miter lim="800000"/>
                          <a:headEnd/>
                          <a:tailEnd/>
                        </a:ln>
                      </wps:spPr>
                      <wps:txbx>
                        <w:txbxContent>
                          <w:p w14:paraId="1FF57D22" w14:textId="78F18D72" w:rsidR="00A177E8" w:rsidRPr="00A177E8" w:rsidRDefault="006226AA" w:rsidP="00A177E8">
                            <w:pPr>
                              <w:jc w:val="center"/>
                              <w:rPr>
                                <w:b/>
                                <w:sz w:val="16"/>
                                <w:szCs w:val="16"/>
                              </w:rPr>
                            </w:pPr>
                            <w:r>
                              <w:rPr>
                                <w:b/>
                                <w:sz w:val="16"/>
                                <w:szCs w:val="16"/>
                              </w:rPr>
                              <w:t xml:space="preserve">MiFID II </w:t>
                            </w:r>
                            <w:r w:rsidR="00A177E8" w:rsidRPr="00A177E8">
                              <w:rPr>
                                <w:b/>
                                <w:sz w:val="16"/>
                                <w:szCs w:val="16"/>
                              </w:rPr>
                              <w:t xml:space="preserve">Financial </w:t>
                            </w:r>
                            <w:r>
                              <w:rPr>
                                <w:b/>
                                <w:sz w:val="16"/>
                                <w:szCs w:val="16"/>
                              </w:rPr>
                              <w:t>I</w:t>
                            </w:r>
                            <w:r w:rsidR="00A177E8" w:rsidRPr="00A177E8">
                              <w:rPr>
                                <w:b/>
                                <w:sz w:val="16"/>
                                <w:szCs w:val="16"/>
                              </w:rPr>
                              <w:t>nstruments</w:t>
                            </w:r>
                          </w:p>
                          <w:p w14:paraId="771F7B9B" w14:textId="05DD4B4C" w:rsidR="009A3A82" w:rsidRPr="00881EF0" w:rsidRDefault="00A177E8" w:rsidP="00AB42AA">
                            <w:pPr>
                              <w:pStyle w:val="Listenabsatz"/>
                              <w:numPr>
                                <w:ilvl w:val="0"/>
                                <w:numId w:val="17"/>
                              </w:numPr>
                              <w:rPr>
                                <w:sz w:val="16"/>
                                <w:szCs w:val="16"/>
                                <w:lang w:val="en-US"/>
                              </w:rPr>
                            </w:pPr>
                            <w:r w:rsidRPr="00881EF0">
                              <w:rPr>
                                <w:sz w:val="16"/>
                                <w:szCs w:val="16"/>
                                <w:lang w:val="en-US"/>
                              </w:rPr>
                              <w:t>Transferable securities</w:t>
                            </w:r>
                            <w:r w:rsidR="009A3A82" w:rsidRPr="00881EF0">
                              <w:rPr>
                                <w:sz w:val="16"/>
                                <w:szCs w:val="16"/>
                                <w:lang w:val="en-US"/>
                              </w:rPr>
                              <w:t>, i.e. those classes of securities which are negotiable on the capital market, with the exception of instruments of payment, such as:</w:t>
                            </w:r>
                          </w:p>
                          <w:p w14:paraId="6E13FAEB" w14:textId="14158B0D" w:rsidR="009A3A82" w:rsidRPr="00881EF0" w:rsidRDefault="009A3A82" w:rsidP="00AB42AA">
                            <w:pPr>
                              <w:pStyle w:val="Listenabsatz"/>
                              <w:numPr>
                                <w:ilvl w:val="0"/>
                                <w:numId w:val="18"/>
                              </w:numPr>
                              <w:ind w:left="510" w:hanging="340"/>
                              <w:rPr>
                                <w:sz w:val="16"/>
                                <w:szCs w:val="16"/>
                                <w:lang w:val="en-US"/>
                              </w:rPr>
                            </w:pPr>
                            <w:r w:rsidRPr="00881EF0">
                              <w:rPr>
                                <w:sz w:val="16"/>
                                <w:szCs w:val="16"/>
                                <w:lang w:val="en-US"/>
                              </w:rPr>
                              <w:t>shares in companies and other securities equivalent to shares in companies, partnerships or other entities, and depositary receipts in respect of shares;</w:t>
                            </w:r>
                          </w:p>
                          <w:p w14:paraId="0F8E09A7" w14:textId="19DA4017" w:rsidR="009A3A82" w:rsidRPr="00881EF0" w:rsidRDefault="009A3A82" w:rsidP="00AB42AA">
                            <w:pPr>
                              <w:pStyle w:val="Listenabsatz"/>
                              <w:numPr>
                                <w:ilvl w:val="0"/>
                                <w:numId w:val="18"/>
                              </w:numPr>
                              <w:ind w:left="510" w:hanging="340"/>
                              <w:rPr>
                                <w:sz w:val="16"/>
                                <w:szCs w:val="16"/>
                                <w:lang w:val="en-US"/>
                              </w:rPr>
                            </w:pPr>
                            <w:r w:rsidRPr="00881EF0">
                              <w:rPr>
                                <w:sz w:val="16"/>
                                <w:szCs w:val="16"/>
                                <w:lang w:val="en-US"/>
                              </w:rPr>
                              <w:t>bonds or other forms of securitised debt, including depositary receipts in respect of such securities;</w:t>
                            </w:r>
                          </w:p>
                          <w:p w14:paraId="7C32F67D" w14:textId="6C23F61E" w:rsidR="009A3A82" w:rsidRPr="00881EF0" w:rsidRDefault="009A3A82" w:rsidP="00AB42AA">
                            <w:pPr>
                              <w:pStyle w:val="Listenabsatz"/>
                              <w:numPr>
                                <w:ilvl w:val="0"/>
                                <w:numId w:val="18"/>
                              </w:numPr>
                              <w:ind w:left="510" w:hanging="340"/>
                              <w:rPr>
                                <w:sz w:val="16"/>
                                <w:szCs w:val="16"/>
                                <w:lang w:val="en-US"/>
                              </w:rPr>
                            </w:pPr>
                            <w:r w:rsidRPr="00881EF0">
                              <w:rPr>
                                <w:sz w:val="16"/>
                                <w:szCs w:val="16"/>
                                <w:lang w:val="en-US"/>
                              </w:rPr>
                              <w:t>any other securities giving the right to acquire or sell any such transferable securities or giving rise to a cash settlement determined by reference to transferable securities, currencies, interest rates or yields, commodities or other indices or measures;</w:t>
                            </w:r>
                          </w:p>
                          <w:p w14:paraId="4F0AE7FB" w14:textId="0479CA4D" w:rsidR="00A177E8" w:rsidRDefault="00A177E8" w:rsidP="00AB42AA">
                            <w:pPr>
                              <w:pStyle w:val="Listenabsatz"/>
                              <w:numPr>
                                <w:ilvl w:val="0"/>
                                <w:numId w:val="17"/>
                              </w:numPr>
                              <w:rPr>
                                <w:sz w:val="16"/>
                                <w:szCs w:val="16"/>
                              </w:rPr>
                            </w:pPr>
                            <w:r w:rsidRPr="00A177E8">
                              <w:rPr>
                                <w:sz w:val="16"/>
                                <w:szCs w:val="16"/>
                              </w:rPr>
                              <w:t>Money-market instruments;</w:t>
                            </w:r>
                          </w:p>
                          <w:p w14:paraId="36A4559F" w14:textId="313FDEFE" w:rsidR="00A177E8" w:rsidRPr="00881EF0" w:rsidRDefault="00A177E8" w:rsidP="00AB42AA">
                            <w:pPr>
                              <w:pStyle w:val="Listenabsatz"/>
                              <w:numPr>
                                <w:ilvl w:val="0"/>
                                <w:numId w:val="17"/>
                              </w:numPr>
                              <w:rPr>
                                <w:sz w:val="16"/>
                                <w:szCs w:val="16"/>
                                <w:lang w:val="en-US"/>
                              </w:rPr>
                            </w:pPr>
                            <w:r w:rsidRPr="00881EF0">
                              <w:rPr>
                                <w:sz w:val="16"/>
                                <w:szCs w:val="16"/>
                                <w:lang w:val="en-US"/>
                              </w:rPr>
                              <w:t>Units in collective investment undertakings;</w:t>
                            </w:r>
                          </w:p>
                          <w:p w14:paraId="0A267EF6" w14:textId="23B7CCE6" w:rsidR="00A177E8" w:rsidRDefault="009A3A82" w:rsidP="00AB42AA">
                            <w:pPr>
                              <w:pStyle w:val="Listenabsatz"/>
                              <w:numPr>
                                <w:ilvl w:val="0"/>
                                <w:numId w:val="17"/>
                              </w:numPr>
                              <w:rPr>
                                <w:sz w:val="16"/>
                                <w:szCs w:val="16"/>
                              </w:rPr>
                            </w:pPr>
                            <w:r>
                              <w:rPr>
                                <w:sz w:val="16"/>
                                <w:szCs w:val="16"/>
                              </w:rPr>
                              <w:t>Derivative contracts</w:t>
                            </w:r>
                            <w:r w:rsidR="006B2D9C">
                              <w:rPr>
                                <w:sz w:val="16"/>
                                <w:szCs w:val="16"/>
                              </w:rPr>
                              <w:t>;</w:t>
                            </w:r>
                          </w:p>
                          <w:p w14:paraId="33F419B5" w14:textId="3B0C2EC9" w:rsidR="00A177E8" w:rsidRPr="00881EF0" w:rsidRDefault="00A177E8" w:rsidP="00AB42AA">
                            <w:pPr>
                              <w:pStyle w:val="Listenabsatz"/>
                              <w:numPr>
                                <w:ilvl w:val="0"/>
                                <w:numId w:val="17"/>
                              </w:numPr>
                              <w:rPr>
                                <w:sz w:val="16"/>
                                <w:szCs w:val="16"/>
                                <w:lang w:val="en-US"/>
                              </w:rPr>
                            </w:pPr>
                            <w:r w:rsidRPr="00881EF0">
                              <w:rPr>
                                <w:sz w:val="16"/>
                                <w:szCs w:val="16"/>
                                <w:lang w:val="en-US"/>
                              </w:rPr>
                              <w:t>Derivative instruments for the transfer of credit risk;</w:t>
                            </w:r>
                          </w:p>
                          <w:p w14:paraId="2ECCCBC1" w14:textId="0642A98E" w:rsidR="00A177E8" w:rsidRDefault="00A177E8" w:rsidP="00AB42AA">
                            <w:pPr>
                              <w:pStyle w:val="Listenabsatz"/>
                              <w:numPr>
                                <w:ilvl w:val="0"/>
                                <w:numId w:val="17"/>
                              </w:numPr>
                              <w:rPr>
                                <w:sz w:val="16"/>
                                <w:szCs w:val="16"/>
                              </w:rPr>
                            </w:pPr>
                            <w:r w:rsidRPr="00A177E8">
                              <w:rPr>
                                <w:sz w:val="16"/>
                                <w:szCs w:val="16"/>
                              </w:rPr>
                              <w:t>Financial contracts for differences;</w:t>
                            </w:r>
                          </w:p>
                          <w:p w14:paraId="53198EF4" w14:textId="3B436649" w:rsidR="00A177E8" w:rsidRPr="00A177E8" w:rsidRDefault="00A177E8" w:rsidP="00AB42AA">
                            <w:pPr>
                              <w:pStyle w:val="Listenabsatz"/>
                              <w:numPr>
                                <w:ilvl w:val="0"/>
                                <w:numId w:val="17"/>
                              </w:numPr>
                              <w:rPr>
                                <w:sz w:val="16"/>
                                <w:szCs w:val="16"/>
                              </w:rPr>
                            </w:pPr>
                            <w:r w:rsidRPr="00A177E8">
                              <w:rPr>
                                <w:sz w:val="16"/>
                                <w:szCs w:val="16"/>
                              </w:rPr>
                              <w:t xml:space="preserve">Emission allowances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4AE409" id="_x0000_t202" coordsize="21600,21600" o:spt="202" path="m,l,21600r21600,l21600,xe">
                <v:stroke joinstyle="miter"/>
                <v:path gradientshapeok="t" o:connecttype="rect"/>
              </v:shapetype>
              <v:shape id="Text Box 2" o:spid="_x0000_s1026" type="#_x0000_t202" style="position:absolute;left:0;text-align:left;margin-left:259.7pt;margin-top:1.35pt;width:194.7pt;height:236.3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" strokecolor="#a5a5a5 [2092]">
                <v:textbox>
                  <w:txbxContent>
                    <w:p w14:paraId="1FF57D22" w14:textId="78F18D72" w:rsidR="00A177E8" w:rsidRPr="00A177E8" w:rsidRDefault="006226AA" w:rsidP="00A177E8">
                      <w:pPr>
                        <w:jc w:val="center"/>
                        <w:rPr>
                          <w:b/>
                          <w:sz w:val="16"/>
                          <w:szCs w:val="16"/>
                        </w:rPr>
                      </w:pPr>
                      <w:r>
                        <w:rPr>
                          <w:b/>
                          <w:sz w:val="16"/>
                          <w:szCs w:val="16"/>
                        </w:rPr>
                        <w:t xml:space="preserve">MiFID II </w:t>
                      </w:r>
                      <w:r w:rsidR="00A177E8" w:rsidRPr="00A177E8">
                        <w:rPr>
                          <w:b/>
                          <w:sz w:val="16"/>
                          <w:szCs w:val="16"/>
                        </w:rPr>
                        <w:t xml:space="preserve">Financial </w:t>
                      </w:r>
                      <w:r>
                        <w:rPr>
                          <w:b/>
                          <w:sz w:val="16"/>
                          <w:szCs w:val="16"/>
                        </w:rPr>
                        <w:t>I</w:t>
                      </w:r>
                      <w:r w:rsidR="00A177E8" w:rsidRPr="00A177E8">
                        <w:rPr>
                          <w:b/>
                          <w:sz w:val="16"/>
                          <w:szCs w:val="16"/>
                        </w:rPr>
                        <w:t>nstruments</w:t>
                      </w:r>
                    </w:p>
                    <w:p w14:paraId="771F7B9B" w14:textId="05DD4B4C" w:rsidR="009A3A82" w:rsidRPr="00881EF0" w:rsidRDefault="00A177E8" w:rsidP="00AB42AA">
                      <w:pPr>
                        <w:pStyle w:val="Listenabsatz"/>
                        <w:numPr>
                          <w:ilvl w:val="0"/>
                          <w:numId w:val="17"/>
                        </w:numPr>
                        <w:rPr>
                          <w:sz w:val="16"/>
                          <w:szCs w:val="16"/>
                          <w:lang w:val="en-US"/>
                        </w:rPr>
                      </w:pPr>
                      <w:r w:rsidRPr="00881EF0">
                        <w:rPr>
                          <w:sz w:val="16"/>
                          <w:szCs w:val="16"/>
                          <w:lang w:val="en-US"/>
                        </w:rPr>
                        <w:t>Transferable securities</w:t>
                      </w:r>
                      <w:r w:rsidR="009A3A82" w:rsidRPr="00881EF0">
                        <w:rPr>
                          <w:sz w:val="16"/>
                          <w:szCs w:val="16"/>
                          <w:lang w:val="en-US"/>
                        </w:rPr>
                        <w:t>, i.e. those classes of securities which are negotiable on the capital market, with the exception of instruments of payment, such as:</w:t>
                      </w:r>
                    </w:p>
                    <w:p w14:paraId="6E13FAEB" w14:textId="14158B0D" w:rsidR="009A3A82" w:rsidRPr="00881EF0" w:rsidRDefault="009A3A82" w:rsidP="00AB42AA">
                      <w:pPr>
                        <w:pStyle w:val="Listenabsatz"/>
                        <w:numPr>
                          <w:ilvl w:val="0"/>
                          <w:numId w:val="18"/>
                        </w:numPr>
                        <w:ind w:left="510" w:hanging="340"/>
                        <w:rPr>
                          <w:sz w:val="16"/>
                          <w:szCs w:val="16"/>
                          <w:lang w:val="en-US"/>
                        </w:rPr>
                      </w:pPr>
                      <w:r w:rsidRPr="00881EF0">
                        <w:rPr>
                          <w:sz w:val="16"/>
                          <w:szCs w:val="16"/>
                          <w:lang w:val="en-US"/>
                        </w:rPr>
                        <w:t>shares in companies and other securities equivalent to shares in companies, partnerships or other entities, and depositary receipts in respect of shares;</w:t>
                      </w:r>
                    </w:p>
                    <w:p w14:paraId="0F8E09A7" w14:textId="19DA4017" w:rsidR="009A3A82" w:rsidRPr="00881EF0" w:rsidRDefault="009A3A82" w:rsidP="00AB42AA">
                      <w:pPr>
                        <w:pStyle w:val="Listenabsatz"/>
                        <w:numPr>
                          <w:ilvl w:val="0"/>
                          <w:numId w:val="18"/>
                        </w:numPr>
                        <w:ind w:left="510" w:hanging="340"/>
                        <w:rPr>
                          <w:sz w:val="16"/>
                          <w:szCs w:val="16"/>
                          <w:lang w:val="en-US"/>
                        </w:rPr>
                      </w:pPr>
                      <w:r w:rsidRPr="00881EF0">
                        <w:rPr>
                          <w:sz w:val="16"/>
                          <w:szCs w:val="16"/>
                          <w:lang w:val="en-US"/>
                        </w:rPr>
                        <w:t>bonds or other forms of securitised debt, including depositary receipts in respect of such securities;</w:t>
                      </w:r>
                    </w:p>
                    <w:p w14:paraId="7C32F67D" w14:textId="6C23F61E" w:rsidR="009A3A82" w:rsidRPr="00881EF0" w:rsidRDefault="009A3A82" w:rsidP="00AB42AA">
                      <w:pPr>
                        <w:pStyle w:val="Listenabsatz"/>
                        <w:numPr>
                          <w:ilvl w:val="0"/>
                          <w:numId w:val="18"/>
                        </w:numPr>
                        <w:ind w:left="510" w:hanging="340"/>
                        <w:rPr>
                          <w:sz w:val="16"/>
                          <w:szCs w:val="16"/>
                          <w:lang w:val="en-US"/>
                        </w:rPr>
                      </w:pPr>
                      <w:r w:rsidRPr="00881EF0">
                        <w:rPr>
                          <w:sz w:val="16"/>
                          <w:szCs w:val="16"/>
                          <w:lang w:val="en-US"/>
                        </w:rPr>
                        <w:t>any other securities giving the right to acquire or sell any such transferable securities or giving rise to a cash settlement determined by reference to transferable securities, currencies, interest rates or yields, commodities or other indices or measures;</w:t>
                      </w:r>
                    </w:p>
                    <w:p w14:paraId="4F0AE7FB" w14:textId="0479CA4D" w:rsidR="00A177E8" w:rsidRDefault="00A177E8" w:rsidP="00AB42AA">
                      <w:pPr>
                        <w:pStyle w:val="Listenabsatz"/>
                        <w:numPr>
                          <w:ilvl w:val="0"/>
                          <w:numId w:val="17"/>
                        </w:numPr>
                        <w:rPr>
                          <w:sz w:val="16"/>
                          <w:szCs w:val="16"/>
                        </w:rPr>
                      </w:pPr>
                      <w:r w:rsidRPr="00A177E8">
                        <w:rPr>
                          <w:sz w:val="16"/>
                          <w:szCs w:val="16"/>
                        </w:rPr>
                        <w:t>Money-market instruments;</w:t>
                      </w:r>
                    </w:p>
                    <w:p w14:paraId="36A4559F" w14:textId="313FDEFE" w:rsidR="00A177E8" w:rsidRPr="00881EF0" w:rsidRDefault="00A177E8" w:rsidP="00AB42AA">
                      <w:pPr>
                        <w:pStyle w:val="Listenabsatz"/>
                        <w:numPr>
                          <w:ilvl w:val="0"/>
                          <w:numId w:val="17"/>
                        </w:numPr>
                        <w:rPr>
                          <w:sz w:val="16"/>
                          <w:szCs w:val="16"/>
                          <w:lang w:val="en-US"/>
                        </w:rPr>
                      </w:pPr>
                      <w:r w:rsidRPr="00881EF0">
                        <w:rPr>
                          <w:sz w:val="16"/>
                          <w:szCs w:val="16"/>
                          <w:lang w:val="en-US"/>
                        </w:rPr>
                        <w:t>Units in collective investment undertakings;</w:t>
                      </w:r>
                    </w:p>
                    <w:p w14:paraId="0A267EF6" w14:textId="23B7CCE6" w:rsidR="00A177E8" w:rsidRDefault="009A3A82" w:rsidP="00AB42AA">
                      <w:pPr>
                        <w:pStyle w:val="Listenabsatz"/>
                        <w:numPr>
                          <w:ilvl w:val="0"/>
                          <w:numId w:val="17"/>
                        </w:numPr>
                        <w:rPr>
                          <w:sz w:val="16"/>
                          <w:szCs w:val="16"/>
                        </w:rPr>
                      </w:pPr>
                      <w:r>
                        <w:rPr>
                          <w:sz w:val="16"/>
                          <w:szCs w:val="16"/>
                        </w:rPr>
                        <w:t>Derivative contracts</w:t>
                      </w:r>
                      <w:r w:rsidR="006B2D9C">
                        <w:rPr>
                          <w:sz w:val="16"/>
                          <w:szCs w:val="16"/>
                        </w:rPr>
                        <w:t>;</w:t>
                      </w:r>
                    </w:p>
                    <w:p w14:paraId="33F419B5" w14:textId="3B0C2EC9" w:rsidR="00A177E8" w:rsidRPr="00881EF0" w:rsidRDefault="00A177E8" w:rsidP="00AB42AA">
                      <w:pPr>
                        <w:pStyle w:val="Listenabsatz"/>
                        <w:numPr>
                          <w:ilvl w:val="0"/>
                          <w:numId w:val="17"/>
                        </w:numPr>
                        <w:rPr>
                          <w:sz w:val="16"/>
                          <w:szCs w:val="16"/>
                          <w:lang w:val="en-US"/>
                        </w:rPr>
                      </w:pPr>
                      <w:r w:rsidRPr="00881EF0">
                        <w:rPr>
                          <w:sz w:val="16"/>
                          <w:szCs w:val="16"/>
                          <w:lang w:val="en-US"/>
                        </w:rPr>
                        <w:t>Derivative instruments for the transfer of credit risk;</w:t>
                      </w:r>
                    </w:p>
                    <w:p w14:paraId="2ECCCBC1" w14:textId="0642A98E" w:rsidR="00A177E8" w:rsidRDefault="00A177E8" w:rsidP="00AB42AA">
                      <w:pPr>
                        <w:pStyle w:val="Listenabsatz"/>
                        <w:numPr>
                          <w:ilvl w:val="0"/>
                          <w:numId w:val="17"/>
                        </w:numPr>
                        <w:rPr>
                          <w:sz w:val="16"/>
                          <w:szCs w:val="16"/>
                        </w:rPr>
                      </w:pPr>
                      <w:r w:rsidRPr="00A177E8">
                        <w:rPr>
                          <w:sz w:val="16"/>
                          <w:szCs w:val="16"/>
                        </w:rPr>
                        <w:t>Financial contracts for differences;</w:t>
                      </w:r>
                    </w:p>
                    <w:p w14:paraId="53198EF4" w14:textId="3B436649" w:rsidR="00A177E8" w:rsidRPr="00A177E8" w:rsidRDefault="00A177E8" w:rsidP="00AB42AA">
                      <w:pPr>
                        <w:pStyle w:val="Listenabsatz"/>
                        <w:numPr>
                          <w:ilvl w:val="0"/>
                          <w:numId w:val="17"/>
                        </w:numPr>
                        <w:rPr>
                          <w:sz w:val="16"/>
                          <w:szCs w:val="16"/>
                        </w:rPr>
                      </w:pPr>
                      <w:r w:rsidRPr="00A177E8">
                        <w:rPr>
                          <w:sz w:val="16"/>
                          <w:szCs w:val="16"/>
                        </w:rPr>
                        <w:t xml:space="preserve">Emission allowances </w:t>
                      </w:r>
                    </w:p>
                  </w:txbxContent>
                </v:textbox>
                <w10:wrap type="square" anchorx="margin"/>
              </v:shape>
            </w:pict>
          </mc:Fallback>
        </mc:AlternateContent>
      </w:r>
      <w:r w:rsidR="008C5A48" w:rsidRPr="002121A4">
        <w:t xml:space="preserve">The two </w:t>
      </w:r>
      <w:r w:rsidR="00B94727" w:rsidRPr="002121A4">
        <w:t xml:space="preserve">types of </w:t>
      </w:r>
      <w:r w:rsidR="00F91870" w:rsidRPr="002121A4">
        <w:t xml:space="preserve">mid- and long term financing </w:t>
      </w:r>
      <w:r w:rsidR="008C5A48" w:rsidRPr="002121A4">
        <w:t xml:space="preserve">instruments </w:t>
      </w:r>
      <w:r w:rsidR="00A738AB" w:rsidRPr="002121A4">
        <w:t xml:space="preserve">that are the </w:t>
      </w:r>
      <w:r w:rsidR="00A07361" w:rsidRPr="002121A4">
        <w:t xml:space="preserve">cornerstone </w:t>
      </w:r>
      <w:r w:rsidR="00A738AB" w:rsidRPr="002121A4">
        <w:t xml:space="preserve">of capital </w:t>
      </w:r>
      <w:r w:rsidR="008C5A48" w:rsidRPr="002121A4">
        <w:t>market</w:t>
      </w:r>
      <w:r w:rsidR="00A738AB" w:rsidRPr="002121A4">
        <w:t>s</w:t>
      </w:r>
      <w:r w:rsidR="008C5A48" w:rsidRPr="002121A4">
        <w:t xml:space="preserve"> are shares (</w:t>
      </w:r>
      <w:r w:rsidR="00FA568C" w:rsidRPr="002121A4">
        <w:t>“</w:t>
      </w:r>
      <w:r w:rsidR="008C5A48" w:rsidRPr="002121A4">
        <w:t>equity</w:t>
      </w:r>
      <w:r w:rsidR="00FA568C" w:rsidRPr="002121A4">
        <w:t>”</w:t>
      </w:r>
      <w:r w:rsidR="00071451" w:rsidRPr="002121A4">
        <w:t xml:space="preserve"> instruments</w:t>
      </w:r>
      <w:r w:rsidR="008C5A48" w:rsidRPr="002121A4">
        <w:t>) and bonds</w:t>
      </w:r>
      <w:r w:rsidR="00071451" w:rsidRPr="002121A4">
        <w:t>,</w:t>
      </w:r>
      <w:r w:rsidR="008C5A48" w:rsidRPr="002121A4">
        <w:t xml:space="preserve"> also referred to as </w:t>
      </w:r>
      <w:r w:rsidR="00FA568C" w:rsidRPr="002121A4">
        <w:t>“</w:t>
      </w:r>
      <w:r w:rsidR="008C5A48" w:rsidRPr="002121A4">
        <w:t>notes</w:t>
      </w:r>
      <w:r w:rsidR="00FA568C" w:rsidRPr="002121A4">
        <w:t>”</w:t>
      </w:r>
      <w:r w:rsidR="00071451" w:rsidRPr="002121A4">
        <w:t xml:space="preserve"> (“debt” instruments</w:t>
      </w:r>
      <w:r w:rsidR="008C5A48" w:rsidRPr="002121A4">
        <w:t>).</w:t>
      </w:r>
      <w:r w:rsidR="00C501BF" w:rsidRPr="002121A4">
        <w:t xml:space="preserve"> </w:t>
      </w:r>
      <w:r w:rsidR="00830CA4" w:rsidRPr="002121A4">
        <w:t xml:space="preserve">One of the </w:t>
      </w:r>
      <w:r w:rsidR="001C6FF3" w:rsidRPr="002121A4">
        <w:t>central</w:t>
      </w:r>
      <w:r w:rsidR="00830CA4" w:rsidRPr="002121A4">
        <w:t xml:space="preserve"> pieces of capital markets legislation at EU level, MiFID II</w:t>
      </w:r>
      <w:r w:rsidR="003F6E2B" w:rsidRPr="002121A4">
        <w:t>, captures</w:t>
      </w:r>
      <w:r w:rsidR="00830CA4" w:rsidRPr="002121A4">
        <w:t xml:space="preserve"> </w:t>
      </w:r>
      <w:r w:rsidR="00C501BF" w:rsidRPr="002121A4">
        <w:t xml:space="preserve">these instruments </w:t>
      </w:r>
      <w:r w:rsidR="003F6E2B" w:rsidRPr="002121A4">
        <w:t xml:space="preserve">under the term </w:t>
      </w:r>
      <w:r w:rsidR="00C501BF" w:rsidRPr="002121A4">
        <w:t>“transferable securities”, together with</w:t>
      </w:r>
      <w:r w:rsidR="00125A5E">
        <w:t xml:space="preserve"> derivative securities (i.e.,</w:t>
      </w:r>
      <w:r w:rsidR="00C501BF" w:rsidRPr="002121A4">
        <w:t xml:space="preserve"> </w:t>
      </w:r>
      <w:r w:rsidR="00F373EB" w:rsidRPr="002121A4">
        <w:t>securities giving the right to acquire or sell any such transferable securities or giving rise to a cash settlement determined by reference to transferable securities or other indices or measures</w:t>
      </w:r>
      <w:r w:rsidR="00125A5E">
        <w:t>)</w:t>
      </w:r>
      <w:r w:rsidR="00C501BF" w:rsidRPr="002121A4">
        <w:t>.</w:t>
      </w:r>
      <w:r w:rsidR="00A521DD" w:rsidRPr="002121A4">
        <w:t xml:space="preserve"> </w:t>
      </w:r>
      <w:r w:rsidR="00830CA4" w:rsidRPr="002121A4">
        <w:t xml:space="preserve">The </w:t>
      </w:r>
      <w:r w:rsidR="00A521DD" w:rsidRPr="002121A4">
        <w:t xml:space="preserve">MiFID II definition </w:t>
      </w:r>
      <w:r w:rsidR="005C361F" w:rsidRPr="002121A4">
        <w:t xml:space="preserve">of transferable securities </w:t>
      </w:r>
      <w:r w:rsidR="003F6E2B" w:rsidRPr="002121A4">
        <w:t>refers to</w:t>
      </w:r>
      <w:r w:rsidR="00A521DD" w:rsidRPr="002121A4">
        <w:t xml:space="preserve"> “classes of securities which are negotiable on the capital market”,</w:t>
      </w:r>
      <w:r w:rsidR="00C501BF" w:rsidRPr="002121A4">
        <w:rPr>
          <w:rStyle w:val="Funotenzeichen"/>
        </w:rPr>
        <w:footnoteReference w:id="2"/>
      </w:r>
      <w:r w:rsidR="00A521DD" w:rsidRPr="002121A4">
        <w:t xml:space="preserve"> which </w:t>
      </w:r>
      <w:r w:rsidR="00830CA4" w:rsidRPr="002121A4">
        <w:t xml:space="preserve">implies </w:t>
      </w:r>
      <w:r w:rsidR="00A521DD" w:rsidRPr="002121A4">
        <w:t>transferability</w:t>
      </w:r>
      <w:r w:rsidR="00021A10" w:rsidRPr="002121A4">
        <w:t>, fungibility,</w:t>
      </w:r>
      <w:r w:rsidR="00A521DD" w:rsidRPr="002121A4">
        <w:t xml:space="preserve"> and standard</w:t>
      </w:r>
      <w:r w:rsidR="00706D6F" w:rsidRPr="002121A4">
        <w:t>ization</w:t>
      </w:r>
      <w:r w:rsidR="00A521DD" w:rsidRPr="002121A4">
        <w:t xml:space="preserve"> of these instruments.</w:t>
      </w:r>
      <w:bookmarkEnd w:id="6"/>
      <w:r w:rsidR="00C501BF" w:rsidRPr="002121A4">
        <w:t xml:space="preserve"> </w:t>
      </w:r>
    </w:p>
    <w:p w14:paraId="34095E24" w14:textId="4E2A9955" w:rsidR="00C501BF" w:rsidRPr="002121A4" w:rsidRDefault="00871A4D" w:rsidP="006C21E3">
      <w:pPr>
        <w:pStyle w:val="Standardwithparanumbering"/>
      </w:pPr>
      <w:r w:rsidRPr="002121A4">
        <w:lastRenderedPageBreak/>
        <w:t>The</w:t>
      </w:r>
      <w:r w:rsidR="001D51C0" w:rsidRPr="002121A4">
        <w:t xml:space="preserve">re is a </w:t>
      </w:r>
      <w:r w:rsidRPr="002121A4">
        <w:t xml:space="preserve">broader notion of “financial instruments” </w:t>
      </w:r>
      <w:r w:rsidR="001D51C0" w:rsidRPr="002121A4">
        <w:t>which goes beyond transferable securities</w:t>
      </w:r>
      <w:r w:rsidR="00B8261B" w:rsidRPr="002121A4">
        <w:t>: it includes, for example,</w:t>
      </w:r>
      <w:r w:rsidR="001D51C0" w:rsidRPr="002121A4">
        <w:t xml:space="preserve"> units in </w:t>
      </w:r>
      <w:r w:rsidR="00D43DE2" w:rsidRPr="002121A4">
        <w:t>UCITS</w:t>
      </w:r>
      <w:r w:rsidR="005523DB" w:rsidRPr="002121A4">
        <w:t xml:space="preserve"> </w:t>
      </w:r>
      <w:r w:rsidR="001D51C0" w:rsidRPr="002121A4">
        <w:t xml:space="preserve">funds </w:t>
      </w:r>
      <w:r w:rsidR="005523DB" w:rsidRPr="002121A4">
        <w:t>(</w:t>
      </w:r>
      <w:r w:rsidR="00D43DE2" w:rsidRPr="002121A4">
        <w:t>a specific type of investment funds</w:t>
      </w:r>
      <w:r w:rsidR="005523DB" w:rsidRPr="002121A4">
        <w:t xml:space="preserve">), </w:t>
      </w:r>
      <w:r w:rsidR="00D43DE2" w:rsidRPr="002121A4">
        <w:t>various types of derivatives (options, futures, swaps, forwards) relating to a range of variables (e.g., securities, currencies, interest rates, commodities)</w:t>
      </w:r>
      <w:r w:rsidR="005523DB" w:rsidRPr="002121A4">
        <w:t xml:space="preserve">, and </w:t>
      </w:r>
      <w:r w:rsidR="00D43DE2" w:rsidRPr="002121A4">
        <w:t>contracts for difference</w:t>
      </w:r>
      <w:r w:rsidR="005523DB" w:rsidRPr="002121A4">
        <w:t>.</w:t>
      </w:r>
      <w:r w:rsidR="001339DE" w:rsidRPr="002121A4">
        <w:rPr>
          <w:rStyle w:val="Funotenzeichen"/>
        </w:rPr>
        <w:footnoteReference w:id="3"/>
      </w:r>
      <w:r w:rsidR="005523DB" w:rsidRPr="002121A4">
        <w:t xml:space="preserve"> </w:t>
      </w:r>
      <w:r w:rsidR="00E50A0B" w:rsidRPr="002121A4">
        <w:t>F</w:t>
      </w:r>
      <w:r w:rsidR="007A53E6" w:rsidRPr="002121A4">
        <w:t>inancial instrument</w:t>
      </w:r>
      <w:r w:rsidR="00060023" w:rsidRPr="002121A4">
        <w:t xml:space="preserve">s </w:t>
      </w:r>
      <w:r w:rsidR="007A53E6" w:rsidRPr="002121A4">
        <w:t>can be admitted to trading</w:t>
      </w:r>
      <w:r w:rsidR="00FA568C" w:rsidRPr="002121A4">
        <w:t xml:space="preserve"> on a regulated market if they are capable of being traded in a fair, orderly and efficient manner and, in the case of transferable securities, freely negotiable</w:t>
      </w:r>
      <w:r w:rsidR="007A53E6" w:rsidRPr="002121A4">
        <w:t>.</w:t>
      </w:r>
      <w:r w:rsidR="00F31266" w:rsidRPr="002121A4">
        <w:rPr>
          <w:rStyle w:val="Funotenzeichen"/>
        </w:rPr>
        <w:footnoteReference w:id="4"/>
      </w:r>
      <w:bookmarkEnd w:id="5"/>
      <w:bookmarkEnd w:id="7"/>
    </w:p>
    <w:p w14:paraId="4CE740BA" w14:textId="0382B8E7" w:rsidR="00187A9F" w:rsidRPr="002121A4" w:rsidRDefault="00096153" w:rsidP="00AB42AA">
      <w:pPr>
        <w:pStyle w:val="Case"/>
        <w:keepNext/>
        <w:numPr>
          <w:ilvl w:val="0"/>
          <w:numId w:val="14"/>
        </w:numPr>
        <w:ind w:left="567" w:firstLine="0"/>
      </w:pPr>
      <w:bookmarkStart w:id="8" w:name="_Ref150080601"/>
      <w:r w:rsidRPr="002121A4">
        <w:t xml:space="preserve">Shares and bonds are the most prominent examples of transferable securities. </w:t>
      </w:r>
      <w:r w:rsidR="00CB415E" w:rsidRPr="002121A4">
        <w:t xml:space="preserve">They come, however, with very different legal and economic features. </w:t>
      </w:r>
      <w:r w:rsidR="00187A9F" w:rsidRPr="002121A4">
        <w:t>Complete the table below with explanations of the most essential features of standard shares and bonds</w:t>
      </w:r>
      <w:r w:rsidR="001B5322" w:rsidRPr="002121A4">
        <w:t>!</w:t>
      </w:r>
      <w:bookmarkEnd w:id="8"/>
    </w:p>
    <w:tbl>
      <w:tblPr>
        <w:tblW w:w="8364" w:type="dxa"/>
        <w:tblInd w:w="557" w:type="dxa"/>
        <w:tblLayout w:type="fixed"/>
        <w:tblCellMar>
          <w:left w:w="0" w:type="dxa"/>
          <w:right w:w="0" w:type="dxa"/>
        </w:tblCellMar>
        <w:tblLook w:val="04A0" w:firstRow="1" w:lastRow="0" w:firstColumn="1" w:lastColumn="0" w:noHBand="0" w:noVBand="1"/>
      </w:tblPr>
      <w:tblGrid>
        <w:gridCol w:w="1134"/>
        <w:gridCol w:w="1205"/>
        <w:gridCol w:w="1205"/>
        <w:gridCol w:w="1205"/>
        <w:gridCol w:w="1205"/>
        <w:gridCol w:w="1205"/>
        <w:gridCol w:w="1205"/>
      </w:tblGrid>
      <w:tr w:rsidR="00187A9F" w:rsidRPr="002121A4" w14:paraId="25492FB0" w14:textId="77777777" w:rsidTr="000D7596">
        <w:trPr>
          <w:trHeight w:val="1302"/>
        </w:trPr>
        <w:tc>
          <w:tcPr>
            <w:tcW w:w="1134"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0037ED0D" w14:textId="77777777" w:rsidR="00187A9F" w:rsidRPr="002121A4" w:rsidRDefault="00187A9F" w:rsidP="002F126A">
            <w:pPr>
              <w:jc w:val="right"/>
              <w:rPr>
                <w:sz w:val="18"/>
                <w:szCs w:val="18"/>
                <w:lang w:val="en-GB"/>
              </w:rPr>
            </w:pPr>
            <w:r w:rsidRPr="002121A4">
              <w:rPr>
                <w:sz w:val="18"/>
                <w:szCs w:val="18"/>
                <w:lang w:val="en-GB"/>
              </w:rPr>
              <w:t>Investors’ view</w:t>
            </w:r>
          </w:p>
          <w:p w14:paraId="7C8DB455" w14:textId="0A003171" w:rsidR="00187A9F" w:rsidRPr="002121A4" w:rsidRDefault="00187A9F" w:rsidP="002F126A">
            <w:pPr>
              <w:jc w:val="left"/>
              <w:rPr>
                <w:sz w:val="18"/>
                <w:szCs w:val="18"/>
                <w:lang w:val="en-GB"/>
              </w:rPr>
            </w:pPr>
            <w:r w:rsidRPr="002121A4">
              <w:rPr>
                <w:sz w:val="18"/>
                <w:szCs w:val="18"/>
                <w:lang w:val="en-GB"/>
              </w:rPr>
              <w:t xml:space="preserve">Type of </w:t>
            </w:r>
            <w:r w:rsidR="00602095" w:rsidRPr="002121A4">
              <w:rPr>
                <w:sz w:val="18"/>
                <w:szCs w:val="18"/>
                <w:lang w:val="en-GB"/>
              </w:rPr>
              <w:br/>
            </w:r>
            <w:r w:rsidR="00EE7DAE" w:rsidRPr="002121A4">
              <w:rPr>
                <w:sz w:val="18"/>
                <w:szCs w:val="18"/>
                <w:lang w:val="en-GB"/>
              </w:rPr>
              <w:t>instrument</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634C0BF3" w14:textId="071032C0" w:rsidR="00187A9F" w:rsidRPr="002121A4" w:rsidRDefault="00187A9F" w:rsidP="002F126A">
            <w:pPr>
              <w:jc w:val="center"/>
              <w:rPr>
                <w:sz w:val="18"/>
                <w:szCs w:val="18"/>
                <w:lang w:val="en-GB"/>
              </w:rPr>
            </w:pPr>
            <w:r w:rsidRPr="002121A4">
              <w:rPr>
                <w:sz w:val="18"/>
                <w:szCs w:val="18"/>
                <w:lang w:val="en-GB"/>
              </w:rPr>
              <w:t>Legal texts determining investor</w:t>
            </w:r>
            <w:r w:rsidR="000D7596" w:rsidRPr="002121A4">
              <w:rPr>
                <w:sz w:val="18"/>
                <w:szCs w:val="18"/>
                <w:lang w:val="en-GB"/>
              </w:rPr>
              <w:t>s’</w:t>
            </w:r>
            <w:r w:rsidRPr="002121A4">
              <w:rPr>
                <w:sz w:val="18"/>
                <w:szCs w:val="18"/>
                <w:lang w:val="en-GB"/>
              </w:rPr>
              <w:t xml:space="preserve"> rights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7773673B" w14:textId="230B13AF" w:rsidR="00187A9F" w:rsidRPr="002121A4" w:rsidRDefault="00187A9F" w:rsidP="002F126A">
            <w:pPr>
              <w:jc w:val="center"/>
              <w:rPr>
                <w:sz w:val="18"/>
                <w:szCs w:val="18"/>
                <w:lang w:val="en-GB"/>
              </w:rPr>
            </w:pPr>
            <w:r w:rsidRPr="002121A4">
              <w:rPr>
                <w:sz w:val="18"/>
                <w:szCs w:val="18"/>
                <w:lang w:val="en-GB"/>
              </w:rPr>
              <w:t>Investors’ economic motivation</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14C293D" w14:textId="77777777" w:rsidR="00187A9F" w:rsidRPr="002121A4" w:rsidRDefault="00187A9F" w:rsidP="002F126A">
            <w:pPr>
              <w:jc w:val="center"/>
              <w:rPr>
                <w:sz w:val="18"/>
                <w:szCs w:val="18"/>
                <w:lang w:val="en-GB"/>
              </w:rPr>
            </w:pPr>
            <w:r w:rsidRPr="002121A4">
              <w:rPr>
                <w:sz w:val="18"/>
                <w:szCs w:val="18"/>
                <w:lang w:val="en-GB"/>
              </w:rPr>
              <w:t>Investors’ exposure to losses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01D6C4BB" w14:textId="77777777" w:rsidR="00187A9F" w:rsidRPr="002121A4" w:rsidRDefault="00187A9F" w:rsidP="002F126A">
            <w:pPr>
              <w:jc w:val="center"/>
              <w:rPr>
                <w:sz w:val="18"/>
                <w:szCs w:val="18"/>
                <w:lang w:val="en-GB"/>
              </w:rPr>
            </w:pPr>
            <w:r w:rsidRPr="002121A4">
              <w:rPr>
                <w:sz w:val="18"/>
                <w:szCs w:val="18"/>
                <w:lang w:val="en-GB"/>
              </w:rPr>
              <w:t xml:space="preserve">Investors’ </w:t>
            </w:r>
            <w:r w:rsidRPr="002121A4">
              <w:rPr>
                <w:sz w:val="18"/>
                <w:szCs w:val="18"/>
                <w:lang w:val="en-GB"/>
              </w:rPr>
              <w:br/>
              <w:t>in</w:t>
            </w:r>
            <w:r w:rsidRPr="002121A4">
              <w:rPr>
                <w:sz w:val="18"/>
                <w:szCs w:val="18"/>
                <w:lang w:val="en-GB"/>
              </w:rPr>
              <w:softHyphen/>
              <w:t>fluence on issuer</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745FCEC" w14:textId="77777777" w:rsidR="00187A9F" w:rsidRPr="00F9205E" w:rsidRDefault="00187A9F" w:rsidP="002F126A">
            <w:pPr>
              <w:jc w:val="center"/>
              <w:rPr>
                <w:sz w:val="18"/>
                <w:szCs w:val="18"/>
                <w:lang w:val="it-IT"/>
              </w:rPr>
            </w:pPr>
            <w:proofErr w:type="spellStart"/>
            <w:r w:rsidRPr="00F9205E">
              <w:rPr>
                <w:sz w:val="18"/>
                <w:szCs w:val="18"/>
                <w:lang w:val="it-IT"/>
              </w:rPr>
              <w:t>Investors</w:t>
            </w:r>
            <w:proofErr w:type="spellEnd"/>
            <w:r w:rsidRPr="00F9205E">
              <w:rPr>
                <w:sz w:val="18"/>
                <w:szCs w:val="18"/>
                <w:lang w:val="it-IT"/>
              </w:rPr>
              <w:t xml:space="preserve">’ </w:t>
            </w:r>
            <w:r w:rsidRPr="00F9205E">
              <w:rPr>
                <w:sz w:val="18"/>
                <w:szCs w:val="18"/>
                <w:lang w:val="it-IT"/>
              </w:rPr>
              <w:br/>
              <w:t>po</w:t>
            </w:r>
            <w:r w:rsidRPr="00F9205E">
              <w:rPr>
                <w:sz w:val="18"/>
                <w:szCs w:val="18"/>
                <w:lang w:val="it-IT"/>
              </w:rPr>
              <w:softHyphen/>
              <w:t>si</w:t>
            </w:r>
            <w:r w:rsidRPr="00F9205E">
              <w:rPr>
                <w:sz w:val="18"/>
                <w:szCs w:val="18"/>
                <w:lang w:val="it-IT"/>
              </w:rPr>
              <w:softHyphen/>
              <w:t xml:space="preserve">tion in </w:t>
            </w:r>
            <w:proofErr w:type="spellStart"/>
            <w:r w:rsidRPr="00F9205E">
              <w:rPr>
                <w:sz w:val="18"/>
                <w:szCs w:val="18"/>
                <w:lang w:val="it-IT"/>
              </w:rPr>
              <w:t>issuer’s</w:t>
            </w:r>
            <w:proofErr w:type="spellEnd"/>
            <w:r w:rsidRPr="00F9205E">
              <w:rPr>
                <w:sz w:val="18"/>
                <w:szCs w:val="18"/>
                <w:lang w:val="it-IT"/>
              </w:rPr>
              <w:t xml:space="preserve"> </w:t>
            </w:r>
            <w:proofErr w:type="spellStart"/>
            <w:r w:rsidRPr="00F9205E">
              <w:rPr>
                <w:sz w:val="18"/>
                <w:szCs w:val="18"/>
                <w:lang w:val="it-IT"/>
              </w:rPr>
              <w:t>insolvency</w:t>
            </w:r>
            <w:proofErr w:type="spellEnd"/>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304AC0C" w14:textId="77777777" w:rsidR="00187A9F" w:rsidRPr="002121A4" w:rsidRDefault="00187A9F" w:rsidP="002F126A">
            <w:pPr>
              <w:jc w:val="center"/>
              <w:rPr>
                <w:sz w:val="18"/>
                <w:szCs w:val="18"/>
                <w:lang w:val="en-GB"/>
              </w:rPr>
            </w:pPr>
            <w:r w:rsidRPr="002121A4">
              <w:rPr>
                <w:sz w:val="18"/>
                <w:szCs w:val="18"/>
                <w:lang w:val="en-GB"/>
              </w:rPr>
              <w:t xml:space="preserve">Investors’ </w:t>
            </w:r>
            <w:r w:rsidRPr="002121A4">
              <w:rPr>
                <w:sz w:val="18"/>
                <w:szCs w:val="18"/>
                <w:lang w:val="en-GB"/>
              </w:rPr>
              <w:br/>
              <w:t>risk by comparison</w:t>
            </w:r>
          </w:p>
        </w:tc>
      </w:tr>
      <w:tr w:rsidR="00187A9F" w:rsidRPr="002121A4" w14:paraId="61B32327" w14:textId="77777777" w:rsidTr="0012269B">
        <w:trPr>
          <w:trHeight w:val="854"/>
        </w:trPr>
        <w:tc>
          <w:tcPr>
            <w:tcW w:w="1134" w:type="dxa"/>
            <w:tcBorders>
              <w:top w:val="single" w:sz="24"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vAlign w:val="center"/>
            <w:hideMark/>
          </w:tcPr>
          <w:p w14:paraId="2ED6EB08" w14:textId="5FFD4620" w:rsidR="00187A9F" w:rsidRPr="002121A4" w:rsidRDefault="00187A9F" w:rsidP="00E50A0B">
            <w:pPr>
              <w:rPr>
                <w:sz w:val="18"/>
                <w:szCs w:val="18"/>
                <w:lang w:val="en-GB"/>
              </w:rPr>
            </w:pPr>
            <w:r w:rsidRPr="002121A4">
              <w:rPr>
                <w:sz w:val="18"/>
                <w:szCs w:val="18"/>
                <w:lang w:val="en-GB"/>
              </w:rPr>
              <w:t>Ordinary</w:t>
            </w:r>
            <w:r w:rsidRPr="002121A4">
              <w:rPr>
                <w:sz w:val="18"/>
                <w:szCs w:val="18"/>
                <w:lang w:val="en-GB"/>
              </w:rPr>
              <w:br/>
              <w:t>Shares</w:t>
            </w:r>
            <w:r w:rsidR="00E50A0B" w:rsidRPr="002121A4">
              <w:rPr>
                <w:sz w:val="18"/>
                <w:szCs w:val="18"/>
                <w:lang w:val="en-GB"/>
              </w:rPr>
              <w:br/>
              <w:t xml:space="preserve">(equity </w:t>
            </w:r>
            <w:r w:rsidR="00E50A0B" w:rsidRPr="002121A4">
              <w:rPr>
                <w:sz w:val="18"/>
                <w:szCs w:val="18"/>
                <w:lang w:val="en-GB"/>
              </w:rPr>
              <w:br/>
              <w:t>investment)</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7F1F1526" w14:textId="33F15FB5" w:rsidR="00187A9F" w:rsidRPr="002121A4" w:rsidRDefault="00187A9F" w:rsidP="00F6491E">
            <w:pPr>
              <w:jc w:val="left"/>
              <w:rPr>
                <w:sz w:val="16"/>
                <w:szCs w:val="16"/>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667B4FDC" w14:textId="33CBFE8E" w:rsidR="00187A9F" w:rsidRPr="002121A4" w:rsidRDefault="00187A9F" w:rsidP="00F6491E">
            <w:pPr>
              <w:jc w:val="left"/>
              <w:rPr>
                <w:sz w:val="18"/>
                <w:szCs w:val="18"/>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23B38AE8" w14:textId="1E72C3BD" w:rsidR="00187A9F" w:rsidRPr="002121A4" w:rsidRDefault="00187A9F" w:rsidP="00F938F9">
            <w:pPr>
              <w:rPr>
                <w:sz w:val="18"/>
                <w:szCs w:val="18"/>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9E4B3E8" w14:textId="48A5DF42" w:rsidR="00187A9F" w:rsidRPr="002121A4" w:rsidRDefault="00187A9F" w:rsidP="00451218">
            <w:pPr>
              <w:jc w:val="left"/>
              <w:rPr>
                <w:sz w:val="16"/>
                <w:szCs w:val="16"/>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15D6AC04" w14:textId="0569D891" w:rsidR="00187A9F" w:rsidRPr="002121A4" w:rsidRDefault="00187A9F" w:rsidP="00451218">
            <w:pPr>
              <w:jc w:val="left"/>
              <w:rPr>
                <w:sz w:val="16"/>
                <w:szCs w:val="16"/>
                <w:lang w:val="en-GB"/>
              </w:rPr>
            </w:pP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6791DC09" w14:textId="44477BEC" w:rsidR="00187A9F" w:rsidRPr="002121A4" w:rsidRDefault="00187A9F" w:rsidP="00451218">
            <w:pPr>
              <w:jc w:val="left"/>
              <w:rPr>
                <w:sz w:val="16"/>
                <w:szCs w:val="16"/>
                <w:lang w:val="en-GB"/>
              </w:rPr>
            </w:pPr>
          </w:p>
        </w:tc>
      </w:tr>
      <w:tr w:rsidR="00187A9F" w:rsidRPr="002121A4" w14:paraId="6E19F8CB" w14:textId="77777777" w:rsidTr="00351DD6">
        <w:trPr>
          <w:trHeight w:val="557"/>
        </w:trPr>
        <w:tc>
          <w:tcPr>
            <w:tcW w:w="1134"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61A26EDF" w14:textId="000745B8" w:rsidR="00187A9F" w:rsidRPr="002121A4" w:rsidRDefault="00187A9F" w:rsidP="00F938F9">
            <w:pPr>
              <w:rPr>
                <w:sz w:val="18"/>
                <w:szCs w:val="18"/>
                <w:lang w:val="en-GB"/>
              </w:rPr>
            </w:pPr>
            <w:r w:rsidRPr="002121A4">
              <w:rPr>
                <w:sz w:val="18"/>
                <w:szCs w:val="18"/>
                <w:lang w:val="en-GB"/>
              </w:rPr>
              <w:t>Standard Bonds</w:t>
            </w:r>
            <w:r w:rsidR="00E50A0B" w:rsidRPr="002121A4">
              <w:rPr>
                <w:sz w:val="18"/>
                <w:szCs w:val="18"/>
                <w:lang w:val="en-GB"/>
              </w:rPr>
              <w:br/>
              <w:t>(debt</w:t>
            </w:r>
            <w:r w:rsidR="00E50A0B" w:rsidRPr="002121A4">
              <w:rPr>
                <w:sz w:val="18"/>
                <w:szCs w:val="18"/>
                <w:lang w:val="en-GB"/>
              </w:rPr>
              <w:br/>
              <w:t>investment)</w:t>
            </w:r>
          </w:p>
          <w:p w14:paraId="2F845A52" w14:textId="77777777" w:rsidR="00187A9F" w:rsidRPr="002121A4" w:rsidRDefault="00187A9F" w:rsidP="00F938F9">
            <w:pPr>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49E4705" w14:textId="74B661FA" w:rsidR="00187A9F" w:rsidRPr="002121A4" w:rsidRDefault="00187A9F" w:rsidP="00F6491E">
            <w:pPr>
              <w:jc w:val="left"/>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71767A7" w14:textId="13BDD58E" w:rsidR="00187A9F" w:rsidRPr="002121A4" w:rsidRDefault="00187A9F" w:rsidP="00F6491E">
            <w:pPr>
              <w:jc w:val="left"/>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17F04D88" w14:textId="5A6FF2AE" w:rsidR="00187A9F" w:rsidRPr="002121A4" w:rsidRDefault="00187A9F" w:rsidP="00451218">
            <w:pPr>
              <w:jc w:val="left"/>
              <w:rPr>
                <w:sz w:val="16"/>
                <w:szCs w:val="16"/>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78DB2867" w14:textId="79D423D7" w:rsidR="00187A9F" w:rsidRPr="002121A4" w:rsidRDefault="00187A9F" w:rsidP="00451218">
            <w:pPr>
              <w:jc w:val="left"/>
              <w:rPr>
                <w:sz w:val="16"/>
                <w:szCs w:val="16"/>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0AA9FAFF" w14:textId="44B89FB8" w:rsidR="00187A9F" w:rsidRPr="002121A4" w:rsidRDefault="00187A9F" w:rsidP="00451218">
            <w:pPr>
              <w:jc w:val="left"/>
              <w:rPr>
                <w:sz w:val="16"/>
                <w:szCs w:val="16"/>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60EBA9D" w14:textId="4DF17F97" w:rsidR="00187A9F" w:rsidRPr="002121A4" w:rsidRDefault="00187A9F" w:rsidP="00451218">
            <w:pPr>
              <w:jc w:val="left"/>
              <w:rPr>
                <w:sz w:val="16"/>
                <w:szCs w:val="16"/>
                <w:lang w:val="en-GB"/>
              </w:rPr>
            </w:pPr>
          </w:p>
        </w:tc>
      </w:tr>
    </w:tbl>
    <w:p w14:paraId="092A282B" w14:textId="1D15D0DA" w:rsidR="00792DF7" w:rsidRPr="002121A4" w:rsidRDefault="00FD5615">
      <w:pPr>
        <w:pStyle w:val="Standardwithparanumbering"/>
      </w:pPr>
      <w:r w:rsidRPr="002121A4">
        <w:t xml:space="preserve">Traditionally, shares and bonds were issued in the form of individual </w:t>
      </w:r>
      <w:r w:rsidR="00D455E1" w:rsidRPr="002121A4">
        <w:t xml:space="preserve">paper </w:t>
      </w:r>
      <w:r w:rsidRPr="002121A4">
        <w:t>certificates</w:t>
      </w:r>
      <w:r w:rsidR="00D455E1" w:rsidRPr="002121A4">
        <w:t>.</w:t>
      </w:r>
      <w:r w:rsidR="00416278" w:rsidRPr="002121A4">
        <w:t xml:space="preserve"> </w:t>
      </w:r>
      <w:r w:rsidR="00D455E1" w:rsidRPr="002121A4">
        <w:t>Certificat</w:t>
      </w:r>
      <w:r w:rsidR="006C39E7" w:rsidRPr="002121A4">
        <w:t>es</w:t>
      </w:r>
      <w:r w:rsidR="00D455E1" w:rsidRPr="002121A4">
        <w:t xml:space="preserve"> of this type come </w:t>
      </w:r>
      <w:r w:rsidR="00416278" w:rsidRPr="002121A4">
        <w:t xml:space="preserve">with obvious disadvantages as regards </w:t>
      </w:r>
      <w:r w:rsidR="00351DD6" w:rsidRPr="002121A4">
        <w:t xml:space="preserve">additional costs for </w:t>
      </w:r>
      <w:r w:rsidR="00416278" w:rsidRPr="002121A4">
        <w:t xml:space="preserve">safe-keeping </w:t>
      </w:r>
      <w:r w:rsidR="00351DD6" w:rsidRPr="002121A4">
        <w:t xml:space="preserve">(e.g., through a bank), </w:t>
      </w:r>
      <w:r w:rsidR="00416278" w:rsidRPr="002121A4">
        <w:t xml:space="preserve">and </w:t>
      </w:r>
      <w:r w:rsidR="006C39E7" w:rsidRPr="002121A4">
        <w:t xml:space="preserve">for </w:t>
      </w:r>
      <w:r w:rsidR="00351DD6" w:rsidRPr="002121A4">
        <w:t>physically moving the certificate</w:t>
      </w:r>
      <w:r w:rsidR="00FB12E4" w:rsidRPr="002121A4">
        <w:t xml:space="preserve"> (e.g. in case of transfer of title)</w:t>
      </w:r>
      <w:r w:rsidR="00416278" w:rsidRPr="002121A4">
        <w:t xml:space="preserve">. The predominant practice in use today is to issue </w:t>
      </w:r>
      <w:r w:rsidR="00325FB1" w:rsidRPr="002121A4">
        <w:t>“</w:t>
      </w:r>
      <w:r w:rsidR="00416278" w:rsidRPr="002121A4">
        <w:t>global certificates</w:t>
      </w:r>
      <w:r w:rsidR="00325FB1" w:rsidRPr="002121A4">
        <w:t>”</w:t>
      </w:r>
      <w:r w:rsidR="00416278" w:rsidRPr="002121A4">
        <w:t xml:space="preserve">. </w:t>
      </w:r>
      <w:r w:rsidR="006C6872" w:rsidRPr="002121A4">
        <w:t>S</w:t>
      </w:r>
      <w:r w:rsidR="00325FB1" w:rsidRPr="002121A4">
        <w:t>uch global</w:t>
      </w:r>
      <w:r w:rsidR="00416278" w:rsidRPr="002121A4">
        <w:t xml:space="preserve"> certificates are held in safe custody by </w:t>
      </w:r>
      <w:r w:rsidR="00AD1958" w:rsidRPr="002121A4">
        <w:t>central securities depositaries</w:t>
      </w:r>
      <w:r w:rsidR="00EB3238" w:rsidRPr="002121A4">
        <w:t xml:space="preserve"> (CSDs)</w:t>
      </w:r>
      <w:r w:rsidR="00416278" w:rsidRPr="002121A4">
        <w:t xml:space="preserve">, and </w:t>
      </w:r>
      <w:r w:rsidR="00BB2424" w:rsidRPr="002121A4">
        <w:t>settlement of transactions</w:t>
      </w:r>
      <w:r w:rsidR="00554D5A" w:rsidRPr="002121A4">
        <w:t>,</w:t>
      </w:r>
      <w:r w:rsidR="00BB2424" w:rsidRPr="002121A4">
        <w:t xml:space="preserve"> including </w:t>
      </w:r>
      <w:r w:rsidR="00416278" w:rsidRPr="002121A4">
        <w:t>transfer of title</w:t>
      </w:r>
      <w:r w:rsidR="00554D5A" w:rsidRPr="002121A4">
        <w:t>,</w:t>
      </w:r>
      <w:r w:rsidR="00416278" w:rsidRPr="002121A4">
        <w:t xml:space="preserve"> is arranged through the banks that participate in the clearing system without the need to move the global certificate.</w:t>
      </w:r>
      <w:r w:rsidR="00BB2424" w:rsidRPr="002121A4">
        <w:rPr>
          <w:rStyle w:val="Funotenzeichen"/>
        </w:rPr>
        <w:footnoteReference w:id="5"/>
      </w:r>
      <w:r w:rsidR="00416278" w:rsidRPr="002121A4">
        <w:t xml:space="preserve"> More recently, legislative proposals include the option to replace paper certificates with digital securities </w:t>
      </w:r>
      <w:r w:rsidR="00FE48D2" w:rsidRPr="002121A4">
        <w:t xml:space="preserve">or </w:t>
      </w:r>
      <w:r w:rsidR="00416278" w:rsidRPr="002121A4">
        <w:t>tokens</w:t>
      </w:r>
      <w:r w:rsidR="005F1A75" w:rsidRPr="002121A4">
        <w:t>, also referred to as “tokenized securities”. F</w:t>
      </w:r>
      <w:r w:rsidR="00554D5A" w:rsidRPr="002121A4">
        <w:t xml:space="preserve">or example, pursuant to § 1 </w:t>
      </w:r>
      <w:proofErr w:type="spellStart"/>
      <w:r w:rsidR="00554D5A" w:rsidRPr="002121A4">
        <w:t>eWpG</w:t>
      </w:r>
      <w:proofErr w:type="spellEnd"/>
      <w:r w:rsidR="00554D5A" w:rsidRPr="002121A4">
        <w:t>, certain types of bonds and shares can be issued digitally. However,</w:t>
      </w:r>
      <w:r w:rsidR="00416278" w:rsidRPr="002121A4">
        <w:t xml:space="preserve"> </w:t>
      </w:r>
      <w:r w:rsidR="004D2812" w:rsidRPr="002121A4">
        <w:t xml:space="preserve">digitalized securities do </w:t>
      </w:r>
      <w:r w:rsidR="00416278" w:rsidRPr="002121A4">
        <w:t xml:space="preserve">not yet play a </w:t>
      </w:r>
      <w:r w:rsidR="004D2812" w:rsidRPr="002121A4">
        <w:t xml:space="preserve">significant </w:t>
      </w:r>
      <w:r w:rsidR="00416278" w:rsidRPr="002121A4">
        <w:t xml:space="preserve">role </w:t>
      </w:r>
      <w:r w:rsidR="004D2812" w:rsidRPr="002121A4">
        <w:t>in market practice.</w:t>
      </w:r>
      <w:r w:rsidR="00710867" w:rsidRPr="002121A4">
        <w:t xml:space="preserve"> The MiFID II concept of financial instruments do</w:t>
      </w:r>
      <w:r w:rsidR="00165C0C" w:rsidRPr="002121A4">
        <w:t>es</w:t>
      </w:r>
      <w:r w:rsidR="00710867" w:rsidRPr="002121A4">
        <w:t xml:space="preserve"> not require certification in any specific form and thus also cover</w:t>
      </w:r>
      <w:r w:rsidR="004C67EF" w:rsidRPr="002121A4">
        <w:t>s</w:t>
      </w:r>
      <w:r w:rsidR="00710867" w:rsidRPr="002121A4">
        <w:t xml:space="preserve"> digital</w:t>
      </w:r>
      <w:r w:rsidR="00706D6F" w:rsidRPr="002121A4">
        <w:t>ized</w:t>
      </w:r>
      <w:r w:rsidR="00710867" w:rsidRPr="002121A4">
        <w:t xml:space="preserve"> instruments.</w:t>
      </w:r>
    </w:p>
    <w:p w14:paraId="0BB08EAF" w14:textId="13F1D0A6" w:rsidR="00974B9E" w:rsidRPr="002121A4" w:rsidRDefault="00974B9E" w:rsidP="00974B9E">
      <w:pPr>
        <w:pStyle w:val="berschrift4"/>
        <w:rPr>
          <w:lang w:val="en-GB"/>
        </w:rPr>
      </w:pPr>
      <w:r w:rsidRPr="002121A4">
        <w:rPr>
          <w:lang w:val="en-GB"/>
        </w:rPr>
        <w:t>Capital markets as part of financial markets</w:t>
      </w:r>
    </w:p>
    <w:p w14:paraId="0D789449" w14:textId="15FB17DB" w:rsidR="0033795F" w:rsidRPr="002121A4" w:rsidRDefault="003903F0">
      <w:pPr>
        <w:pStyle w:val="Standardwithparanumbering"/>
      </w:pPr>
      <w:r w:rsidRPr="002121A4">
        <w:t xml:space="preserve">Capital markets are just one </w:t>
      </w:r>
      <w:r w:rsidR="00217E58" w:rsidRPr="002121A4">
        <w:t>segment</w:t>
      </w:r>
      <w:r w:rsidR="005E251E" w:rsidRPr="002121A4">
        <w:t xml:space="preserve"> </w:t>
      </w:r>
      <w:r w:rsidRPr="002121A4">
        <w:t xml:space="preserve">of </w:t>
      </w:r>
      <w:r w:rsidR="005E251E" w:rsidRPr="002121A4">
        <w:t xml:space="preserve">the wider </w:t>
      </w:r>
      <w:r w:rsidRPr="002121A4">
        <w:t xml:space="preserve">financial markets. </w:t>
      </w:r>
      <w:r w:rsidR="00792DF7" w:rsidRPr="002121A4">
        <w:t>Other financial markets</w:t>
      </w:r>
      <w:r w:rsidRPr="002121A4">
        <w:t xml:space="preserve"> </w:t>
      </w:r>
      <w:r w:rsidR="005462C9" w:rsidRPr="002121A4">
        <w:t xml:space="preserve">that </w:t>
      </w:r>
      <w:r w:rsidR="00F674E9" w:rsidRPr="002121A4">
        <w:t xml:space="preserve">are commonly </w:t>
      </w:r>
      <w:r w:rsidR="005462C9" w:rsidRPr="002121A4">
        <w:t xml:space="preserve">distinguished from capital markets </w:t>
      </w:r>
      <w:r w:rsidRPr="002121A4">
        <w:t>include</w:t>
      </w:r>
      <w:r w:rsidR="0033795F" w:rsidRPr="002121A4">
        <w:t>:</w:t>
      </w:r>
      <w:r w:rsidRPr="002121A4">
        <w:t xml:space="preserve"> </w:t>
      </w:r>
    </w:p>
    <w:p w14:paraId="14EEEB12" w14:textId="47D05533" w:rsidR="0033795F" w:rsidRPr="00341EA1" w:rsidRDefault="003903F0" w:rsidP="00AB42AA">
      <w:pPr>
        <w:pStyle w:val="Listenabsatz"/>
        <w:numPr>
          <w:ilvl w:val="0"/>
          <w:numId w:val="11"/>
        </w:numPr>
        <w:rPr>
          <w:lang w:val="en-US"/>
        </w:rPr>
      </w:pPr>
      <w:r w:rsidRPr="00341EA1">
        <w:rPr>
          <w:lang w:val="en-US"/>
        </w:rPr>
        <w:t>markets in foreign currencies (</w:t>
      </w:r>
      <w:r w:rsidR="00792DF7" w:rsidRPr="00341EA1">
        <w:rPr>
          <w:lang w:val="en-US"/>
        </w:rPr>
        <w:t>FX markets</w:t>
      </w:r>
      <w:r w:rsidRPr="00341EA1">
        <w:rPr>
          <w:lang w:val="en-US"/>
        </w:rPr>
        <w:t>)</w:t>
      </w:r>
      <w:r w:rsidR="00792DF7" w:rsidRPr="00341EA1">
        <w:rPr>
          <w:lang w:val="en-US"/>
        </w:rPr>
        <w:t>,</w:t>
      </w:r>
    </w:p>
    <w:p w14:paraId="160F4575" w14:textId="77777777" w:rsidR="0033795F" w:rsidRPr="00197714" w:rsidRDefault="00AC5635" w:rsidP="00AB42AA">
      <w:pPr>
        <w:pStyle w:val="Listenabsatz"/>
        <w:numPr>
          <w:ilvl w:val="0"/>
          <w:numId w:val="11"/>
        </w:numPr>
        <w:rPr>
          <w:lang w:val="en-US"/>
        </w:rPr>
      </w:pPr>
      <w:r w:rsidRPr="00197714">
        <w:rPr>
          <w:lang w:val="en-US"/>
        </w:rPr>
        <w:lastRenderedPageBreak/>
        <w:t xml:space="preserve">money </w:t>
      </w:r>
      <w:r w:rsidRPr="00341EA1">
        <w:rPr>
          <w:szCs w:val="23"/>
          <w:lang w:val="en-GB"/>
        </w:rPr>
        <w:t>markets</w:t>
      </w:r>
      <w:r w:rsidRPr="00197714">
        <w:rPr>
          <w:lang w:val="en-US"/>
        </w:rPr>
        <w:t xml:space="preserve"> for debt instruments with short-term maturities (</w:t>
      </w:r>
      <w:r w:rsidR="00057180" w:rsidRPr="00197714">
        <w:rPr>
          <w:lang w:val="en-US"/>
        </w:rPr>
        <w:t xml:space="preserve">typically, </w:t>
      </w:r>
      <w:r w:rsidRPr="00197714">
        <w:rPr>
          <w:lang w:val="en-US"/>
        </w:rPr>
        <w:t xml:space="preserve">less than a year), and </w:t>
      </w:r>
    </w:p>
    <w:p w14:paraId="7E0992D7" w14:textId="2F897EC8" w:rsidR="001D3A4D" w:rsidRPr="00197714" w:rsidRDefault="00792DF7" w:rsidP="00AB42AA">
      <w:pPr>
        <w:pStyle w:val="Listenabsatz"/>
        <w:numPr>
          <w:ilvl w:val="0"/>
          <w:numId w:val="11"/>
        </w:numPr>
        <w:rPr>
          <w:lang w:val="en-US"/>
        </w:rPr>
      </w:pPr>
      <w:r w:rsidRPr="00197714">
        <w:rPr>
          <w:lang w:val="en-US"/>
        </w:rPr>
        <w:t>credit markets</w:t>
      </w:r>
      <w:r w:rsidR="00AC5635" w:rsidRPr="00197714">
        <w:rPr>
          <w:lang w:val="en-US"/>
        </w:rPr>
        <w:t>, e.g., credit facilities provided by banks</w:t>
      </w:r>
      <w:r w:rsidR="008A5A42" w:rsidRPr="00197714">
        <w:rPr>
          <w:lang w:val="en-US"/>
        </w:rPr>
        <w:t>, insurers,</w:t>
      </w:r>
      <w:r w:rsidR="00AC5635" w:rsidRPr="00197714">
        <w:rPr>
          <w:lang w:val="en-US"/>
        </w:rPr>
        <w:t xml:space="preserve"> or </w:t>
      </w:r>
      <w:r w:rsidR="008A5A42" w:rsidRPr="00197714">
        <w:rPr>
          <w:lang w:val="en-US"/>
        </w:rPr>
        <w:t xml:space="preserve">investment </w:t>
      </w:r>
      <w:r w:rsidR="00AC5635" w:rsidRPr="00197714">
        <w:rPr>
          <w:lang w:val="en-US"/>
        </w:rPr>
        <w:t xml:space="preserve">funds. </w:t>
      </w:r>
    </w:p>
    <w:p w14:paraId="0F2A7554" w14:textId="77777777" w:rsidR="00974B9E" w:rsidRPr="002121A4" w:rsidRDefault="00974B9E" w:rsidP="00974B9E">
      <w:pPr>
        <w:pStyle w:val="berschrift4"/>
        <w:rPr>
          <w:lang w:val="en-GB"/>
        </w:rPr>
      </w:pPr>
      <w:r w:rsidRPr="002121A4">
        <w:rPr>
          <w:lang w:val="en-GB"/>
        </w:rPr>
        <w:t>Related areas of law</w:t>
      </w:r>
    </w:p>
    <w:p w14:paraId="48D1896F" w14:textId="0E384C96" w:rsidR="00974B9E" w:rsidRPr="002121A4" w:rsidRDefault="00974B9E" w:rsidP="00BF5E97">
      <w:pPr>
        <w:pStyle w:val="Standardwithparanumbering"/>
      </w:pPr>
      <w:r w:rsidRPr="002121A4">
        <w:t xml:space="preserve">Capital markets law is linked to many other areas of law. These include corporate law (regime applicable to shares), private law (regime applicable to bonds), banking law (role of investment firms), and insolvency law (determining the rights of investors in case of an issuer’s bankruptcy). </w:t>
      </w:r>
      <w:r w:rsidR="00012485" w:rsidRPr="002121A4">
        <w:t>The interplay between c</w:t>
      </w:r>
      <w:r w:rsidR="007429DD" w:rsidRPr="002121A4">
        <w:t xml:space="preserve">apital market instruments and related areas of law </w:t>
      </w:r>
      <w:r w:rsidR="00012485" w:rsidRPr="002121A4">
        <w:t xml:space="preserve">is </w:t>
      </w:r>
      <w:r w:rsidR="007429DD" w:rsidRPr="002121A4">
        <w:t xml:space="preserve">addressed more fully in chapter </w:t>
      </w:r>
      <w:r w:rsidR="007429DD" w:rsidRPr="002121A4">
        <w:fldChar w:fldCharType="begin"/>
      </w:r>
      <w:r w:rsidR="007429DD" w:rsidRPr="002121A4">
        <w:instrText xml:space="preserve"> REF _Ref130823714 \r \h </w:instrText>
      </w:r>
      <w:r w:rsidR="007429DD" w:rsidRPr="002121A4">
        <w:fldChar w:fldCharType="separate"/>
      </w:r>
      <w:r w:rsidR="00D56145">
        <w:t>2</w:t>
      </w:r>
      <w:r w:rsidR="007429DD" w:rsidRPr="002121A4">
        <w:fldChar w:fldCharType="end"/>
      </w:r>
      <w:r w:rsidR="007429DD" w:rsidRPr="002121A4">
        <w:t xml:space="preserve"> p. </w:t>
      </w:r>
      <w:r w:rsidR="007429DD" w:rsidRPr="002121A4">
        <w:fldChar w:fldCharType="begin"/>
      </w:r>
      <w:r w:rsidR="007429DD" w:rsidRPr="002121A4">
        <w:instrText xml:space="preserve"> PAGEREF _Ref130823717 \h </w:instrText>
      </w:r>
      <w:r w:rsidR="007429DD" w:rsidRPr="002121A4">
        <w:fldChar w:fldCharType="separate"/>
      </w:r>
      <w:r w:rsidR="00D56145">
        <w:rPr>
          <w:noProof/>
        </w:rPr>
        <w:t>16</w:t>
      </w:r>
      <w:r w:rsidR="007429DD" w:rsidRPr="002121A4">
        <w:fldChar w:fldCharType="end"/>
      </w:r>
      <w:r w:rsidR="007429DD" w:rsidRPr="002121A4">
        <w:t>ff. below.</w:t>
      </w:r>
    </w:p>
    <w:p w14:paraId="3451FBA2" w14:textId="5FD4E493" w:rsidR="00976944" w:rsidRPr="002121A4" w:rsidRDefault="00976944" w:rsidP="00162BB1">
      <w:pPr>
        <w:pStyle w:val="berschrift3"/>
        <w:rPr>
          <w:lang w:val="en-GB"/>
        </w:rPr>
      </w:pPr>
      <w:r w:rsidRPr="002121A4">
        <w:rPr>
          <w:lang w:val="en-GB"/>
        </w:rPr>
        <w:t>What are capital market places</w:t>
      </w:r>
      <w:r w:rsidR="00F256DA" w:rsidRPr="002121A4">
        <w:rPr>
          <w:lang w:val="en-GB"/>
        </w:rPr>
        <w:t>,</w:t>
      </w:r>
      <w:r w:rsidRPr="002121A4">
        <w:rPr>
          <w:lang w:val="en-GB"/>
        </w:rPr>
        <w:t xml:space="preserve"> </w:t>
      </w:r>
      <w:r w:rsidR="000260D9" w:rsidRPr="002121A4">
        <w:rPr>
          <w:lang w:val="en-GB"/>
        </w:rPr>
        <w:t xml:space="preserve">capital market transactions, </w:t>
      </w:r>
      <w:r w:rsidRPr="002121A4">
        <w:rPr>
          <w:lang w:val="en-GB"/>
        </w:rPr>
        <w:t xml:space="preserve">and </w:t>
      </w:r>
      <w:r w:rsidR="00F256DA" w:rsidRPr="002121A4">
        <w:rPr>
          <w:lang w:val="en-GB"/>
        </w:rPr>
        <w:t xml:space="preserve">who are capital </w:t>
      </w:r>
      <w:r w:rsidR="002370BF" w:rsidRPr="002121A4">
        <w:rPr>
          <w:lang w:val="en-GB"/>
        </w:rPr>
        <w:t>market participants</w:t>
      </w:r>
      <w:r w:rsidRPr="002121A4">
        <w:rPr>
          <w:lang w:val="en-GB"/>
        </w:rPr>
        <w:t>?</w:t>
      </w:r>
    </w:p>
    <w:p w14:paraId="5997BF03" w14:textId="7F4CBE59" w:rsidR="00103707" w:rsidRPr="002121A4" w:rsidRDefault="00103707" w:rsidP="00103707">
      <w:pPr>
        <w:pStyle w:val="berschrift4"/>
        <w:rPr>
          <w:lang w:val="en-GB"/>
        </w:rPr>
      </w:pPr>
      <w:bookmarkStart w:id="9" w:name="_Ref130828535"/>
      <w:bookmarkStart w:id="10" w:name="_Hlk130493578"/>
      <w:bookmarkStart w:id="11" w:name="_Ref125366701"/>
      <w:r w:rsidRPr="002121A4">
        <w:rPr>
          <w:lang w:val="en-GB"/>
        </w:rPr>
        <w:t>Trading venues</w:t>
      </w:r>
      <w:bookmarkEnd w:id="9"/>
    </w:p>
    <w:bookmarkEnd w:id="10"/>
    <w:p w14:paraId="3BDFB063" w14:textId="30BA0F85" w:rsidR="007813CE" w:rsidRPr="002121A4" w:rsidRDefault="00D818C3">
      <w:pPr>
        <w:pStyle w:val="Standardwithparanumbering"/>
      </w:pPr>
      <w:r w:rsidRPr="002121A4">
        <w:t xml:space="preserve">As regards the trading of capital market instruments, </w:t>
      </w:r>
      <w:r w:rsidR="00311698" w:rsidRPr="002121A4">
        <w:t>EU capital market law provides for different types of trading facilities</w:t>
      </w:r>
      <w:r w:rsidR="00A77FBB" w:rsidRPr="002121A4">
        <w:t>:</w:t>
      </w:r>
      <w:r w:rsidR="00311698" w:rsidRPr="002121A4">
        <w:t xml:space="preserve"> “</w:t>
      </w:r>
      <w:r w:rsidRPr="002121A4">
        <w:t>M</w:t>
      </w:r>
      <w:r w:rsidR="00311698" w:rsidRPr="002121A4">
        <w:t>ultilateral systems”</w:t>
      </w:r>
      <w:r w:rsidRPr="002121A4">
        <w:t xml:space="preserve"> include </w:t>
      </w:r>
      <w:r w:rsidR="00311698" w:rsidRPr="002121A4">
        <w:t>“regulated markets”, “multilateral trading facilities”</w:t>
      </w:r>
      <w:r w:rsidR="006736F0" w:rsidRPr="002121A4">
        <w:t xml:space="preserve"> (MTFs)</w:t>
      </w:r>
      <w:r w:rsidR="00311698" w:rsidRPr="002121A4">
        <w:t>, and “organ</w:t>
      </w:r>
      <w:r w:rsidR="00706D6F" w:rsidRPr="002121A4">
        <w:t>ized</w:t>
      </w:r>
      <w:r w:rsidR="00311698" w:rsidRPr="002121A4">
        <w:t xml:space="preserve"> trading facilities”</w:t>
      </w:r>
      <w:r w:rsidR="006736F0" w:rsidRPr="002121A4">
        <w:t xml:space="preserve"> (OTFs)</w:t>
      </w:r>
      <w:r w:rsidR="00F967EE" w:rsidRPr="002121A4">
        <w:t>.</w:t>
      </w:r>
      <w:r w:rsidR="00F967EE" w:rsidRPr="002121A4">
        <w:rPr>
          <w:rStyle w:val="Funotenzeichen"/>
        </w:rPr>
        <w:footnoteReference w:id="6"/>
      </w:r>
      <w:r w:rsidR="00F967EE" w:rsidRPr="002121A4">
        <w:t xml:space="preserve"> These multilateral systems</w:t>
      </w:r>
      <w:r w:rsidR="006736F0" w:rsidRPr="002121A4">
        <w:t xml:space="preserve"> are also referred to as “trading venues”</w:t>
      </w:r>
      <w:r w:rsidR="00311698" w:rsidRPr="002121A4">
        <w:t>.</w:t>
      </w:r>
      <w:r w:rsidR="00311698" w:rsidRPr="002121A4">
        <w:rPr>
          <w:rStyle w:val="Funotenzeichen"/>
        </w:rPr>
        <w:footnoteReference w:id="7"/>
      </w:r>
      <w:r w:rsidR="00311698" w:rsidRPr="002121A4">
        <w:t xml:space="preserve"> </w:t>
      </w:r>
      <w:r w:rsidR="00E1258B" w:rsidRPr="002121A4">
        <w:t>Trade</w:t>
      </w:r>
      <w:r w:rsidR="000B7188" w:rsidRPr="002121A4">
        <w:t>s</w:t>
      </w:r>
      <w:r w:rsidR="00E1258B" w:rsidRPr="002121A4">
        <w:t xml:space="preserve"> </w:t>
      </w:r>
      <w:r w:rsidR="004B09EB" w:rsidRPr="002121A4">
        <w:t xml:space="preserve">in financial instruments </w:t>
      </w:r>
      <w:r w:rsidR="00E1258B" w:rsidRPr="002121A4">
        <w:t xml:space="preserve">can also occur outside such multilateral </w:t>
      </w:r>
      <w:r w:rsidR="00654A19" w:rsidRPr="002121A4">
        <w:t>systems</w:t>
      </w:r>
      <w:r w:rsidR="00E1258B" w:rsidRPr="002121A4">
        <w:t>, for example, “over the counter”</w:t>
      </w:r>
      <w:r w:rsidR="00A8109B" w:rsidRPr="002121A4">
        <w:t xml:space="preserve"> (OTC)</w:t>
      </w:r>
      <w:r w:rsidR="00D15953" w:rsidRPr="002121A4">
        <w:rPr>
          <w:rStyle w:val="Funotenzeichen"/>
        </w:rPr>
        <w:footnoteReference w:id="8"/>
      </w:r>
      <w:r w:rsidR="00E1258B" w:rsidRPr="002121A4">
        <w:t xml:space="preserve"> or through </w:t>
      </w:r>
      <w:r w:rsidRPr="002121A4">
        <w:t>“</w:t>
      </w:r>
      <w:r w:rsidR="00E1258B" w:rsidRPr="002121A4">
        <w:t xml:space="preserve">systematic </w:t>
      </w:r>
      <w:proofErr w:type="spellStart"/>
      <w:r w:rsidR="00E1258B" w:rsidRPr="002121A4">
        <w:t>internalisers</w:t>
      </w:r>
      <w:proofErr w:type="spellEnd"/>
      <w:r w:rsidRPr="002121A4">
        <w:t>”</w:t>
      </w:r>
      <w:r w:rsidR="00D15953" w:rsidRPr="002121A4">
        <w:rPr>
          <w:rStyle w:val="Funotenzeichen"/>
        </w:rPr>
        <w:footnoteReference w:id="9"/>
      </w:r>
      <w:r w:rsidR="00E1258B" w:rsidRPr="002121A4">
        <w:t>.</w:t>
      </w:r>
      <w:bookmarkEnd w:id="11"/>
      <w:r w:rsidR="006A3E2B" w:rsidRPr="002121A4">
        <w:t xml:space="preserve"> The most prominent venues – regulated markets and MTFs – are described in more detail below.</w:t>
      </w:r>
    </w:p>
    <w:p w14:paraId="5F4CC68B" w14:textId="689A3873" w:rsidR="00103707" w:rsidRPr="002121A4" w:rsidRDefault="00103707" w:rsidP="00103707">
      <w:pPr>
        <w:pStyle w:val="berschrift5"/>
        <w:rPr>
          <w:lang w:val="en-GB"/>
        </w:rPr>
      </w:pPr>
      <w:bookmarkStart w:id="12" w:name="_Ref129889163"/>
      <w:r w:rsidRPr="002121A4">
        <w:rPr>
          <w:lang w:val="en-GB"/>
        </w:rPr>
        <w:t>Regulated Markets</w:t>
      </w:r>
      <w:bookmarkEnd w:id="12"/>
    </w:p>
    <w:p w14:paraId="2E88E2B6" w14:textId="406A4FDF" w:rsidR="00103707" w:rsidRPr="002121A4" w:rsidRDefault="00F85E77" w:rsidP="00576727">
      <w:pPr>
        <w:pStyle w:val="Standardwithparanumbering"/>
      </w:pPr>
      <w:r w:rsidRPr="002121A4">
        <w:t>MiFID II defines a</w:t>
      </w:r>
      <w:r w:rsidR="00DC2507" w:rsidRPr="002121A4">
        <w:t xml:space="preserve"> “regulated market” as a multilateral system, which brings together multiple third-party buying and selling interests in financial instruments in accordance with non-discretionary rules in a way that results in a contract, in respect of the financial instruments admitted to trading under its rules and/or systems, and which is author</w:t>
      </w:r>
      <w:r w:rsidR="00706D6F" w:rsidRPr="002121A4">
        <w:t>ized</w:t>
      </w:r>
      <w:r w:rsidR="00DC2507" w:rsidRPr="002121A4">
        <w:t xml:space="preserve"> and functions regularly and in accordance with Title III of </w:t>
      </w:r>
      <w:r w:rsidR="00DD52FB" w:rsidRPr="002121A4">
        <w:t>MiFID II</w:t>
      </w:r>
      <w:r w:rsidR="00DC2507" w:rsidRPr="002121A4">
        <w:t>.</w:t>
      </w:r>
      <w:r w:rsidR="00DD52FB" w:rsidRPr="002121A4">
        <w:rPr>
          <w:rStyle w:val="Funotenzeichen"/>
        </w:rPr>
        <w:footnoteReference w:id="10"/>
      </w:r>
      <w:r w:rsidR="00DC2507" w:rsidRPr="002121A4">
        <w:t xml:space="preserve"> Th</w:t>
      </w:r>
      <w:r w:rsidR="00FA1658" w:rsidRPr="002121A4">
        <w:t>e corresponding term under German law is that of an “</w:t>
      </w:r>
      <w:proofErr w:type="spellStart"/>
      <w:r w:rsidR="00FA1658" w:rsidRPr="002121A4">
        <w:rPr>
          <w:i/>
        </w:rPr>
        <w:t>organisierter</w:t>
      </w:r>
      <w:proofErr w:type="spellEnd"/>
      <w:r w:rsidR="00FA1658" w:rsidRPr="002121A4">
        <w:rPr>
          <w:i/>
        </w:rPr>
        <w:t xml:space="preserve"> Markt</w:t>
      </w:r>
      <w:r w:rsidR="00FA1658" w:rsidRPr="002121A4">
        <w:t xml:space="preserve">” within the meaning of </w:t>
      </w:r>
      <w:r w:rsidR="00DC2507" w:rsidRPr="002121A4">
        <w:t>§ 2</w:t>
      </w:r>
      <w:r w:rsidR="004A5497" w:rsidRPr="002121A4">
        <w:t>(</w:t>
      </w:r>
      <w:r w:rsidR="00DC2507" w:rsidRPr="002121A4">
        <w:t>11</w:t>
      </w:r>
      <w:r w:rsidR="004A5497" w:rsidRPr="002121A4">
        <w:t>)</w:t>
      </w:r>
      <w:r w:rsidR="00DC2507" w:rsidRPr="002121A4">
        <w:t xml:space="preserve"> </w:t>
      </w:r>
      <w:proofErr w:type="spellStart"/>
      <w:r w:rsidR="00DC2507" w:rsidRPr="002121A4">
        <w:t>WpHG</w:t>
      </w:r>
      <w:proofErr w:type="spellEnd"/>
      <w:r w:rsidR="00DC2507" w:rsidRPr="002121A4">
        <w:t xml:space="preserve">. </w:t>
      </w:r>
      <w:r w:rsidR="004A5497" w:rsidRPr="002121A4">
        <w:t xml:space="preserve">Pursuant to </w:t>
      </w:r>
      <w:r w:rsidR="001870C0" w:rsidRPr="002121A4">
        <w:t>article </w:t>
      </w:r>
      <w:r w:rsidR="004A5497" w:rsidRPr="002121A4">
        <w:t>4(1)(21) MiFID</w:t>
      </w:r>
      <w:r w:rsidR="00012485" w:rsidRPr="002121A4">
        <w:t> </w:t>
      </w:r>
      <w:r w:rsidR="004A5497" w:rsidRPr="002121A4">
        <w:t>II, a</w:t>
      </w:r>
      <w:r w:rsidR="00727944" w:rsidRPr="002121A4">
        <w:t xml:space="preserve"> “regulated market” requires author</w:t>
      </w:r>
      <w:r w:rsidR="00706D6F" w:rsidRPr="002121A4">
        <w:t>ization</w:t>
      </w:r>
      <w:r w:rsidR="00727944" w:rsidRPr="002121A4">
        <w:t xml:space="preserve"> and </w:t>
      </w:r>
      <w:r w:rsidR="00DC2507" w:rsidRPr="002121A4">
        <w:t>operation of the market</w:t>
      </w:r>
      <w:r w:rsidR="00727944" w:rsidRPr="002121A4">
        <w:t xml:space="preserve"> in accordance with title III of MiFID II.</w:t>
      </w:r>
      <w:r w:rsidR="000657F2" w:rsidRPr="002121A4">
        <w:t xml:space="preserve"> A regulated market will only be author</w:t>
      </w:r>
      <w:r w:rsidR="00706D6F" w:rsidRPr="002121A4">
        <w:t>ized</w:t>
      </w:r>
      <w:r w:rsidR="000657F2" w:rsidRPr="002121A4">
        <w:t xml:space="preserve"> if both the market operator and the systems of the market comply with MiFID II requirements.</w:t>
      </w:r>
      <w:r w:rsidR="000657F2" w:rsidRPr="002121A4">
        <w:rPr>
          <w:rStyle w:val="Funotenzeichen"/>
        </w:rPr>
        <w:footnoteReference w:id="11"/>
      </w:r>
      <w:r w:rsidR="000657F2" w:rsidRPr="002121A4">
        <w:t xml:space="preserve"> This includes, in particular, organ</w:t>
      </w:r>
      <w:r w:rsidR="00706D6F" w:rsidRPr="002121A4">
        <w:t>ization</w:t>
      </w:r>
      <w:r w:rsidR="000657F2" w:rsidRPr="002121A4">
        <w:t xml:space="preserve">al </w:t>
      </w:r>
      <w:r w:rsidR="00465799" w:rsidRPr="002121A4">
        <w:t>safeguard</w:t>
      </w:r>
      <w:r w:rsidR="000657F2" w:rsidRPr="002121A4">
        <w:t>s a</w:t>
      </w:r>
      <w:r w:rsidR="00465799" w:rsidRPr="002121A4">
        <w:t>s</w:t>
      </w:r>
      <w:r w:rsidR="000657F2" w:rsidRPr="002121A4">
        <w:t xml:space="preserve"> regards conflicts of interest, operational risks, fair and orderly trading, and the efficient and timely final</w:t>
      </w:r>
      <w:r w:rsidR="00706D6F" w:rsidRPr="002121A4">
        <w:t>ization</w:t>
      </w:r>
      <w:r w:rsidR="000657F2" w:rsidRPr="002121A4">
        <w:t xml:space="preserve"> of transactions,</w:t>
      </w:r>
      <w:r w:rsidR="000657F2" w:rsidRPr="002121A4">
        <w:rPr>
          <w:rStyle w:val="Funotenzeichen"/>
        </w:rPr>
        <w:footnoteReference w:id="12"/>
      </w:r>
      <w:r w:rsidR="000657F2" w:rsidRPr="002121A4">
        <w:t xml:space="preserve"> and requirements as to system resilience, circuit breakers and electronic trading.</w:t>
      </w:r>
      <w:r w:rsidR="000657F2" w:rsidRPr="002121A4">
        <w:rPr>
          <w:rStyle w:val="Funotenzeichen"/>
        </w:rPr>
        <w:footnoteReference w:id="13"/>
      </w:r>
      <w:r w:rsidR="000657F2" w:rsidRPr="002121A4">
        <w:t xml:space="preserve"> The operation of a regulated market is limited to </w:t>
      </w:r>
      <w:r w:rsidR="00D24D25" w:rsidRPr="002121A4">
        <w:t>market operator</w:t>
      </w:r>
      <w:r w:rsidR="000657F2" w:rsidRPr="002121A4">
        <w:t>s</w:t>
      </w:r>
      <w:r w:rsidR="00D24D25" w:rsidRPr="002121A4">
        <w:t xml:space="preserve"> </w:t>
      </w:r>
      <w:r w:rsidR="00727944" w:rsidRPr="002121A4">
        <w:t>author</w:t>
      </w:r>
      <w:r w:rsidR="00706D6F" w:rsidRPr="002121A4">
        <w:t>ized</w:t>
      </w:r>
      <w:r w:rsidR="00727944" w:rsidRPr="002121A4">
        <w:t xml:space="preserve"> </w:t>
      </w:r>
      <w:r w:rsidR="00E1258B" w:rsidRPr="002121A4">
        <w:t>under MiFID</w:t>
      </w:r>
      <w:r w:rsidR="00D24D25" w:rsidRPr="002121A4">
        <w:t xml:space="preserve"> II</w:t>
      </w:r>
      <w:r w:rsidR="00E1258B" w:rsidRPr="002121A4">
        <w:t>,</w:t>
      </w:r>
      <w:r w:rsidR="00D24D25" w:rsidRPr="002121A4">
        <w:t xml:space="preserve"> while MTFs and OTFs can also be operated by investment firms.</w:t>
      </w:r>
      <w:r w:rsidR="00E1258B" w:rsidRPr="002121A4">
        <w:t xml:space="preserve"> </w:t>
      </w:r>
      <w:r w:rsidR="00103707" w:rsidRPr="002121A4">
        <w:t xml:space="preserve">In </w:t>
      </w:r>
      <w:r w:rsidR="00103707" w:rsidRPr="002121A4">
        <w:lastRenderedPageBreak/>
        <w:t xml:space="preserve">Germany, the operation of regulated markets is governed by the </w:t>
      </w:r>
      <w:proofErr w:type="spellStart"/>
      <w:r w:rsidR="00465799" w:rsidRPr="002121A4">
        <w:rPr>
          <w:i/>
        </w:rPr>
        <w:t>Börsengesetz</w:t>
      </w:r>
      <w:proofErr w:type="spellEnd"/>
      <w:r w:rsidR="00606521" w:rsidRPr="002121A4">
        <w:rPr>
          <w:i/>
        </w:rPr>
        <w:t xml:space="preserve"> </w:t>
      </w:r>
      <w:r w:rsidR="00606521" w:rsidRPr="002121A4">
        <w:t>(</w:t>
      </w:r>
      <w:proofErr w:type="spellStart"/>
      <w:r w:rsidR="00606521" w:rsidRPr="002121A4">
        <w:t>BörsG</w:t>
      </w:r>
      <w:proofErr w:type="spellEnd"/>
      <w:r w:rsidR="00606521" w:rsidRPr="002121A4">
        <w:t>)</w:t>
      </w:r>
      <w:r w:rsidR="00103707" w:rsidRPr="002121A4">
        <w:t xml:space="preserve">, which differentiates between the market operator and the market itself (§§ 2, 5 </w:t>
      </w:r>
      <w:proofErr w:type="spellStart"/>
      <w:r w:rsidR="00103707" w:rsidRPr="002121A4">
        <w:t>BörsG</w:t>
      </w:r>
      <w:proofErr w:type="spellEnd"/>
      <w:r w:rsidR="00103707" w:rsidRPr="002121A4">
        <w:t xml:space="preserve">). The most prominent example of a regulated market in Germany is the </w:t>
      </w:r>
      <w:r w:rsidR="00103707" w:rsidRPr="002121A4">
        <w:rPr>
          <w:i/>
        </w:rPr>
        <w:t xml:space="preserve">Frankfurter </w:t>
      </w:r>
      <w:proofErr w:type="spellStart"/>
      <w:r w:rsidR="00103707" w:rsidRPr="002121A4">
        <w:rPr>
          <w:i/>
        </w:rPr>
        <w:t>Wertpapierbörse</w:t>
      </w:r>
      <w:proofErr w:type="spellEnd"/>
      <w:r w:rsidR="004A5497" w:rsidRPr="002121A4">
        <w:rPr>
          <w:i/>
        </w:rPr>
        <w:t xml:space="preserve"> </w:t>
      </w:r>
      <w:r w:rsidR="004A5497" w:rsidRPr="002121A4">
        <w:t>(FWB)</w:t>
      </w:r>
      <w:r w:rsidR="00103707" w:rsidRPr="002121A4">
        <w:t xml:space="preserve">, which is operated by </w:t>
      </w:r>
      <w:r w:rsidR="00103707" w:rsidRPr="002121A4">
        <w:rPr>
          <w:i/>
        </w:rPr>
        <w:t>Deutsche Börse AG</w:t>
      </w:r>
      <w:r w:rsidR="00103707" w:rsidRPr="002121A4">
        <w:t>.</w:t>
      </w:r>
    </w:p>
    <w:p w14:paraId="052A46D9" w14:textId="56547550" w:rsidR="000657F2" w:rsidRPr="002121A4" w:rsidRDefault="000657F2" w:rsidP="000657F2">
      <w:pPr>
        <w:pStyle w:val="Standardwithparanumbering"/>
      </w:pPr>
      <w:r w:rsidRPr="002121A4">
        <w:t xml:space="preserve">Access </w:t>
      </w:r>
      <w:r w:rsidR="005072DE" w:rsidRPr="002121A4">
        <w:t xml:space="preserve">of market participants </w:t>
      </w:r>
      <w:r w:rsidRPr="002121A4">
        <w:t xml:space="preserve">to </w:t>
      </w:r>
      <w:r w:rsidR="00AA74E0">
        <w:t xml:space="preserve">a </w:t>
      </w:r>
      <w:r w:rsidRPr="002121A4">
        <w:t>regulated market is subject to a number of restrictions</w:t>
      </w:r>
      <w:r w:rsidR="005072DE" w:rsidRPr="002121A4">
        <w:t>:</w:t>
      </w:r>
      <w:r w:rsidRPr="002121A4">
        <w:t xml:space="preserve"> A regulated market must establish transparent and non-discriminatory rules governing access to or membership of the regulated market.</w:t>
      </w:r>
      <w:r w:rsidRPr="002121A4">
        <w:rPr>
          <w:rStyle w:val="Funotenzeichen"/>
        </w:rPr>
        <w:footnoteReference w:id="14"/>
      </w:r>
      <w:r w:rsidR="004A5497" w:rsidRPr="002121A4">
        <w:t xml:space="preserve"> In the case of FWB, these rules are contained in the stock exchange rules (</w:t>
      </w:r>
      <w:proofErr w:type="spellStart"/>
      <w:r w:rsidR="004A5497" w:rsidRPr="002121A4">
        <w:rPr>
          <w:i/>
        </w:rPr>
        <w:t>Börsenordnung</w:t>
      </w:r>
      <w:proofErr w:type="spellEnd"/>
      <w:r w:rsidR="004A5497" w:rsidRPr="002121A4">
        <w:t xml:space="preserve">, </w:t>
      </w:r>
      <w:proofErr w:type="spellStart"/>
      <w:r w:rsidR="004A5497" w:rsidRPr="002121A4">
        <w:t>BörsO</w:t>
      </w:r>
      <w:proofErr w:type="spellEnd"/>
      <w:r w:rsidR="004A5497" w:rsidRPr="002121A4">
        <w:t>)</w:t>
      </w:r>
      <w:r w:rsidR="00DD093F" w:rsidRPr="002121A4">
        <w:t xml:space="preserve"> established pursuant to § 16 </w:t>
      </w:r>
      <w:proofErr w:type="spellStart"/>
      <w:r w:rsidR="00DD093F" w:rsidRPr="002121A4">
        <w:t>BörsG</w:t>
      </w:r>
      <w:proofErr w:type="spellEnd"/>
      <w:r w:rsidR="004A5497" w:rsidRPr="002121A4">
        <w:t>.</w:t>
      </w:r>
      <w:r w:rsidRPr="002121A4">
        <w:t xml:space="preserve"> </w:t>
      </w:r>
      <w:r w:rsidR="00674186" w:rsidRPr="002121A4">
        <w:t>A regulated market</w:t>
      </w:r>
      <w:r w:rsidRPr="002121A4">
        <w:t xml:space="preserve"> may admit as members or participants investment firms, credit institutions author</w:t>
      </w:r>
      <w:r w:rsidR="00706D6F" w:rsidRPr="002121A4">
        <w:t>ized</w:t>
      </w:r>
      <w:r w:rsidRPr="002121A4">
        <w:t xml:space="preserve"> under Directive 2013/36/EU and other persons who are of sufficient good repute, have a sufficient level of trading ability, competence and experience, have, where applicable, adequate organ</w:t>
      </w:r>
      <w:r w:rsidR="00706D6F" w:rsidRPr="002121A4">
        <w:t>ization</w:t>
      </w:r>
      <w:r w:rsidRPr="002121A4">
        <w:t>al arrangements, and have sufficient resources.</w:t>
      </w:r>
      <w:r w:rsidRPr="002121A4">
        <w:rPr>
          <w:rStyle w:val="Funotenzeichen"/>
        </w:rPr>
        <w:footnoteReference w:id="15"/>
      </w:r>
    </w:p>
    <w:p w14:paraId="09ADBAC6" w14:textId="5CDE255E" w:rsidR="005E1C90" w:rsidRPr="002121A4" w:rsidRDefault="005E1C90" w:rsidP="00066C3A">
      <w:pPr>
        <w:pStyle w:val="Standardwithparanumbering"/>
      </w:pPr>
      <w:bookmarkStart w:id="13" w:name="_Ref130487014"/>
      <w:r w:rsidRPr="002121A4">
        <w:t>Regulated markets must have clear and transparent rules regarding the admission of financial instruments to trading,</w:t>
      </w:r>
      <w:r w:rsidRPr="002121A4">
        <w:rPr>
          <w:rStyle w:val="Funotenzeichen"/>
        </w:rPr>
        <w:footnoteReference w:id="16"/>
      </w:r>
      <w:r w:rsidRPr="002121A4">
        <w:t xml:space="preserve"> e.g., in Germany, § 32 </w:t>
      </w:r>
      <w:proofErr w:type="spellStart"/>
      <w:r w:rsidRPr="002121A4">
        <w:t>BörsG</w:t>
      </w:r>
      <w:proofErr w:type="spellEnd"/>
      <w:r w:rsidR="00DC2507" w:rsidRPr="002121A4">
        <w:t xml:space="preserve"> in conjunction with the admission rules under the </w:t>
      </w:r>
      <w:proofErr w:type="spellStart"/>
      <w:r w:rsidR="002A3D60" w:rsidRPr="002121A4">
        <w:rPr>
          <w:i/>
        </w:rPr>
        <w:t>Börsenzulassungsverordnung</w:t>
      </w:r>
      <w:proofErr w:type="spellEnd"/>
      <w:r w:rsidR="002A3D60" w:rsidRPr="002121A4">
        <w:t xml:space="preserve"> (</w:t>
      </w:r>
      <w:proofErr w:type="spellStart"/>
      <w:r w:rsidR="00DC2507" w:rsidRPr="002121A4">
        <w:t>BörsZulV</w:t>
      </w:r>
      <w:proofErr w:type="spellEnd"/>
      <w:r w:rsidR="002A3D60" w:rsidRPr="002121A4">
        <w:t>)</w:t>
      </w:r>
      <w:r w:rsidRPr="002121A4">
        <w:t>. These rules must be designed to ensure that financial instruments admitted to trading on a regulated market are capable of being traded in a fair, orderly and efficient manner and, in the case of transferable securities, are freely negotiable.</w:t>
      </w:r>
      <w:r w:rsidR="00F657B1" w:rsidRPr="002121A4">
        <w:rPr>
          <w:rStyle w:val="Funotenzeichen"/>
        </w:rPr>
        <w:footnoteReference w:id="17"/>
      </w:r>
      <w:r w:rsidRPr="002121A4">
        <w:t xml:space="preserve"> A market operator may suspend or remove from trading a financial instrument which no longer complies with the rules of the regulated market unless such suspension or removal would be likely to cause significant damage to the investors’ interests or the orderly functioning of the market.</w:t>
      </w:r>
      <w:r w:rsidR="007C3091" w:rsidRPr="002121A4">
        <w:rPr>
          <w:rStyle w:val="Funotenzeichen"/>
        </w:rPr>
        <w:footnoteReference w:id="18"/>
      </w:r>
      <w:bookmarkEnd w:id="13"/>
    </w:p>
    <w:p w14:paraId="5475B8B5" w14:textId="14B8F88A" w:rsidR="00065D5E" w:rsidRPr="002121A4" w:rsidRDefault="002C22B4" w:rsidP="0004734F">
      <w:pPr>
        <w:pStyle w:val="Standardwithparanumbering"/>
      </w:pPr>
      <w:bookmarkStart w:id="14" w:name="_Ref129888251"/>
      <w:r w:rsidRPr="002121A4">
        <w:t>Admission of securities to a regulated market will come with additional requirements under the Prospectus Regulation, the Transparency Directive and the Takeover Bid Directive.</w:t>
      </w:r>
      <w:r w:rsidR="009759CA" w:rsidRPr="002121A4">
        <w:rPr>
          <w:rStyle w:val="Funotenzeichen"/>
        </w:rPr>
        <w:footnoteReference w:id="19"/>
      </w:r>
      <w:r w:rsidRPr="002121A4">
        <w:t xml:space="preserve"> </w:t>
      </w:r>
      <w:r w:rsidR="00C8730F" w:rsidRPr="002121A4">
        <w:t>In addition</w:t>
      </w:r>
      <w:r w:rsidR="007A21A0" w:rsidRPr="002121A4">
        <w:t>, the Shareholder Rights Directive and the Accounting Directive attach corporate and accounting law consequences to the listing on a regulated market, e.g., the requirement to publish a remuneration report</w:t>
      </w:r>
      <w:r w:rsidR="007A21A0" w:rsidRPr="002121A4">
        <w:rPr>
          <w:rStyle w:val="Funotenzeichen"/>
        </w:rPr>
        <w:footnoteReference w:id="20"/>
      </w:r>
      <w:r w:rsidR="007A21A0" w:rsidRPr="002121A4">
        <w:t xml:space="preserve"> and a corporate governance statement.</w:t>
      </w:r>
      <w:r w:rsidR="007A21A0" w:rsidRPr="002121A4">
        <w:rPr>
          <w:rStyle w:val="Funotenzeichen"/>
        </w:rPr>
        <w:footnoteReference w:id="21"/>
      </w:r>
      <w:r w:rsidR="007A21A0" w:rsidRPr="002121A4">
        <w:t xml:space="preserve"> </w:t>
      </w:r>
      <w:r w:rsidR="00854C9D" w:rsidRPr="002121A4">
        <w:t>Similarly,</w:t>
      </w:r>
      <w:r w:rsidR="00DD093F" w:rsidRPr="002121A4">
        <w:t xml:space="preserve"> a</w:t>
      </w:r>
      <w:r w:rsidRPr="002121A4">
        <w:t xml:space="preserve">t the level of </w:t>
      </w:r>
      <w:r w:rsidR="00E1679E" w:rsidRPr="002121A4">
        <w:t xml:space="preserve">German </w:t>
      </w:r>
      <w:r w:rsidRPr="002121A4">
        <w:t xml:space="preserve">domestic law, a stock company </w:t>
      </w:r>
      <w:r w:rsidR="00E1679E" w:rsidRPr="002121A4">
        <w:t xml:space="preserve">that </w:t>
      </w:r>
      <w:r w:rsidRPr="002121A4">
        <w:t xml:space="preserve">is “listed” within the meaning of § 3(2) </w:t>
      </w:r>
      <w:proofErr w:type="spellStart"/>
      <w:r w:rsidRPr="002121A4">
        <w:t>AktG</w:t>
      </w:r>
      <w:proofErr w:type="spellEnd"/>
      <w:r w:rsidR="006B1574" w:rsidRPr="002121A4">
        <w:t xml:space="preserve"> </w:t>
      </w:r>
      <w:r w:rsidR="00D10FEF" w:rsidRPr="002121A4">
        <w:t>is subject to a specific legal regime</w:t>
      </w:r>
      <w:r w:rsidRPr="002121A4">
        <w:t>,</w:t>
      </w:r>
      <w:r w:rsidR="00D10FEF" w:rsidRPr="002121A4">
        <w:rPr>
          <w:rStyle w:val="Funotenzeichen"/>
        </w:rPr>
        <w:footnoteReference w:id="22"/>
      </w:r>
      <w:r w:rsidRPr="002121A4">
        <w:t xml:space="preserve"> and th</w:t>
      </w:r>
      <w:r w:rsidR="009759CA" w:rsidRPr="002121A4">
        <w:t>e</w:t>
      </w:r>
      <w:r w:rsidRPr="002121A4">
        <w:t xml:space="preserve"> concept </w:t>
      </w:r>
      <w:r w:rsidR="002B0DA9" w:rsidRPr="002121A4">
        <w:t xml:space="preserve">of a </w:t>
      </w:r>
      <w:r w:rsidR="009759CA" w:rsidRPr="002121A4">
        <w:t>“</w:t>
      </w:r>
      <w:r w:rsidR="002B0DA9" w:rsidRPr="002121A4">
        <w:t>listed company</w:t>
      </w:r>
      <w:r w:rsidR="009759CA" w:rsidRPr="002121A4">
        <w:t>”</w:t>
      </w:r>
      <w:r w:rsidR="002B0DA9" w:rsidRPr="002121A4">
        <w:t xml:space="preserve"> (“</w:t>
      </w:r>
      <w:proofErr w:type="spellStart"/>
      <w:r w:rsidR="002B0DA9" w:rsidRPr="002121A4">
        <w:rPr>
          <w:i/>
        </w:rPr>
        <w:t>börsennotierte</w:t>
      </w:r>
      <w:proofErr w:type="spellEnd"/>
      <w:r w:rsidR="002B0DA9" w:rsidRPr="002121A4">
        <w:rPr>
          <w:i/>
        </w:rPr>
        <w:t xml:space="preserve"> Gesellschaft</w:t>
      </w:r>
      <w:r w:rsidR="002B0DA9" w:rsidRPr="002121A4">
        <w:t xml:space="preserve">”) </w:t>
      </w:r>
      <w:r w:rsidRPr="002121A4">
        <w:t xml:space="preserve">is limited to </w:t>
      </w:r>
      <w:r w:rsidR="00854C9D" w:rsidRPr="002121A4">
        <w:t xml:space="preserve">companies whose shares are admitted </w:t>
      </w:r>
      <w:r w:rsidRPr="002121A4">
        <w:t>to trading on a regulated market</w:t>
      </w:r>
      <w:r w:rsidR="00C213DC" w:rsidRPr="002121A4">
        <w:t>,</w:t>
      </w:r>
      <w:r w:rsidRPr="002121A4">
        <w:t xml:space="preserve"> and </w:t>
      </w:r>
      <w:r w:rsidR="00C213DC" w:rsidRPr="002121A4">
        <w:t xml:space="preserve">accordingly </w:t>
      </w:r>
      <w:r w:rsidRPr="002121A4">
        <w:t xml:space="preserve">does not extend to </w:t>
      </w:r>
      <w:r w:rsidR="0028586D" w:rsidRPr="002121A4">
        <w:t xml:space="preserve">shares admitted on </w:t>
      </w:r>
      <w:r w:rsidRPr="002121A4">
        <w:t>MTFs and other venues.</w:t>
      </w:r>
      <w:r w:rsidRPr="002121A4">
        <w:rPr>
          <w:rStyle w:val="Funotenzeichen"/>
        </w:rPr>
        <w:footnoteReference w:id="23"/>
      </w:r>
      <w:bookmarkEnd w:id="14"/>
      <w:r w:rsidR="002B0DA9" w:rsidRPr="002121A4">
        <w:t xml:space="preserve"> </w:t>
      </w:r>
      <w:r w:rsidR="00901B55" w:rsidRPr="002121A4">
        <w:t>Th</w:t>
      </w:r>
      <w:r w:rsidR="002B0DA9" w:rsidRPr="002121A4">
        <w:t>e</w:t>
      </w:r>
      <w:r w:rsidR="00901B55" w:rsidRPr="002121A4">
        <w:t xml:space="preserve"> </w:t>
      </w:r>
      <w:r w:rsidR="003D019B" w:rsidRPr="002121A4">
        <w:t>entire system</w:t>
      </w:r>
      <w:r w:rsidR="001D5858" w:rsidRPr="002121A4">
        <w:t xml:space="preserve"> of</w:t>
      </w:r>
      <w:r w:rsidR="003D019B" w:rsidRPr="002121A4">
        <w:t xml:space="preserve"> </w:t>
      </w:r>
      <w:r w:rsidR="00901B55" w:rsidRPr="002121A4">
        <w:t xml:space="preserve">legal </w:t>
      </w:r>
      <w:r w:rsidR="002B0DA9" w:rsidRPr="002121A4">
        <w:t xml:space="preserve">rules applying </w:t>
      </w:r>
      <w:r w:rsidR="002B0DA9" w:rsidRPr="002121A4">
        <w:lastRenderedPageBreak/>
        <w:t>to securities admitted to trading on regulated markets is designed to create a reliable framework for investors that is conducive to investor confidence</w:t>
      </w:r>
      <w:r w:rsidR="003467BE" w:rsidRPr="002121A4">
        <w:t xml:space="preserve"> and thus to the functioning of </w:t>
      </w:r>
      <w:r w:rsidR="00C27005" w:rsidRPr="002121A4">
        <w:t>these</w:t>
      </w:r>
      <w:r w:rsidR="003467BE" w:rsidRPr="002121A4">
        <w:t xml:space="preserve"> markets</w:t>
      </w:r>
      <w:r w:rsidR="00901B55" w:rsidRPr="002121A4">
        <w:t>.</w:t>
      </w:r>
      <w:r w:rsidR="00065D5E" w:rsidRPr="002121A4">
        <w:t xml:space="preserve"> </w:t>
      </w:r>
    </w:p>
    <w:p w14:paraId="189A331D" w14:textId="484FD802" w:rsidR="00103707" w:rsidRPr="002121A4" w:rsidRDefault="00103707" w:rsidP="00182874">
      <w:pPr>
        <w:pStyle w:val="berschrift5"/>
        <w:rPr>
          <w:lang w:val="en-GB"/>
        </w:rPr>
      </w:pPr>
      <w:r w:rsidRPr="002121A4">
        <w:rPr>
          <w:lang w:val="en-GB"/>
        </w:rPr>
        <w:t xml:space="preserve">Multilateral trading </w:t>
      </w:r>
      <w:r w:rsidR="00194A31" w:rsidRPr="002121A4">
        <w:rPr>
          <w:lang w:val="en-GB"/>
        </w:rPr>
        <w:t>facilities</w:t>
      </w:r>
    </w:p>
    <w:p w14:paraId="503C45D8" w14:textId="20BD00D3" w:rsidR="00A131B8" w:rsidRPr="002121A4" w:rsidRDefault="00194A31" w:rsidP="00A131B8">
      <w:pPr>
        <w:pStyle w:val="Standardwithparanumbering"/>
      </w:pPr>
      <w:r w:rsidRPr="002121A4">
        <w:t xml:space="preserve">Multilateral trading facilities </w:t>
      </w:r>
      <w:r w:rsidR="00665970" w:rsidRPr="002121A4">
        <w:t xml:space="preserve">(MTFs) </w:t>
      </w:r>
      <w:r w:rsidR="00AA74E0">
        <w:t xml:space="preserve">are an alternative trading venue </w:t>
      </w:r>
      <w:r w:rsidRPr="002121A4">
        <w:t xml:space="preserve">to regulated markets. </w:t>
      </w:r>
      <w:r w:rsidR="00665970" w:rsidRPr="002121A4">
        <w:t xml:space="preserve">What </w:t>
      </w:r>
      <w:r w:rsidR="004F215C" w:rsidRPr="002121A4">
        <w:t>MTFs</w:t>
      </w:r>
      <w:r w:rsidR="00665970" w:rsidRPr="002121A4">
        <w:t xml:space="preserve"> have in common </w:t>
      </w:r>
      <w:r w:rsidR="004F215C" w:rsidRPr="002121A4">
        <w:t>with regulated markets</w:t>
      </w:r>
      <w:r w:rsidR="00665970" w:rsidRPr="002121A4">
        <w:t xml:space="preserve"> is the </w:t>
      </w:r>
      <w:r w:rsidR="004F215C" w:rsidRPr="002121A4">
        <w:t xml:space="preserve">economic </w:t>
      </w:r>
      <w:r w:rsidR="00665970" w:rsidRPr="002121A4">
        <w:t xml:space="preserve">function to match supply of and demand for financial instruments. </w:t>
      </w:r>
      <w:r w:rsidR="002C6845">
        <w:t>T</w:t>
      </w:r>
      <w:r w:rsidR="00665970" w:rsidRPr="002121A4">
        <w:t>he legal framework</w:t>
      </w:r>
      <w:r w:rsidR="002C6845">
        <w:t xml:space="preserve"> </w:t>
      </w:r>
      <w:r w:rsidR="00665970" w:rsidRPr="002121A4">
        <w:t>follows certain principles applying to regulated market</w:t>
      </w:r>
      <w:r w:rsidR="00B22C4B" w:rsidRPr="002121A4">
        <w:t>s</w:t>
      </w:r>
      <w:r w:rsidR="00665970" w:rsidRPr="002121A4">
        <w:t xml:space="preserve">: operation of MTFs is subject to an appropriate licence for the operator, and </w:t>
      </w:r>
      <w:r w:rsidR="00D34018" w:rsidRPr="002121A4">
        <w:t xml:space="preserve">access </w:t>
      </w:r>
      <w:r w:rsidR="00665970" w:rsidRPr="002121A4">
        <w:t xml:space="preserve">to trading is limited. </w:t>
      </w:r>
      <w:r w:rsidR="00304F34" w:rsidRPr="002121A4">
        <w:t>A</w:t>
      </w:r>
      <w:r w:rsidR="00665970" w:rsidRPr="002121A4">
        <w:t xml:space="preserve"> decisive difference is that </w:t>
      </w:r>
      <w:r w:rsidR="00304F34" w:rsidRPr="002121A4">
        <w:t xml:space="preserve">MiFID II does not contain </w:t>
      </w:r>
      <w:r w:rsidR="00665970" w:rsidRPr="002121A4">
        <w:t>specific rules as to the admission of instruments to trading on an MTF</w:t>
      </w:r>
      <w:r w:rsidR="00E71F23" w:rsidRPr="002121A4">
        <w:t>. A</w:t>
      </w:r>
      <w:r w:rsidR="00665970" w:rsidRPr="002121A4">
        <w:t>ccordingly, admission to trading is a matter for the trading rules established by the MTF operator under private law</w:t>
      </w:r>
      <w:r w:rsidR="00304F34" w:rsidRPr="002121A4">
        <w:t xml:space="preserve"> and does not necessarily depend on the issuer applying for admission to trading</w:t>
      </w:r>
      <w:r w:rsidR="00665970" w:rsidRPr="002121A4">
        <w:t>. The more liberal approach to admission is also reflected in the fact that certain capital market law requirements designed to protect investors only apply to securities listed on regulated markets</w:t>
      </w:r>
      <w:r w:rsidR="005D0D9B" w:rsidRPr="002121A4">
        <w:t xml:space="preserve"> and not to instruments solely traded on MT</w:t>
      </w:r>
      <w:r w:rsidR="00BC77AC" w:rsidRPr="002121A4">
        <w:t>F</w:t>
      </w:r>
      <w:r w:rsidR="00BE60C4" w:rsidRPr="002121A4">
        <w:t>s</w:t>
      </w:r>
      <w:r w:rsidR="00665970" w:rsidRPr="002121A4">
        <w:t xml:space="preserve"> (see para. </w:t>
      </w:r>
      <w:r w:rsidR="00665970" w:rsidRPr="002121A4">
        <w:fldChar w:fldCharType="begin"/>
      </w:r>
      <w:r w:rsidR="00665970" w:rsidRPr="002121A4">
        <w:instrText xml:space="preserve"> REF _Ref129888251 \r \h </w:instrText>
      </w:r>
      <w:r w:rsidR="00665970" w:rsidRPr="002121A4">
        <w:fldChar w:fldCharType="separate"/>
      </w:r>
      <w:r w:rsidR="00D56145">
        <w:t>12</w:t>
      </w:r>
      <w:r w:rsidR="00665970" w:rsidRPr="002121A4">
        <w:fldChar w:fldCharType="end"/>
      </w:r>
      <w:r w:rsidR="00665970" w:rsidRPr="002121A4">
        <w:t xml:space="preserve"> above). A prominent example for an MTF is the “</w:t>
      </w:r>
      <w:proofErr w:type="spellStart"/>
      <w:r w:rsidR="00665970" w:rsidRPr="002121A4">
        <w:rPr>
          <w:i/>
        </w:rPr>
        <w:t>Freiverkehr</w:t>
      </w:r>
      <w:proofErr w:type="spellEnd"/>
      <w:r w:rsidR="00665970" w:rsidRPr="002121A4">
        <w:t xml:space="preserve">” </w:t>
      </w:r>
      <w:r w:rsidR="004142F2" w:rsidRPr="002121A4">
        <w:t xml:space="preserve">as defined in </w:t>
      </w:r>
      <w:r w:rsidR="00665970" w:rsidRPr="002121A4">
        <w:t xml:space="preserve">§ 48 </w:t>
      </w:r>
      <w:proofErr w:type="spellStart"/>
      <w:r w:rsidR="00665970" w:rsidRPr="002121A4">
        <w:t>BörsG</w:t>
      </w:r>
      <w:proofErr w:type="spellEnd"/>
      <w:r w:rsidR="00665970" w:rsidRPr="002121A4">
        <w:t xml:space="preserve">, e.g., the “Open Market” operated by </w:t>
      </w:r>
      <w:r w:rsidR="00905BE2" w:rsidRPr="002121A4">
        <w:t>Deutsche Börse</w:t>
      </w:r>
      <w:r w:rsidR="009A611B" w:rsidRPr="002121A4">
        <w:t xml:space="preserve"> AG.</w:t>
      </w:r>
    </w:p>
    <w:p w14:paraId="71ECCC05" w14:textId="77777777" w:rsidR="00A131B8" w:rsidRPr="002121A4" w:rsidRDefault="00A131B8" w:rsidP="00AB42AA">
      <w:pPr>
        <w:pStyle w:val="Case"/>
        <w:keepNext/>
        <w:numPr>
          <w:ilvl w:val="0"/>
          <w:numId w:val="14"/>
        </w:numPr>
        <w:ind w:left="567" w:firstLine="0"/>
      </w:pPr>
      <w:bookmarkStart w:id="15" w:name="_Ref132838330"/>
      <w:r w:rsidRPr="002121A4">
        <w:t>You are legal counsel with a fund manager, and one of your portfolio managers bought Rocket Internet shares for a fund he manages. One day, he receives the following notice:</w:t>
      </w:r>
      <w:bookmarkEnd w:id="15"/>
    </w:p>
    <w:p w14:paraId="245BC9D0" w14:textId="6AEB8479" w:rsidR="00A131B8" w:rsidRPr="002121A4" w:rsidRDefault="001242E4" w:rsidP="00A131B8">
      <w:pPr>
        <w:pStyle w:val="Case"/>
      </w:pPr>
      <w:r>
        <w:t>“</w:t>
      </w:r>
      <w:r w:rsidR="00A131B8" w:rsidRPr="002121A4">
        <w:t>Disclosure of inside information pursuant to Regulation (EU) 596/2014 (Market Abuse Regulation)</w:t>
      </w:r>
    </w:p>
    <w:p w14:paraId="7059FCE9" w14:textId="77777777" w:rsidR="00A131B8" w:rsidRPr="002121A4" w:rsidRDefault="00A131B8" w:rsidP="00A131B8">
      <w:pPr>
        <w:pStyle w:val="Case"/>
      </w:pPr>
      <w:r w:rsidRPr="002121A4">
        <w:t xml:space="preserve">Ad hoc: Rocket Internet SE decides on launch of public delisting self-tender offer […] </w:t>
      </w:r>
    </w:p>
    <w:p w14:paraId="47487A5E" w14:textId="180A3EEE" w:rsidR="00A131B8" w:rsidRPr="002121A4" w:rsidRDefault="00A131B8" w:rsidP="00A131B8">
      <w:pPr>
        <w:pStyle w:val="Case"/>
      </w:pPr>
      <w:r w:rsidRPr="002121A4">
        <w:t>Today, the Management Board of Rocket Internet SE (the “Company”) resolved, with approval of the Supervisory Board, to offer to the shareholders of the Company to purchase all no-par value bearer shares of the Company […] by way of a public delisting self-tender offer (the “Offer”). The Offer is designed to satisfy the criteria for a revocation of Rocket Internet Shares’ admission to trading on the regulated market of the Frankfurt Stock Exchange pursuant to Section 39 […] of the German Stock Exchange Act.</w:t>
      </w:r>
      <w:r w:rsidR="001242E4">
        <w:t>”</w:t>
      </w:r>
    </w:p>
    <w:p w14:paraId="428B4E93" w14:textId="044449DE" w:rsidR="00A131B8" w:rsidRPr="002121A4" w:rsidRDefault="00A131B8" w:rsidP="00A131B8">
      <w:pPr>
        <w:pStyle w:val="Case"/>
      </w:pPr>
      <w:r w:rsidRPr="002121A4">
        <w:t xml:space="preserve">How do you believe </w:t>
      </w:r>
      <w:r w:rsidR="00E96BB4" w:rsidRPr="002121A4">
        <w:t>delisting</w:t>
      </w:r>
      <w:r w:rsidRPr="002121A4">
        <w:t xml:space="preserve"> from the regulated market affected Rocket Internet shareholders? Why do you think the Market Abuse Regulation required publication of this notice?</w:t>
      </w:r>
      <w:r w:rsidR="00D238D1">
        <w:t xml:space="preserve"> </w:t>
      </w:r>
    </w:p>
    <w:p w14:paraId="1B991E09" w14:textId="05556B18" w:rsidR="000E091D" w:rsidRPr="002121A4" w:rsidRDefault="00A131B8" w:rsidP="005F7809">
      <w:pPr>
        <w:pStyle w:val="Case"/>
      </w:pPr>
      <w:r w:rsidRPr="002121A4">
        <w:rPr>
          <w:b/>
        </w:rPr>
        <w:t>Notes.</w:t>
      </w:r>
      <w:r w:rsidR="005F7809" w:rsidRPr="002121A4">
        <w:rPr>
          <w:b/>
        </w:rPr>
        <w:t xml:space="preserve"> </w:t>
      </w:r>
      <w:r w:rsidR="004E73AB" w:rsidRPr="002121A4">
        <w:rPr>
          <w:b/>
        </w:rPr>
        <w:br/>
      </w:r>
      <w:r w:rsidR="004E73AB" w:rsidRPr="002121A4">
        <w:rPr>
          <w:b/>
        </w:rPr>
        <w:br/>
      </w:r>
      <w:r w:rsidR="004E73AB" w:rsidRPr="002121A4">
        <w:rPr>
          <w:b/>
        </w:rPr>
        <w:br/>
      </w:r>
      <w:r w:rsidR="004E73AB" w:rsidRPr="002121A4">
        <w:rPr>
          <w:b/>
        </w:rPr>
        <w:br/>
      </w:r>
      <w:r w:rsidR="004E73AB" w:rsidRPr="002121A4">
        <w:rPr>
          <w:b/>
        </w:rPr>
        <w:br/>
      </w:r>
    </w:p>
    <w:p w14:paraId="482F5815" w14:textId="4E728D07" w:rsidR="00976944" w:rsidRPr="002121A4" w:rsidRDefault="00976944" w:rsidP="000E091D">
      <w:pPr>
        <w:pStyle w:val="berschrift3"/>
        <w:rPr>
          <w:lang w:val="en-GB"/>
        </w:rPr>
      </w:pPr>
      <w:r w:rsidRPr="002121A4">
        <w:rPr>
          <w:lang w:val="en-GB"/>
        </w:rPr>
        <w:t>What are the types of capital market transactions?</w:t>
      </w:r>
    </w:p>
    <w:p w14:paraId="0BF71353" w14:textId="77777777" w:rsidR="000262C6" w:rsidRPr="002121A4" w:rsidRDefault="0021696D">
      <w:pPr>
        <w:pStyle w:val="Standardwithparanumbering"/>
      </w:pPr>
      <w:bookmarkStart w:id="16" w:name="_Ref125365748"/>
      <w:r w:rsidRPr="002121A4">
        <w:t>A distinction is often made between “p</w:t>
      </w:r>
      <w:r w:rsidR="00E6376D" w:rsidRPr="002121A4">
        <w:t>rimary</w:t>
      </w:r>
      <w:r w:rsidRPr="002121A4">
        <w:t>”</w:t>
      </w:r>
      <w:r w:rsidR="00E6376D" w:rsidRPr="002121A4">
        <w:t xml:space="preserve"> </w:t>
      </w:r>
      <w:r w:rsidRPr="002121A4">
        <w:t>and</w:t>
      </w:r>
      <w:r w:rsidR="00F26F63" w:rsidRPr="002121A4">
        <w:t xml:space="preserve"> </w:t>
      </w:r>
      <w:r w:rsidRPr="002121A4">
        <w:t>“</w:t>
      </w:r>
      <w:r w:rsidR="00F26F63" w:rsidRPr="002121A4">
        <w:t>s</w:t>
      </w:r>
      <w:r w:rsidR="00E6376D" w:rsidRPr="002121A4">
        <w:t>econdary</w:t>
      </w:r>
      <w:r w:rsidRPr="002121A4">
        <w:t>”</w:t>
      </w:r>
      <w:r w:rsidR="00E6376D" w:rsidRPr="002121A4">
        <w:t xml:space="preserve"> market</w:t>
      </w:r>
      <w:r w:rsidR="0043789B" w:rsidRPr="002121A4">
        <w:t>s</w:t>
      </w:r>
      <w:r w:rsidRPr="002121A4">
        <w:t>.</w:t>
      </w:r>
    </w:p>
    <w:p w14:paraId="2AD684A5" w14:textId="6FE83122" w:rsidR="000262C6" w:rsidRPr="002121A4" w:rsidRDefault="00894214">
      <w:pPr>
        <w:pStyle w:val="Standardwithparanumbering"/>
      </w:pPr>
      <w:r w:rsidRPr="002121A4">
        <w:t>The</w:t>
      </w:r>
      <w:r w:rsidR="0021696D" w:rsidRPr="002121A4">
        <w:t xml:space="preserve"> “primary” market </w:t>
      </w:r>
      <w:r w:rsidRPr="002121A4">
        <w:t xml:space="preserve">is the market for </w:t>
      </w:r>
      <w:r w:rsidR="0021696D" w:rsidRPr="002121A4">
        <w:t>transaction</w:t>
      </w:r>
      <w:r w:rsidRPr="002121A4">
        <w:t xml:space="preserve">s between issuers and investors, i.e., for </w:t>
      </w:r>
      <w:r w:rsidR="0021696D" w:rsidRPr="002121A4">
        <w:t xml:space="preserve">the </w:t>
      </w:r>
      <w:r w:rsidR="008641C1" w:rsidRPr="002121A4">
        <w:t xml:space="preserve">issuance of securities </w:t>
      </w:r>
      <w:r w:rsidR="0021696D" w:rsidRPr="002121A4">
        <w:t xml:space="preserve">by an issuer and </w:t>
      </w:r>
      <w:r w:rsidR="008641C1" w:rsidRPr="002121A4">
        <w:t>the sale of such securities to investors</w:t>
      </w:r>
      <w:r w:rsidR="00D34018" w:rsidRPr="002121A4">
        <w:t xml:space="preserve"> (“placement”)</w:t>
      </w:r>
      <w:r w:rsidR="0021696D" w:rsidRPr="002121A4">
        <w:t>, often through a syndicate of banks.</w:t>
      </w:r>
      <w:r w:rsidR="008B76F3" w:rsidRPr="002121A4">
        <w:t xml:space="preserve"> A prominent example for a primary market transaction is an “initial public offering” or “IPO” of an issuer, i.e., the first-time </w:t>
      </w:r>
      <w:r w:rsidR="00BE60C4" w:rsidRPr="002121A4">
        <w:t xml:space="preserve">public placement with subsequent </w:t>
      </w:r>
      <w:r w:rsidR="008B76F3" w:rsidRPr="002121A4">
        <w:t xml:space="preserve">admission of shares of an issuer to a market. Another example </w:t>
      </w:r>
      <w:r w:rsidR="00BC77AC" w:rsidRPr="002121A4">
        <w:t xml:space="preserve">– which is </w:t>
      </w:r>
      <w:r w:rsidR="008B76F3" w:rsidRPr="002121A4">
        <w:t>more frequent in practice</w:t>
      </w:r>
      <w:r w:rsidR="00BC77AC" w:rsidRPr="002121A4">
        <w:t xml:space="preserve"> –</w:t>
      </w:r>
      <w:r w:rsidR="008B76F3" w:rsidRPr="002121A4">
        <w:t xml:space="preserve"> is the issuance of debt securities for </w:t>
      </w:r>
      <w:r w:rsidR="0048433D">
        <w:t>(</w:t>
      </w:r>
      <w:r w:rsidR="008B76F3" w:rsidRPr="002121A4">
        <w:t>re</w:t>
      </w:r>
      <w:r w:rsidR="0048433D">
        <w:t>-)</w:t>
      </w:r>
      <w:r w:rsidR="008B76F3" w:rsidRPr="002121A4">
        <w:t>financing purposes.</w:t>
      </w:r>
      <w:r w:rsidR="0021696D" w:rsidRPr="002121A4">
        <w:t xml:space="preserve"> </w:t>
      </w:r>
    </w:p>
    <w:p w14:paraId="3FCAF27B" w14:textId="29C15216" w:rsidR="00E6376D" w:rsidRPr="002121A4" w:rsidRDefault="0021696D">
      <w:pPr>
        <w:pStyle w:val="Standardwithparanumbering"/>
      </w:pPr>
      <w:r w:rsidRPr="002121A4">
        <w:lastRenderedPageBreak/>
        <w:t>“</w:t>
      </w:r>
      <w:r w:rsidR="00894214" w:rsidRPr="002121A4">
        <w:t>S</w:t>
      </w:r>
      <w:r w:rsidRPr="002121A4">
        <w:t>econdary” market</w:t>
      </w:r>
      <w:r w:rsidR="00894214" w:rsidRPr="002121A4">
        <w:t>s do not involve the issuer as a party</w:t>
      </w:r>
      <w:r w:rsidR="00087BE4" w:rsidRPr="002121A4">
        <w:t>: instead, they are mar</w:t>
      </w:r>
      <w:r w:rsidR="00E925D3" w:rsidRPr="002121A4">
        <w:t>k</w:t>
      </w:r>
      <w:r w:rsidR="00087BE4" w:rsidRPr="002121A4">
        <w:t xml:space="preserve">ets for </w:t>
      </w:r>
      <w:r w:rsidR="00894214" w:rsidRPr="002121A4">
        <w:t xml:space="preserve">transactions between investors </w:t>
      </w:r>
      <w:r w:rsidRPr="002121A4">
        <w:t xml:space="preserve">where </w:t>
      </w:r>
      <w:r w:rsidR="00894214" w:rsidRPr="002121A4">
        <w:t xml:space="preserve">one </w:t>
      </w:r>
      <w:r w:rsidRPr="002121A4">
        <w:t xml:space="preserve">investor holding securities sells these </w:t>
      </w:r>
      <w:r w:rsidR="00894214" w:rsidRPr="002121A4">
        <w:t xml:space="preserve">securities </w:t>
      </w:r>
      <w:r w:rsidRPr="002121A4">
        <w:t>to another investor.</w:t>
      </w:r>
      <w:r w:rsidR="005B505F" w:rsidRPr="002121A4">
        <w:t xml:space="preserve"> Secondary market transactions can also occur outside </w:t>
      </w:r>
      <w:r w:rsidR="001C746D" w:rsidRPr="002121A4">
        <w:t>MiFID II market</w:t>
      </w:r>
      <w:r w:rsidR="005B505F" w:rsidRPr="002121A4">
        <w:t xml:space="preserve"> venues, e.g., through bilateral transactions traditionally referred to as “over the counter” or “OTC”.</w:t>
      </w:r>
      <w:r w:rsidRPr="002121A4">
        <w:t xml:space="preserve"> </w:t>
      </w:r>
      <w:r w:rsidR="005B505F" w:rsidRPr="002121A4">
        <w:t>B</w:t>
      </w:r>
      <w:r w:rsidRPr="002121A4">
        <w:t xml:space="preserve">oth </w:t>
      </w:r>
      <w:r w:rsidR="005B505F" w:rsidRPr="002121A4">
        <w:t>primary and secondary market transactions involve</w:t>
      </w:r>
      <w:r w:rsidRPr="002121A4">
        <w:t xml:space="preserve"> financial intermediaries play</w:t>
      </w:r>
      <w:r w:rsidR="005B505F" w:rsidRPr="002121A4">
        <w:t>ing</w:t>
      </w:r>
      <w:r w:rsidRPr="002121A4">
        <w:t xml:space="preserve"> an important role</w:t>
      </w:r>
      <w:r w:rsidR="005B505F" w:rsidRPr="002121A4">
        <w:t>, e.g.,</w:t>
      </w:r>
      <w:r w:rsidRPr="002121A4">
        <w:t xml:space="preserve"> in giving investment advice to investors.</w:t>
      </w:r>
      <w:bookmarkEnd w:id="16"/>
    </w:p>
    <w:p w14:paraId="4C9ACAB7" w14:textId="77777777" w:rsidR="00662B9E" w:rsidRPr="002121A4" w:rsidRDefault="00662B9E" w:rsidP="00662B9E">
      <w:pPr>
        <w:pStyle w:val="berschrift4"/>
        <w:rPr>
          <w:lang w:val="en-GB"/>
        </w:rPr>
      </w:pPr>
      <w:bookmarkStart w:id="17" w:name="_Ref118545088"/>
      <w:r w:rsidRPr="002121A4">
        <w:rPr>
          <w:lang w:val="en-GB"/>
        </w:rPr>
        <w:t>Capital market participants</w:t>
      </w:r>
    </w:p>
    <w:p w14:paraId="695FB4C1" w14:textId="4E5A4F87" w:rsidR="00662B9E" w:rsidRPr="002121A4" w:rsidRDefault="00662B9E" w:rsidP="00662B9E">
      <w:pPr>
        <w:pStyle w:val="Standardwithparanumbering"/>
      </w:pPr>
      <w:r w:rsidRPr="002121A4">
        <w:t>What involves, at first sight, only investors and issuers, is, in reality, based on a complex market infrastructure: Markets need suitable marketplaces, i.e.</w:t>
      </w:r>
      <w:r w:rsidR="00F2535E">
        <w:t>,</w:t>
      </w:r>
      <w:r w:rsidRPr="002121A4">
        <w:t xml:space="preserve"> “trading venues”. These trading venues are run by institutions referred to as “market operators”</w:t>
      </w:r>
      <w:r w:rsidR="00087BE4" w:rsidRPr="002121A4">
        <w:t>, and</w:t>
      </w:r>
      <w:r w:rsidRPr="002121A4">
        <w:t xml:space="preserve"> </w:t>
      </w:r>
      <w:r w:rsidR="00087BE4" w:rsidRPr="002121A4">
        <w:t xml:space="preserve">control </w:t>
      </w:r>
      <w:r w:rsidRPr="002121A4">
        <w:t>access to trading activities</w:t>
      </w:r>
      <w:r w:rsidR="00087BE4" w:rsidRPr="002121A4">
        <w:t xml:space="preserve"> on these markets</w:t>
      </w:r>
      <w:r w:rsidRPr="002121A4">
        <w:t>.</w:t>
      </w:r>
      <w:r w:rsidR="00B61BC2" w:rsidRPr="002121A4">
        <w:t xml:space="preserve"> Trades arranged between market members are cleared through “central counterparties” which in turn arrange for settlement through central securities depositories which hold securities in custody (typically certificated through global certificates).</w:t>
      </w:r>
      <w:r w:rsidRPr="002121A4">
        <w:t xml:space="preserve"> Investment firms take the role of financial intermediaries, e.g., by giving investment advice to their clients, placing or underwriting financial instruments, or executing client orders. Credit rating agencies issue ratings as indicators of the creditworthiness or the financial stability of an issuer of securities. For a more detailed overview, see section </w:t>
      </w:r>
      <w:r w:rsidR="005719D9" w:rsidRPr="002121A4">
        <w:fldChar w:fldCharType="begin"/>
      </w:r>
      <w:r w:rsidR="005719D9" w:rsidRPr="002121A4">
        <w:instrText xml:space="preserve"> REF _Ref161843458 \r \h </w:instrText>
      </w:r>
      <w:r w:rsidR="005719D9" w:rsidRPr="002121A4">
        <w:fldChar w:fldCharType="separate"/>
      </w:r>
      <w:r w:rsidR="00D56145">
        <w:t>1.6</w:t>
      </w:r>
      <w:r w:rsidR="005719D9" w:rsidRPr="002121A4">
        <w:fldChar w:fldCharType="end"/>
      </w:r>
      <w:r w:rsidRPr="002121A4">
        <w:t xml:space="preserve"> below.</w:t>
      </w:r>
    </w:p>
    <w:p w14:paraId="352393B9" w14:textId="7329A9E3" w:rsidR="00BC77AC" w:rsidRPr="002121A4" w:rsidRDefault="00BC77AC" w:rsidP="00AB42AA">
      <w:pPr>
        <w:pStyle w:val="Case"/>
        <w:keepNext/>
        <w:numPr>
          <w:ilvl w:val="0"/>
          <w:numId w:val="14"/>
        </w:numPr>
        <w:ind w:left="567" w:firstLine="0"/>
      </w:pPr>
      <w:bookmarkStart w:id="18" w:name="_Ref163121747"/>
      <w:r w:rsidRPr="002121A4">
        <w:t>Complete the flow charts below for a primary and a secondary market transaction!</w:t>
      </w:r>
      <w:bookmarkEnd w:id="18"/>
    </w:p>
    <w:p w14:paraId="2F309FCA" w14:textId="321335BA" w:rsidR="00BC77AC" w:rsidRPr="002121A4" w:rsidRDefault="00DE4EDE" w:rsidP="00DB5707">
      <w:r w:rsidRPr="002121A4">
        <w:object w:dxaOrig="8843" w:dyaOrig="4983" w14:anchorId="3A0E4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3pt;height:269.35pt" o:ole="">
            <v:imagedata r:id="rId10" o:title=""/>
          </v:shape>
          <o:OLEObject Type="Embed" ProgID="PowerPoint.Show.12" ShapeID="_x0000_i1025" DrawAspect="Content" ObjectID="_1823795035" r:id="rId11"/>
        </w:object>
      </w:r>
    </w:p>
    <w:p w14:paraId="7B349A1A" w14:textId="4A3341F7" w:rsidR="00BC77AC" w:rsidRPr="002121A4" w:rsidRDefault="00DE4EDE" w:rsidP="00DB5707">
      <w:pPr>
        <w:rPr>
          <w:lang w:val="en-GB"/>
        </w:rPr>
      </w:pPr>
      <w:r w:rsidRPr="002121A4">
        <w:rPr>
          <w:lang w:val="en-GB"/>
        </w:rPr>
        <w:object w:dxaOrig="9591" w:dyaOrig="5407" w14:anchorId="26FC6FCB">
          <v:shape id="_x0000_i1026" type="#_x0000_t75" style="width:477.65pt;height:269pt" o:ole="">
            <v:imagedata r:id="rId12" o:title=""/>
          </v:shape>
          <o:OLEObject Type="Embed" ProgID="PowerPoint.Show.12" ShapeID="_x0000_i1026" DrawAspect="Content" ObjectID="_1823795036" r:id="rId13"/>
        </w:object>
      </w:r>
    </w:p>
    <w:p w14:paraId="5B52FC7D" w14:textId="625FCFE0" w:rsidR="00976944" w:rsidRPr="002121A4" w:rsidRDefault="00976944" w:rsidP="00162BB1">
      <w:pPr>
        <w:pStyle w:val="berschrift2"/>
        <w:rPr>
          <w:lang w:val="en-GB"/>
        </w:rPr>
      </w:pPr>
      <w:bookmarkStart w:id="19" w:name="_Ref132300556"/>
      <w:bookmarkStart w:id="20" w:name="_Ref132300559"/>
      <w:bookmarkStart w:id="21" w:name="_Toc194577761"/>
      <w:r w:rsidRPr="002121A4">
        <w:rPr>
          <w:lang w:val="en-GB"/>
        </w:rPr>
        <w:t>How are capital markets regulated?</w:t>
      </w:r>
      <w:bookmarkEnd w:id="17"/>
      <w:bookmarkEnd w:id="19"/>
      <w:bookmarkEnd w:id="20"/>
      <w:bookmarkEnd w:id="21"/>
      <w:r w:rsidR="00AD7422" w:rsidRPr="002121A4">
        <w:rPr>
          <w:lang w:val="en-GB"/>
        </w:rPr>
        <w:t xml:space="preserve"> </w:t>
      </w:r>
    </w:p>
    <w:p w14:paraId="19AD1F9A" w14:textId="54D1AB0C" w:rsidR="00976944" w:rsidRPr="002121A4" w:rsidRDefault="00976944" w:rsidP="00162BB1">
      <w:pPr>
        <w:pStyle w:val="berschrift3"/>
        <w:rPr>
          <w:lang w:val="en-GB"/>
        </w:rPr>
      </w:pPr>
      <w:r w:rsidRPr="002121A4">
        <w:rPr>
          <w:lang w:val="en-GB"/>
        </w:rPr>
        <w:t>What are the regulatory aims of capital markets law?</w:t>
      </w:r>
    </w:p>
    <w:p w14:paraId="21CBEE0F" w14:textId="6C0E9159" w:rsidR="009951F7" w:rsidRPr="002121A4" w:rsidRDefault="004A3589" w:rsidP="00300326">
      <w:pPr>
        <w:pStyle w:val="Standardwithparanumbering"/>
      </w:pPr>
      <w:bookmarkStart w:id="22" w:name="_Ref127633561"/>
      <w:r w:rsidRPr="002121A4">
        <w:t xml:space="preserve">Capital markets law and regulation is essentially an exercise of balancing diverging interests and policies: one the one hand, it is generally accepted that capital markets serve an important economic function in providing financing to companies and public authorities. This perspective typically weighs in favour of reducing regulatory requirements in order to </w:t>
      </w:r>
      <w:r w:rsidR="00451503" w:rsidRPr="002121A4">
        <w:t xml:space="preserve">facilitate the </w:t>
      </w:r>
      <w:r w:rsidRPr="002121A4">
        <w:t>use of capital markets as a source of funding</w:t>
      </w:r>
      <w:r w:rsidR="00451503" w:rsidRPr="002121A4">
        <w:t>, in particular, for smaller companies</w:t>
      </w:r>
      <w:r w:rsidRPr="002121A4">
        <w:t>.</w:t>
      </w:r>
      <w:r w:rsidRPr="002121A4">
        <w:rPr>
          <w:rStyle w:val="Funotenzeichen"/>
        </w:rPr>
        <w:footnoteReference w:id="24"/>
      </w:r>
      <w:r w:rsidRPr="002121A4">
        <w:t xml:space="preserve"> On the other hand, the functioning of the market depends on an appropriate level of investor protection and market integrity, without which investors will not </w:t>
      </w:r>
      <w:r w:rsidR="00DB5402" w:rsidRPr="002121A4">
        <w:t xml:space="preserve">be prepared </w:t>
      </w:r>
      <w:r w:rsidRPr="002121A4">
        <w:t xml:space="preserve">to invest through capital market instruments. </w:t>
      </w:r>
      <w:r w:rsidR="002A1784" w:rsidRPr="002121A4">
        <w:t>I</w:t>
      </w:r>
      <w:r w:rsidR="003D6800" w:rsidRPr="002121A4">
        <w:t xml:space="preserve">n this context, </w:t>
      </w:r>
      <w:r w:rsidR="00633B5E" w:rsidRPr="002121A4">
        <w:t xml:space="preserve">a sound level of </w:t>
      </w:r>
      <w:r w:rsidR="00D264DD" w:rsidRPr="002121A4">
        <w:t>investor</w:t>
      </w:r>
      <w:r w:rsidR="001611D3" w:rsidRPr="002121A4">
        <w:t xml:space="preserve"> protection</w:t>
      </w:r>
      <w:r w:rsidR="002A1784" w:rsidRPr="002121A4">
        <w:t xml:space="preserve"> is seen as an important tool to reinforce </w:t>
      </w:r>
      <w:r w:rsidR="00D264DD" w:rsidRPr="002121A4">
        <w:t>confidence</w:t>
      </w:r>
      <w:r w:rsidR="002A1784" w:rsidRPr="002121A4">
        <w:t xml:space="preserve"> in the markets, as is </w:t>
      </w:r>
      <w:r w:rsidR="00633B5E" w:rsidRPr="002121A4">
        <w:t xml:space="preserve">the existence of adequate powers for </w:t>
      </w:r>
      <w:r w:rsidR="00D264DD" w:rsidRPr="002121A4">
        <w:t>supervisors to fulfil their tasks.</w:t>
      </w:r>
      <w:r w:rsidR="00DA720F" w:rsidRPr="002121A4">
        <w:rPr>
          <w:rStyle w:val="Funotenzeichen"/>
        </w:rPr>
        <w:footnoteReference w:id="25"/>
      </w:r>
      <w:bookmarkEnd w:id="22"/>
      <w:r w:rsidR="00130076">
        <w:t xml:space="preserve"> </w:t>
      </w:r>
      <w:r w:rsidR="003C679A" w:rsidRPr="002121A4">
        <w:t xml:space="preserve">Capital markets legislation </w:t>
      </w:r>
      <w:r w:rsidR="009314C9" w:rsidRPr="002121A4">
        <w:t>therefore implies a contin</w:t>
      </w:r>
      <w:r w:rsidR="00F2535E">
        <w:t>u</w:t>
      </w:r>
      <w:r w:rsidR="009314C9" w:rsidRPr="002121A4">
        <w:t xml:space="preserve">ous </w:t>
      </w:r>
      <w:r w:rsidR="00F2535E">
        <w:t xml:space="preserve">effort of </w:t>
      </w:r>
      <w:r w:rsidR="009314C9" w:rsidRPr="002121A4">
        <w:t xml:space="preserve">arbitrating between the needs and expectations of market participants, and </w:t>
      </w:r>
      <w:r w:rsidR="003C679A" w:rsidRPr="002121A4">
        <w:t>has proven to be an area of constant reform</w:t>
      </w:r>
      <w:r w:rsidR="009314C9" w:rsidRPr="002121A4">
        <w:t>. O</w:t>
      </w:r>
      <w:r w:rsidR="003C679A" w:rsidRPr="002121A4">
        <w:t xml:space="preserve">n current </w:t>
      </w:r>
      <w:r w:rsidR="009314C9" w:rsidRPr="002121A4">
        <w:t xml:space="preserve">legislative </w:t>
      </w:r>
      <w:r w:rsidR="003C679A" w:rsidRPr="002121A4">
        <w:t>initiatives, see section </w:t>
      </w:r>
      <w:r w:rsidR="003C679A" w:rsidRPr="002121A4">
        <w:fldChar w:fldCharType="begin"/>
      </w:r>
      <w:r w:rsidR="003C679A" w:rsidRPr="002121A4">
        <w:instrText xml:space="preserve"> REF _Ref132818165 \r \h </w:instrText>
      </w:r>
      <w:r w:rsidR="003C679A" w:rsidRPr="002121A4">
        <w:fldChar w:fldCharType="separate"/>
      </w:r>
      <w:r w:rsidR="00D56145">
        <w:t>1.5</w:t>
      </w:r>
      <w:r w:rsidR="003C679A" w:rsidRPr="002121A4">
        <w:fldChar w:fldCharType="end"/>
      </w:r>
      <w:r w:rsidR="003C679A" w:rsidRPr="002121A4">
        <w:t xml:space="preserve"> p. </w:t>
      </w:r>
      <w:r w:rsidR="003C679A" w:rsidRPr="002121A4">
        <w:fldChar w:fldCharType="begin"/>
      </w:r>
      <w:r w:rsidR="003C679A" w:rsidRPr="002121A4">
        <w:instrText xml:space="preserve"> PAGEREF _Ref132818168 \h </w:instrText>
      </w:r>
      <w:r w:rsidR="003C679A" w:rsidRPr="002121A4">
        <w:fldChar w:fldCharType="separate"/>
      </w:r>
      <w:r w:rsidR="00D56145">
        <w:rPr>
          <w:noProof/>
        </w:rPr>
        <w:t>14</w:t>
      </w:r>
      <w:r w:rsidR="003C679A" w:rsidRPr="002121A4">
        <w:fldChar w:fldCharType="end"/>
      </w:r>
      <w:r w:rsidR="003C679A" w:rsidRPr="002121A4">
        <w:t xml:space="preserve"> below.</w:t>
      </w:r>
    </w:p>
    <w:p w14:paraId="2778687A" w14:textId="4E36A744" w:rsidR="009951F7" w:rsidRPr="002121A4" w:rsidRDefault="009951F7" w:rsidP="00AB42AA">
      <w:pPr>
        <w:pStyle w:val="Case"/>
        <w:keepNext/>
        <w:numPr>
          <w:ilvl w:val="0"/>
          <w:numId w:val="14"/>
        </w:numPr>
        <w:ind w:left="567" w:firstLine="0"/>
      </w:pPr>
      <w:bookmarkStart w:id="23" w:name="_Ref163121832"/>
      <w:r w:rsidRPr="002121A4">
        <w:t xml:space="preserve">You are an intern with </w:t>
      </w:r>
      <w:r w:rsidR="006E0E10" w:rsidRPr="002121A4">
        <w:t>ESMA</w:t>
      </w:r>
      <w:r w:rsidRPr="002121A4">
        <w:t xml:space="preserve">. You are asked to </w:t>
      </w:r>
      <w:r w:rsidR="00E96BB4" w:rsidRPr="002121A4">
        <w:t>analyse</w:t>
      </w:r>
      <w:r w:rsidRPr="002121A4">
        <w:t xml:space="preserve"> a recent bond transaction containing the following </w:t>
      </w:r>
      <w:r w:rsidR="00F20593" w:rsidRPr="002121A4">
        <w:t>terms and conditions</w:t>
      </w:r>
      <w:r w:rsidRPr="002121A4">
        <w:t>:</w:t>
      </w:r>
      <w:bookmarkEnd w:id="23"/>
    </w:p>
    <w:p w14:paraId="0D026C9E" w14:textId="2CE23D08" w:rsidR="009951F7" w:rsidRPr="002121A4" w:rsidRDefault="009951F7" w:rsidP="00FA690E">
      <w:pPr>
        <w:pStyle w:val="Case"/>
        <w:tabs>
          <w:tab w:val="center" w:pos="4513"/>
          <w:tab w:val="left" w:pos="6015"/>
        </w:tabs>
        <w:jc w:val="left"/>
      </w:pPr>
      <w:r w:rsidRPr="002121A4">
        <w:rPr>
          <w:i/>
        </w:rPr>
        <w:t>§ 2 – Status</w:t>
      </w:r>
      <w:r w:rsidR="00FA690E" w:rsidRPr="002121A4">
        <w:tab/>
        <w:t xml:space="preserve">. </w:t>
      </w:r>
      <w:r w:rsidRPr="002121A4">
        <w:t>The Notes constitute unsecured subordinated obligations of the Issuer. In the event of insolvency of the Issuer, obligations under the Notes shall be subordinated to senior obligations of the Issuer.</w:t>
      </w:r>
    </w:p>
    <w:p w14:paraId="703446F8" w14:textId="2F67223F" w:rsidR="009951F7" w:rsidRPr="002121A4" w:rsidRDefault="009951F7" w:rsidP="00FA690E">
      <w:pPr>
        <w:pStyle w:val="Case"/>
      </w:pPr>
      <w:r w:rsidRPr="002121A4">
        <w:rPr>
          <w:i/>
        </w:rPr>
        <w:t>§ 3 – Interest</w:t>
      </w:r>
      <w:r w:rsidR="00FA690E" w:rsidRPr="002121A4">
        <w:t xml:space="preserve">. </w:t>
      </w:r>
      <w:r w:rsidRPr="002121A4">
        <w:t xml:space="preserve">Each Note shall bear interest of 3% per annum. The Issuer has the right to cancel any payment of interest on the Notes in its sole discretion. </w:t>
      </w:r>
    </w:p>
    <w:p w14:paraId="587A5676" w14:textId="28FAF4E7" w:rsidR="009951F7" w:rsidRPr="002121A4" w:rsidRDefault="009951F7" w:rsidP="00FA690E">
      <w:pPr>
        <w:pStyle w:val="Case"/>
      </w:pPr>
      <w:r w:rsidRPr="002121A4">
        <w:rPr>
          <w:i/>
        </w:rPr>
        <w:lastRenderedPageBreak/>
        <w:t>§ 4 – Redemption</w:t>
      </w:r>
      <w:r w:rsidR="00FA690E" w:rsidRPr="002121A4">
        <w:t xml:space="preserve">. </w:t>
      </w:r>
      <w:r w:rsidRPr="002121A4">
        <w:t>The Notes have no scheduled maturity date. The Issuer may, in its sole discretion, call and redeem the Notes. The holders have no right to require the redemption of the Notes.</w:t>
      </w:r>
    </w:p>
    <w:p w14:paraId="72F720D7" w14:textId="2F07A0F8" w:rsidR="00504B36" w:rsidRPr="002121A4" w:rsidRDefault="009951F7" w:rsidP="00C16E01">
      <w:pPr>
        <w:pStyle w:val="Case"/>
        <w:rPr>
          <w:b/>
        </w:rPr>
      </w:pPr>
      <w:r w:rsidRPr="002121A4">
        <w:t>How risky do you think the investment is? How do you think the EU could or should regulate (</w:t>
      </w:r>
      <w:proofErr w:type="spellStart"/>
      <w:r w:rsidRPr="002121A4">
        <w:t>i</w:t>
      </w:r>
      <w:proofErr w:type="spellEnd"/>
      <w:r w:rsidRPr="002121A4">
        <w:t>)</w:t>
      </w:r>
      <w:r w:rsidR="001241E7" w:rsidRPr="002121A4">
        <w:t> </w:t>
      </w:r>
      <w:r w:rsidRPr="002121A4">
        <w:t xml:space="preserve">marketing and distribution of the Notes, (ii) admission of the Notes to trading on a trading venue, and (iii) trading of the Notes until their redemption? </w:t>
      </w:r>
    </w:p>
    <w:p w14:paraId="1E84BC85" w14:textId="435B4615" w:rsidR="009951F7" w:rsidRPr="002121A4" w:rsidRDefault="009951F7" w:rsidP="009951F7">
      <w:pPr>
        <w:pStyle w:val="Case"/>
        <w:rPr>
          <w:b/>
        </w:rPr>
      </w:pPr>
      <w:r w:rsidRPr="002121A4">
        <w:rPr>
          <w:b/>
        </w:rPr>
        <w:t>Notes.</w:t>
      </w:r>
      <w:r w:rsidR="001F1B78" w:rsidRPr="002121A4">
        <w:t xml:space="preserve"> </w:t>
      </w:r>
      <w:r w:rsidR="00B0304D" w:rsidRPr="002121A4">
        <w:br/>
      </w:r>
      <w:r w:rsidR="00B0304D" w:rsidRPr="002121A4">
        <w:br/>
      </w:r>
      <w:r w:rsidR="00B0304D" w:rsidRPr="002121A4">
        <w:br/>
      </w:r>
      <w:r w:rsidR="00B0304D" w:rsidRPr="002121A4">
        <w:br/>
      </w:r>
      <w:r w:rsidR="00B0304D" w:rsidRPr="002121A4">
        <w:br/>
      </w:r>
    </w:p>
    <w:p w14:paraId="21A228C5" w14:textId="7ACB139F" w:rsidR="00976944" w:rsidRPr="002121A4" w:rsidRDefault="00976944" w:rsidP="009C0AA3">
      <w:pPr>
        <w:pStyle w:val="berschrift3"/>
        <w:rPr>
          <w:lang w:val="en-GB"/>
        </w:rPr>
      </w:pPr>
      <w:r w:rsidRPr="002121A4">
        <w:rPr>
          <w:lang w:val="en-GB"/>
        </w:rPr>
        <w:t xml:space="preserve">What regulatory </w:t>
      </w:r>
      <w:r w:rsidR="009D151C" w:rsidRPr="002121A4">
        <w:rPr>
          <w:lang w:val="en-GB"/>
        </w:rPr>
        <w:t xml:space="preserve">concepts </w:t>
      </w:r>
      <w:r w:rsidRPr="002121A4">
        <w:rPr>
          <w:lang w:val="en-GB"/>
        </w:rPr>
        <w:t>and methods are applied?</w:t>
      </w:r>
    </w:p>
    <w:p w14:paraId="13318340" w14:textId="05C9BCEB" w:rsidR="009F15AB" w:rsidRPr="002121A4" w:rsidRDefault="00916466" w:rsidP="001241E7">
      <w:pPr>
        <w:pStyle w:val="Standardwithparanumbering"/>
      </w:pPr>
      <w:r w:rsidRPr="002121A4">
        <w:t xml:space="preserve">Regulatory strategies and instruments used to achieve the objectives of capital market regulation focus </w:t>
      </w:r>
      <w:r w:rsidR="00C91DF7" w:rsidRPr="002121A4">
        <w:t>on</w:t>
      </w:r>
      <w:r w:rsidRPr="002121A4">
        <w:t xml:space="preserve"> </w:t>
      </w:r>
      <w:r w:rsidR="00431DE1" w:rsidRPr="002121A4">
        <w:t xml:space="preserve">a number of </w:t>
      </w:r>
      <w:r w:rsidRPr="002121A4">
        <w:t xml:space="preserve">topics: </w:t>
      </w:r>
      <w:r w:rsidR="00431DE1" w:rsidRPr="002121A4">
        <w:t xml:space="preserve">transparency and reporting requirements, regulation and prohibition of specific types of transactions, governance rules for market participants, </w:t>
      </w:r>
      <w:r w:rsidR="006850DD" w:rsidRPr="002121A4">
        <w:t xml:space="preserve">regulatory supervision, </w:t>
      </w:r>
      <w:r w:rsidR="00431DE1" w:rsidRPr="002121A4">
        <w:t xml:space="preserve">and enforcement mechanisms. </w:t>
      </w:r>
      <w:r w:rsidRPr="002121A4">
        <w:t>Transparency through disclosure of market-relevant information, e.g., periodic financial information such as annual reports, disclosure of inside information, creates a “level playing field” for investors.</w:t>
      </w:r>
      <w:r w:rsidR="00A10D92">
        <w:rPr>
          <w:rStyle w:val="Funotenzeichen"/>
        </w:rPr>
        <w:footnoteReference w:id="26"/>
      </w:r>
      <w:r w:rsidRPr="002121A4">
        <w:t xml:space="preserve"> Regulating and prohibiting certain transactions </w:t>
      </w:r>
      <w:r w:rsidR="00B658A0" w:rsidRPr="002121A4">
        <w:t>makes sure</w:t>
      </w:r>
      <w:r w:rsidRPr="002121A4">
        <w:t xml:space="preserve"> that the market venues create</w:t>
      </w:r>
      <w:r w:rsidR="00062D06" w:rsidRPr="002121A4">
        <w:t xml:space="preserve">, </w:t>
      </w:r>
      <w:r w:rsidRPr="002121A4">
        <w:t xml:space="preserve">and are </w:t>
      </w:r>
      <w:r w:rsidR="00683148" w:rsidRPr="002121A4">
        <w:t>perceived</w:t>
      </w:r>
      <w:r w:rsidR="00062D06" w:rsidRPr="002121A4">
        <w:t xml:space="preserve"> </w:t>
      </w:r>
      <w:r w:rsidRPr="002121A4">
        <w:t>to create</w:t>
      </w:r>
      <w:r w:rsidR="00062D06" w:rsidRPr="002121A4">
        <w:t>,</w:t>
      </w:r>
      <w:r w:rsidRPr="002121A4">
        <w:t xml:space="preserve"> fair </w:t>
      </w:r>
      <w:r w:rsidR="00FB1027" w:rsidRPr="002121A4">
        <w:t>conditions</w:t>
      </w:r>
      <w:r w:rsidR="00DE4EDE" w:rsidRPr="002121A4">
        <w:t xml:space="preserve">. Examples include the </w:t>
      </w:r>
      <w:r w:rsidRPr="002121A4">
        <w:t>prohibition of insider dealing, market manipulation, and uncovered short sales.</w:t>
      </w:r>
      <w:r w:rsidR="00062D06" w:rsidRPr="002121A4">
        <w:t xml:space="preserve"> Governance requirements as to the organization and internal processes of capital market participants and rules on professional conduct</w:t>
      </w:r>
      <w:r w:rsidR="00B658A0" w:rsidRPr="002121A4">
        <w:t xml:space="preserve"> –</w:t>
      </w:r>
      <w:r w:rsidR="00DE4EDE" w:rsidRPr="002121A4">
        <w:t xml:space="preserve"> </w:t>
      </w:r>
      <w:r w:rsidR="00B658A0" w:rsidRPr="002121A4">
        <w:t>f</w:t>
      </w:r>
      <w:r w:rsidR="00DE4EDE" w:rsidRPr="002121A4">
        <w:t>or example</w:t>
      </w:r>
      <w:r w:rsidR="00062D06" w:rsidRPr="002121A4">
        <w:t>, professional duties with regard to conflicts of interest, investment advice, etc.</w:t>
      </w:r>
      <w:r w:rsidR="00B658A0" w:rsidRPr="002121A4">
        <w:t xml:space="preserve"> –</w:t>
      </w:r>
      <w:r w:rsidR="00062D06" w:rsidRPr="002121A4">
        <w:t xml:space="preserve"> also help designing the market framework in such a way that regulatory objectives are achieved</w:t>
      </w:r>
      <w:r w:rsidR="00B658A0" w:rsidRPr="002121A4">
        <w:t xml:space="preserve"> in terms of investor protection and reliability of transactions and their settlement</w:t>
      </w:r>
      <w:r w:rsidR="00062D06" w:rsidRPr="002121A4">
        <w:t xml:space="preserve">. </w:t>
      </w:r>
      <w:r w:rsidR="00E112C7" w:rsidRPr="002121A4">
        <w:t xml:space="preserve">Prudential rules are designed to ensure the stability and resilience of capital market participants, </w:t>
      </w:r>
      <w:r w:rsidR="002E6D14" w:rsidRPr="002121A4">
        <w:rPr>
          <w:noProof/>
        </w:rPr>
        <mc:AlternateContent>
          <mc:Choice Requires="wps">
            <w:drawing>
              <wp:anchor distT="45720" distB="45720" distL="114300" distR="114300" simplePos="0" relativeHeight="251663872" behindDoc="0" locked="0" layoutInCell="1" allowOverlap="1" wp14:anchorId="31A67B1F" wp14:editId="1706EF28">
                <wp:simplePos x="0" y="0"/>
                <wp:positionH relativeFrom="margin">
                  <wp:posOffset>3408045</wp:posOffset>
                </wp:positionH>
                <wp:positionV relativeFrom="paragraph">
                  <wp:posOffset>975673</wp:posOffset>
                </wp:positionV>
                <wp:extent cx="2360930" cy="2448560"/>
                <wp:effectExtent l="0" t="0" r="12700" b="279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48560"/>
                        </a:xfrm>
                        <a:prstGeom prst="rect">
                          <a:avLst/>
                        </a:prstGeom>
                        <a:solidFill>
                          <a:srgbClr val="FFFFFF"/>
                        </a:solidFill>
                        <a:ln w="9525">
                          <a:solidFill>
                            <a:schemeClr val="bg1">
                              <a:lumMod val="65000"/>
                            </a:schemeClr>
                          </a:solidFill>
                          <a:miter lim="800000"/>
                          <a:headEnd/>
                          <a:tailEnd/>
                        </a:ln>
                      </wps:spPr>
                      <wps:txbx>
                        <w:txbxContent>
                          <w:p w14:paraId="208AC43D" w14:textId="72BB0C08" w:rsidR="00DF511C" w:rsidRPr="007D367A" w:rsidRDefault="00DF511C" w:rsidP="00DF511C">
                            <w:pPr>
                              <w:jc w:val="center"/>
                              <w:rPr>
                                <w:b/>
                                <w:lang w:val="en-US"/>
                              </w:rPr>
                            </w:pPr>
                            <w:r w:rsidRPr="007D367A">
                              <w:rPr>
                                <w:b/>
                                <w:lang w:val="en-US"/>
                              </w:rPr>
                              <w:t xml:space="preserve">Regulatory concepts </w:t>
                            </w:r>
                            <w:r w:rsidR="006E0668" w:rsidRPr="007D367A">
                              <w:rPr>
                                <w:b/>
                                <w:lang w:val="en-US"/>
                              </w:rPr>
                              <w:t>&amp;</w:t>
                            </w:r>
                            <w:r w:rsidR="006E0668" w:rsidRPr="007D367A">
                              <w:rPr>
                                <w:b/>
                                <w:lang w:val="en-US"/>
                              </w:rPr>
                              <w:br/>
                            </w:r>
                            <w:r w:rsidRPr="007D367A">
                              <w:rPr>
                                <w:b/>
                                <w:lang w:val="en-US"/>
                              </w:rPr>
                              <w:t>capital markets law</w:t>
                            </w:r>
                          </w:p>
                          <w:p w14:paraId="008A1547" w14:textId="48CD64FE" w:rsidR="00DF511C" w:rsidRDefault="00DF511C" w:rsidP="00AB42AA">
                            <w:pPr>
                              <w:pStyle w:val="Listenabsatz"/>
                              <w:numPr>
                                <w:ilvl w:val="0"/>
                                <w:numId w:val="15"/>
                              </w:numPr>
                              <w:jc w:val="left"/>
                            </w:pPr>
                            <w:r>
                              <w:t>transparency &amp; reporting requirements</w:t>
                            </w:r>
                          </w:p>
                          <w:p w14:paraId="0AA82EC1" w14:textId="5877235F" w:rsidR="00DF511C" w:rsidRDefault="00DF511C" w:rsidP="00AB42AA">
                            <w:pPr>
                              <w:pStyle w:val="Listenabsatz"/>
                              <w:numPr>
                                <w:ilvl w:val="0"/>
                                <w:numId w:val="15"/>
                              </w:numPr>
                              <w:jc w:val="left"/>
                            </w:pPr>
                            <w:r>
                              <w:t>regulation and prohibition of transactions</w:t>
                            </w:r>
                          </w:p>
                          <w:p w14:paraId="6D94DBBC" w14:textId="567B240F" w:rsidR="00DF511C" w:rsidRDefault="00DF511C" w:rsidP="00AB42AA">
                            <w:pPr>
                              <w:pStyle w:val="Listenabsatz"/>
                              <w:numPr>
                                <w:ilvl w:val="0"/>
                                <w:numId w:val="15"/>
                              </w:numPr>
                            </w:pPr>
                            <w:r>
                              <w:t>governance rules</w:t>
                            </w:r>
                            <w:r w:rsidR="00683148">
                              <w:t xml:space="preserve"> </w:t>
                            </w:r>
                          </w:p>
                          <w:p w14:paraId="1035A50D" w14:textId="73B0E487" w:rsidR="00DF511C" w:rsidRDefault="00DF511C" w:rsidP="00AB42AA">
                            <w:pPr>
                              <w:pStyle w:val="Listenabsatz"/>
                              <w:numPr>
                                <w:ilvl w:val="0"/>
                                <w:numId w:val="15"/>
                              </w:numPr>
                            </w:pPr>
                            <w:r>
                              <w:t>prudential rules</w:t>
                            </w:r>
                          </w:p>
                          <w:p w14:paraId="643C1670" w14:textId="66D52501" w:rsidR="00174163" w:rsidRDefault="00174163" w:rsidP="00AB42AA">
                            <w:pPr>
                              <w:pStyle w:val="Listenabsatz"/>
                              <w:numPr>
                                <w:ilvl w:val="0"/>
                                <w:numId w:val="15"/>
                              </w:numPr>
                            </w:pPr>
                            <w:r>
                              <w:t xml:space="preserve">licencing </w:t>
                            </w:r>
                            <w:r w:rsidR="00E15104">
                              <w:t xml:space="preserve">and approval </w:t>
                            </w:r>
                            <w:r>
                              <w:t>requirements</w:t>
                            </w:r>
                          </w:p>
                          <w:p w14:paraId="40D56CB5" w14:textId="307955A7" w:rsidR="008F2105" w:rsidRDefault="008F2105" w:rsidP="00AB42AA">
                            <w:pPr>
                              <w:pStyle w:val="Listenabsatz"/>
                              <w:numPr>
                                <w:ilvl w:val="0"/>
                                <w:numId w:val="15"/>
                              </w:numPr>
                            </w:pPr>
                            <w:r>
                              <w:t>prudential and conduct supervision</w:t>
                            </w:r>
                          </w:p>
                          <w:p w14:paraId="301709D4" w14:textId="2C548094" w:rsidR="00DF511C" w:rsidRDefault="00DF511C" w:rsidP="00AB42AA">
                            <w:pPr>
                              <w:pStyle w:val="Listenabsatz"/>
                              <w:numPr>
                                <w:ilvl w:val="0"/>
                                <w:numId w:val="15"/>
                              </w:numPr>
                            </w:pPr>
                            <w:r>
                              <w:t>public and private enforcement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1A67B1F" id="_x0000_s1027" type="#_x0000_t202" style="position:absolute;left:0;text-align:left;margin-left:268.35pt;margin-top:76.8pt;width:185.9pt;height:192.8pt;z-index:2516638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" strokecolor="#a5a5a5 [2092]">
                <v:textbox>
                  <w:txbxContent>
                    <w:p w14:paraId="208AC43D" w14:textId="72BB0C08" w:rsidR="00DF511C" w:rsidRPr="007D367A" w:rsidRDefault="00DF511C" w:rsidP="00DF511C">
                      <w:pPr>
                        <w:jc w:val="center"/>
                        <w:rPr>
                          <w:b/>
                          <w:lang w:val="en-US"/>
                        </w:rPr>
                      </w:pPr>
                      <w:r w:rsidRPr="007D367A">
                        <w:rPr>
                          <w:b/>
                          <w:lang w:val="en-US"/>
                        </w:rPr>
                        <w:t xml:space="preserve">Regulatory concepts </w:t>
                      </w:r>
                      <w:r w:rsidR="006E0668" w:rsidRPr="007D367A">
                        <w:rPr>
                          <w:b/>
                          <w:lang w:val="en-US"/>
                        </w:rPr>
                        <w:t>&amp;</w:t>
                      </w:r>
                      <w:r w:rsidR="006E0668" w:rsidRPr="007D367A">
                        <w:rPr>
                          <w:b/>
                          <w:lang w:val="en-US"/>
                        </w:rPr>
                        <w:br/>
                      </w:r>
                      <w:r w:rsidRPr="007D367A">
                        <w:rPr>
                          <w:b/>
                          <w:lang w:val="en-US"/>
                        </w:rPr>
                        <w:t>capital markets law</w:t>
                      </w:r>
                    </w:p>
                    <w:p w14:paraId="008A1547" w14:textId="48CD64FE" w:rsidR="00DF511C" w:rsidRDefault="00DF511C" w:rsidP="00AB42AA">
                      <w:pPr>
                        <w:pStyle w:val="Listenabsatz"/>
                        <w:numPr>
                          <w:ilvl w:val="0"/>
                          <w:numId w:val="15"/>
                        </w:numPr>
                        <w:jc w:val="left"/>
                      </w:pPr>
                      <w:r>
                        <w:t>transparency &amp; reporting requirements</w:t>
                      </w:r>
                    </w:p>
                    <w:p w14:paraId="0AA82EC1" w14:textId="5877235F" w:rsidR="00DF511C" w:rsidRDefault="00DF511C" w:rsidP="00AB42AA">
                      <w:pPr>
                        <w:pStyle w:val="Listenabsatz"/>
                        <w:numPr>
                          <w:ilvl w:val="0"/>
                          <w:numId w:val="15"/>
                        </w:numPr>
                        <w:jc w:val="left"/>
                      </w:pPr>
                      <w:r>
                        <w:t>regulation and prohibition of transactions</w:t>
                      </w:r>
                    </w:p>
                    <w:p w14:paraId="6D94DBBC" w14:textId="567B240F" w:rsidR="00DF511C" w:rsidRDefault="00DF511C" w:rsidP="00AB42AA">
                      <w:pPr>
                        <w:pStyle w:val="Listenabsatz"/>
                        <w:numPr>
                          <w:ilvl w:val="0"/>
                          <w:numId w:val="15"/>
                        </w:numPr>
                      </w:pPr>
                      <w:r>
                        <w:t>governance rules</w:t>
                      </w:r>
                      <w:r w:rsidR="00683148">
                        <w:t xml:space="preserve"> </w:t>
                      </w:r>
                    </w:p>
                    <w:p w14:paraId="1035A50D" w14:textId="73B0E487" w:rsidR="00DF511C" w:rsidRDefault="00DF511C" w:rsidP="00AB42AA">
                      <w:pPr>
                        <w:pStyle w:val="Listenabsatz"/>
                        <w:numPr>
                          <w:ilvl w:val="0"/>
                          <w:numId w:val="15"/>
                        </w:numPr>
                      </w:pPr>
                      <w:r>
                        <w:t>prudential rules</w:t>
                      </w:r>
                    </w:p>
                    <w:p w14:paraId="643C1670" w14:textId="66D52501" w:rsidR="00174163" w:rsidRDefault="00174163" w:rsidP="00AB42AA">
                      <w:pPr>
                        <w:pStyle w:val="Listenabsatz"/>
                        <w:numPr>
                          <w:ilvl w:val="0"/>
                          <w:numId w:val="15"/>
                        </w:numPr>
                      </w:pPr>
                      <w:r>
                        <w:t xml:space="preserve">licencing </w:t>
                      </w:r>
                      <w:r w:rsidR="00E15104">
                        <w:t xml:space="preserve">and approval </w:t>
                      </w:r>
                      <w:r>
                        <w:t>requirements</w:t>
                      </w:r>
                    </w:p>
                    <w:p w14:paraId="40D56CB5" w14:textId="307955A7" w:rsidR="008F2105" w:rsidRDefault="008F2105" w:rsidP="00AB42AA">
                      <w:pPr>
                        <w:pStyle w:val="Listenabsatz"/>
                        <w:numPr>
                          <w:ilvl w:val="0"/>
                          <w:numId w:val="15"/>
                        </w:numPr>
                      </w:pPr>
                      <w:r>
                        <w:t>prudential and conduct supervision</w:t>
                      </w:r>
                    </w:p>
                    <w:p w14:paraId="301709D4" w14:textId="2C548094" w:rsidR="00DF511C" w:rsidRDefault="00DF511C" w:rsidP="00AB42AA">
                      <w:pPr>
                        <w:pStyle w:val="Listenabsatz"/>
                        <w:numPr>
                          <w:ilvl w:val="0"/>
                          <w:numId w:val="15"/>
                        </w:numPr>
                      </w:pPr>
                      <w:r>
                        <w:t>public and private enforcement</w:t>
                      </w:r>
                    </w:p>
                  </w:txbxContent>
                </v:textbox>
                <w10:wrap type="square" anchorx="margin"/>
              </v:shape>
            </w:pict>
          </mc:Fallback>
        </mc:AlternateContent>
      </w:r>
      <w:r w:rsidR="00E112C7" w:rsidRPr="002121A4">
        <w:t>e.g., through requirements as to capitalization and risk management.</w:t>
      </w:r>
      <w:r w:rsidR="00E15104" w:rsidRPr="002121A4">
        <w:t xml:space="preserve"> Licencing requirements make certain activities subject to prior regulatory </w:t>
      </w:r>
      <w:r w:rsidR="00F0185F" w:rsidRPr="002121A4">
        <w:t>authorization</w:t>
      </w:r>
      <w:r w:rsidR="00E15104" w:rsidRPr="002121A4">
        <w:t xml:space="preserve"> or approvals.</w:t>
      </w:r>
      <w:r w:rsidR="00E112C7" w:rsidRPr="002121A4">
        <w:t xml:space="preserve"> </w:t>
      </w:r>
      <w:r w:rsidR="001241E7" w:rsidRPr="002121A4">
        <w:t>Suitable enforcement mechanisms make sure that the</w:t>
      </w:r>
      <w:r w:rsidR="00256835" w:rsidRPr="002121A4">
        <w:t xml:space="preserve"> substantial</w:t>
      </w:r>
      <w:r w:rsidR="001241E7" w:rsidRPr="002121A4">
        <w:t xml:space="preserve"> market rules are policed properly, including </w:t>
      </w:r>
      <w:r w:rsidR="00FE62D8" w:rsidRPr="002121A4">
        <w:t>both public and private enforcement</w:t>
      </w:r>
      <w:r w:rsidR="001241E7" w:rsidRPr="002121A4">
        <w:t>:</w:t>
      </w:r>
      <w:r w:rsidR="00FE62D8" w:rsidRPr="002121A4">
        <w:t xml:space="preserve"> </w:t>
      </w:r>
      <w:r w:rsidR="007C7A6B" w:rsidRPr="002121A4">
        <w:t xml:space="preserve">Public enforcement </w:t>
      </w:r>
      <w:r w:rsidR="00FE62D8" w:rsidRPr="002121A4">
        <w:t>involves financial sanctions such as fines and disgorgement of profits, non-financial sanctions such as “naming and shaming”, intervention as regards financial instruments, governance of market participants or the revocation of licences. Private enforcement involves civil law remedies, in particular claims for damages for breach of capital market regulation</w:t>
      </w:r>
      <w:r w:rsidR="001A4F65" w:rsidRPr="002121A4">
        <w:t>s</w:t>
      </w:r>
      <w:r w:rsidR="00FE62D8" w:rsidRPr="002121A4">
        <w:t xml:space="preserve"> as is the case for prospectus liability</w:t>
      </w:r>
      <w:r w:rsidR="001A4F65" w:rsidRPr="002121A4">
        <w:t xml:space="preserve"> and liability for mis-selling</w:t>
      </w:r>
      <w:r w:rsidR="00FE62D8" w:rsidRPr="002121A4">
        <w:t>.</w:t>
      </w:r>
    </w:p>
    <w:p w14:paraId="2F309CF1" w14:textId="7FDCA7AB" w:rsidR="00976944" w:rsidRPr="002121A4" w:rsidRDefault="00976944" w:rsidP="00162BB1">
      <w:pPr>
        <w:pStyle w:val="berschrift2"/>
        <w:rPr>
          <w:lang w:val="en-GB"/>
        </w:rPr>
      </w:pPr>
      <w:bookmarkStart w:id="24" w:name="_Toc194577762"/>
      <w:r w:rsidRPr="002121A4">
        <w:rPr>
          <w:lang w:val="en-GB"/>
        </w:rPr>
        <w:lastRenderedPageBreak/>
        <w:t xml:space="preserve">What </w:t>
      </w:r>
      <w:r w:rsidR="00657BD0" w:rsidRPr="002121A4">
        <w:rPr>
          <w:lang w:val="en-GB"/>
        </w:rPr>
        <w:t xml:space="preserve">is the role of </w:t>
      </w:r>
      <w:r w:rsidR="00AA2315" w:rsidRPr="002121A4">
        <w:rPr>
          <w:lang w:val="en-GB"/>
        </w:rPr>
        <w:t xml:space="preserve">the </w:t>
      </w:r>
      <w:r w:rsidR="00657BD0" w:rsidRPr="002121A4">
        <w:rPr>
          <w:lang w:val="en-GB"/>
        </w:rPr>
        <w:t xml:space="preserve">EU </w:t>
      </w:r>
      <w:r w:rsidR="00AA2315" w:rsidRPr="002121A4">
        <w:rPr>
          <w:lang w:val="en-GB"/>
        </w:rPr>
        <w:t xml:space="preserve">for capital markets </w:t>
      </w:r>
      <w:r w:rsidR="00657BD0" w:rsidRPr="002121A4">
        <w:rPr>
          <w:lang w:val="en-GB"/>
        </w:rPr>
        <w:t>law</w:t>
      </w:r>
      <w:r w:rsidRPr="002121A4">
        <w:rPr>
          <w:lang w:val="en-GB"/>
        </w:rPr>
        <w:t>?</w:t>
      </w:r>
      <w:bookmarkEnd w:id="24"/>
    </w:p>
    <w:p w14:paraId="407341FE" w14:textId="5ADCAE12" w:rsidR="00441398" w:rsidRPr="002121A4" w:rsidRDefault="00441398" w:rsidP="00162BB1">
      <w:pPr>
        <w:pStyle w:val="berschrift3"/>
        <w:rPr>
          <w:lang w:val="en-GB"/>
        </w:rPr>
      </w:pPr>
      <w:bookmarkStart w:id="25" w:name="_Hlk124235733"/>
      <w:r w:rsidRPr="002121A4">
        <w:rPr>
          <w:lang w:val="en-GB"/>
        </w:rPr>
        <w:t>EU capital markets legislation</w:t>
      </w:r>
    </w:p>
    <w:bookmarkEnd w:id="25"/>
    <w:p w14:paraId="7B771588" w14:textId="6D8CB398" w:rsidR="00831678" w:rsidRPr="002121A4" w:rsidRDefault="0070499A" w:rsidP="00FC7ABE">
      <w:pPr>
        <w:pStyle w:val="Standardwithparanumbering"/>
      </w:pPr>
      <w:r w:rsidRPr="002121A4">
        <w:t>The EU capital market is part of the internal market, and accordingly, the EU pursues the objective of market integration by providing for “the degree of harmonization needed to offer investors a high level of protection and to allow investment firms to provide services throughout the Union”.</w:t>
      </w:r>
      <w:r w:rsidRPr="002121A4">
        <w:rPr>
          <w:rStyle w:val="Funotenzeichen"/>
        </w:rPr>
        <w:footnoteReference w:id="27"/>
      </w:r>
      <w:r w:rsidRPr="002121A4">
        <w:t xml:space="preserve"> </w:t>
      </w:r>
      <w:r w:rsidR="00DE4EDE" w:rsidRPr="002121A4">
        <w:t xml:space="preserve">At </w:t>
      </w:r>
      <w:r w:rsidR="00E609F9" w:rsidRPr="002121A4">
        <w:t>EU</w:t>
      </w:r>
      <w:r w:rsidR="00DE4EDE" w:rsidRPr="002121A4">
        <w:t xml:space="preserve"> level</w:t>
      </w:r>
      <w:r w:rsidR="00E609F9" w:rsidRPr="002121A4">
        <w:t xml:space="preserve">, capital market legislation has </w:t>
      </w:r>
      <w:r w:rsidR="00DE4EDE" w:rsidRPr="002121A4">
        <w:t>contin</w:t>
      </w:r>
      <w:r w:rsidR="007E1210">
        <w:t>u</w:t>
      </w:r>
      <w:r w:rsidR="00DE4EDE" w:rsidRPr="002121A4">
        <w:t xml:space="preserve">ously </w:t>
      </w:r>
      <w:r w:rsidR="00991907" w:rsidRPr="002121A4">
        <w:t xml:space="preserve">expanded </w:t>
      </w:r>
      <w:r w:rsidR="00E609F9" w:rsidRPr="002121A4">
        <w:t xml:space="preserve">over </w:t>
      </w:r>
      <w:r w:rsidR="00991907" w:rsidRPr="002121A4">
        <w:t xml:space="preserve">the last </w:t>
      </w:r>
      <w:r w:rsidR="00E96BB4" w:rsidRPr="002121A4">
        <w:t>decades</w:t>
      </w:r>
      <w:r w:rsidR="00E609F9" w:rsidRPr="002121A4">
        <w:t xml:space="preserve">. Initially, EU legislation was largely based on freedom of establishment under </w:t>
      </w:r>
      <w:r w:rsidR="001870C0" w:rsidRPr="002121A4">
        <w:t>article </w:t>
      </w:r>
      <w:r w:rsidR="00E609F9" w:rsidRPr="002121A4">
        <w:t xml:space="preserve">50(2)(g) TFEU and corresponding provisions in previous treaties. However, this provision only allows for the </w:t>
      </w:r>
      <w:r w:rsidR="00E609F9" w:rsidRPr="002121A4">
        <w:rPr>
          <w:i/>
        </w:rPr>
        <w:t>coordination</w:t>
      </w:r>
      <w:r w:rsidR="00E609F9" w:rsidRPr="002121A4">
        <w:t xml:space="preserve"> of domestic legislation</w:t>
      </w:r>
      <w:r w:rsidR="00060AE7" w:rsidRPr="002121A4">
        <w:t xml:space="preserve"> (as opposed to </w:t>
      </w:r>
      <w:r w:rsidR="00060AE7" w:rsidRPr="002121A4">
        <w:rPr>
          <w:i/>
        </w:rPr>
        <w:t>harmon</w:t>
      </w:r>
      <w:r w:rsidR="00706D6F" w:rsidRPr="002121A4">
        <w:rPr>
          <w:i/>
        </w:rPr>
        <w:t>ization</w:t>
      </w:r>
      <w:r w:rsidR="00060AE7" w:rsidRPr="002121A4">
        <w:t>). M</w:t>
      </w:r>
      <w:r w:rsidR="00E609F9" w:rsidRPr="002121A4">
        <w:t xml:space="preserve">ore recently, the EU legislator has been relying </w:t>
      </w:r>
      <w:r w:rsidR="001E1F50" w:rsidRPr="002121A4">
        <w:t>primar</w:t>
      </w:r>
      <w:r w:rsidR="00E609F9" w:rsidRPr="002121A4">
        <w:t xml:space="preserve">ily on the competence for establishing an internal market under </w:t>
      </w:r>
      <w:r w:rsidR="001870C0" w:rsidRPr="002121A4">
        <w:t>article </w:t>
      </w:r>
      <w:r w:rsidR="00E609F9" w:rsidRPr="002121A4">
        <w:t xml:space="preserve">114 TFEU to pass fully harmonized </w:t>
      </w:r>
      <w:r w:rsidR="00AD4324" w:rsidRPr="002121A4">
        <w:t>legislation</w:t>
      </w:r>
      <w:r w:rsidR="00E609F9" w:rsidRPr="002121A4">
        <w:t>.</w:t>
      </w:r>
      <w:r w:rsidR="00AD4324" w:rsidRPr="002121A4">
        <w:t xml:space="preserve"> </w:t>
      </w:r>
      <w:r w:rsidR="00831678" w:rsidRPr="002121A4">
        <w:t>Today, there is virtually no are</w:t>
      </w:r>
      <w:r w:rsidR="006E4F33" w:rsidRPr="002121A4">
        <w:t>a</w:t>
      </w:r>
      <w:r w:rsidR="00831678" w:rsidRPr="002121A4">
        <w:t xml:space="preserve"> in capital markets law that is not to some extent dealt with by EU legislation.</w:t>
      </w:r>
    </w:p>
    <w:p w14:paraId="79D413D2" w14:textId="2B21734E" w:rsidR="000418C4" w:rsidRPr="002121A4" w:rsidRDefault="00831678" w:rsidP="000418C4">
      <w:pPr>
        <w:pStyle w:val="Standardwithparanumbering"/>
      </w:pPr>
      <w:r w:rsidRPr="002121A4">
        <w:t>EU l</w:t>
      </w:r>
      <w:r w:rsidR="00AD4324" w:rsidRPr="002121A4">
        <w:t xml:space="preserve">egislative instruments include both regulations </w:t>
      </w:r>
      <w:r w:rsidR="00B63EF2" w:rsidRPr="002121A4">
        <w:t>that are binding and directly applicable in all Member States</w:t>
      </w:r>
      <w:r w:rsidR="006E4F33" w:rsidRPr="002121A4">
        <w:rPr>
          <w:rStyle w:val="Funotenzeichen"/>
        </w:rPr>
        <w:footnoteReference w:id="28"/>
      </w:r>
      <w:r w:rsidR="00B63EF2" w:rsidRPr="002121A4">
        <w:t xml:space="preserve"> and directives that are binding on Member States which can choose the form and methods to implement the directive in the domestic legal system</w:t>
      </w:r>
      <w:r w:rsidR="00AD4324" w:rsidRPr="002121A4">
        <w:t>.</w:t>
      </w:r>
      <w:r w:rsidR="006E4F33" w:rsidRPr="002121A4">
        <w:rPr>
          <w:rStyle w:val="Funotenzeichen"/>
        </w:rPr>
        <w:footnoteReference w:id="29"/>
      </w:r>
      <w:r w:rsidR="00610473" w:rsidRPr="002121A4">
        <w:t xml:space="preserve"> Recent years have shown a trend towards the use of regulations</w:t>
      </w:r>
      <w:r w:rsidR="000418C4" w:rsidRPr="002121A4">
        <w:t>, reflecting the need to ensure that there are uniform rules</w:t>
      </w:r>
      <w:r w:rsidR="004222A4" w:rsidRPr="002121A4">
        <w:t>,</w:t>
      </w:r>
      <w:r w:rsidR="000418C4" w:rsidRPr="002121A4">
        <w:t xml:space="preserve"> clarity of key concepts</w:t>
      </w:r>
      <w:r w:rsidR="004222A4" w:rsidRPr="002121A4">
        <w:t>,</w:t>
      </w:r>
      <w:r w:rsidR="000418C4" w:rsidRPr="002121A4">
        <w:t xml:space="preserve"> and a single rule book</w:t>
      </w:r>
      <w:r w:rsidR="007F0005" w:rsidRPr="002121A4">
        <w:t xml:space="preserve">. Recent examples of this trend are </w:t>
      </w:r>
      <w:r w:rsidR="00490581" w:rsidRPr="002121A4">
        <w:t>the Market Abuse Regulation and the Prospectus Regulation</w:t>
      </w:r>
      <w:r w:rsidR="007F0005" w:rsidRPr="002121A4">
        <w:t>,</w:t>
      </w:r>
      <w:r w:rsidR="00490581" w:rsidRPr="002121A4">
        <w:t xml:space="preserve"> which replaced previous EU directives</w:t>
      </w:r>
      <w:r w:rsidR="000418C4" w:rsidRPr="002121A4">
        <w:t>.</w:t>
      </w:r>
      <w:r w:rsidR="000418C4" w:rsidRPr="002121A4">
        <w:rPr>
          <w:rStyle w:val="Funotenzeichen"/>
        </w:rPr>
        <w:footnoteReference w:id="30"/>
      </w:r>
    </w:p>
    <w:p w14:paraId="08FE2889" w14:textId="7B9BF483" w:rsidR="00533A98" w:rsidRPr="002121A4" w:rsidRDefault="007E5F7A" w:rsidP="005478B6">
      <w:pPr>
        <w:pStyle w:val="Standardwithparanumbering"/>
      </w:pPr>
      <w:bookmarkStart w:id="26" w:name="_Ref130849130"/>
      <w:r w:rsidRPr="002121A4">
        <w:t xml:space="preserve">The rule-making process for capital market regulation in the EU is </w:t>
      </w:r>
      <w:r w:rsidR="001B7923" w:rsidRPr="002121A4">
        <w:t xml:space="preserve">often referred to as </w:t>
      </w:r>
      <w:r w:rsidRPr="002121A4">
        <w:t>the “</w:t>
      </w:r>
      <w:proofErr w:type="spellStart"/>
      <w:r w:rsidR="00B63545" w:rsidRPr="002121A4">
        <w:t>Lamfalussy</w:t>
      </w:r>
      <w:proofErr w:type="spellEnd"/>
      <w:r w:rsidR="00B63545" w:rsidRPr="002121A4">
        <w:t xml:space="preserve"> </w:t>
      </w:r>
      <w:r w:rsidRPr="002121A4">
        <w:t>P</w:t>
      </w:r>
      <w:r w:rsidR="00B63545" w:rsidRPr="002121A4">
        <w:t>rocess</w:t>
      </w:r>
      <w:r w:rsidRPr="002121A4">
        <w:t>”.</w:t>
      </w:r>
      <w:r w:rsidR="000B6682" w:rsidRPr="002121A4">
        <w:rPr>
          <w:rStyle w:val="Funotenzeichen"/>
        </w:rPr>
        <w:footnoteReference w:id="31"/>
      </w:r>
      <w:r w:rsidR="00AD4324" w:rsidRPr="002121A4">
        <w:t xml:space="preserve"> It </w:t>
      </w:r>
      <w:r w:rsidR="000845E3" w:rsidRPr="002121A4">
        <w:t xml:space="preserve">is based on the 2001 </w:t>
      </w:r>
      <w:proofErr w:type="spellStart"/>
      <w:r w:rsidR="000845E3" w:rsidRPr="002121A4">
        <w:t>Lamfalussy</w:t>
      </w:r>
      <w:proofErr w:type="spellEnd"/>
      <w:r w:rsidR="000845E3" w:rsidRPr="002121A4">
        <w:t xml:space="preserve"> report</w:t>
      </w:r>
      <w:r w:rsidR="000845E3" w:rsidRPr="002121A4">
        <w:rPr>
          <w:rStyle w:val="Funotenzeichen"/>
        </w:rPr>
        <w:footnoteReference w:id="32"/>
      </w:r>
      <w:r w:rsidR="000845E3" w:rsidRPr="002121A4">
        <w:t xml:space="preserve"> and </w:t>
      </w:r>
      <w:r w:rsidR="00AD4324" w:rsidRPr="002121A4">
        <w:t>involves four levels: Level</w:t>
      </w:r>
      <w:r w:rsidR="00F458D5" w:rsidRPr="002121A4">
        <w:t> </w:t>
      </w:r>
      <w:r w:rsidR="00AD4324" w:rsidRPr="002121A4">
        <w:t>1 is the enactment of framework directives or regulations</w:t>
      </w:r>
      <w:r w:rsidR="00185543" w:rsidRPr="002121A4">
        <w:t xml:space="preserve"> containing basic principles</w:t>
      </w:r>
      <w:r w:rsidR="00AD4324" w:rsidRPr="002121A4">
        <w:t>.</w:t>
      </w:r>
      <w:r w:rsidR="000A5A6B" w:rsidRPr="002121A4">
        <w:t xml:space="preserve"> Level</w:t>
      </w:r>
      <w:r w:rsidR="005D2E6E" w:rsidRPr="002121A4">
        <w:t> </w:t>
      </w:r>
      <w:r w:rsidR="000A5A6B" w:rsidRPr="002121A4">
        <w:t xml:space="preserve">2 </w:t>
      </w:r>
      <w:r w:rsidR="007428B3" w:rsidRPr="002121A4">
        <w:t xml:space="preserve">consists of </w:t>
      </w:r>
      <w:r w:rsidR="00185543" w:rsidRPr="002121A4">
        <w:t xml:space="preserve">delegated acts under </w:t>
      </w:r>
      <w:r w:rsidR="001870C0" w:rsidRPr="002121A4">
        <w:t>article </w:t>
      </w:r>
      <w:r w:rsidR="00185543" w:rsidRPr="002121A4">
        <w:t xml:space="preserve">290 TFEU and </w:t>
      </w:r>
      <w:r w:rsidR="000A5A6B" w:rsidRPr="002121A4">
        <w:t xml:space="preserve">implementing </w:t>
      </w:r>
      <w:r w:rsidR="00185543" w:rsidRPr="002121A4">
        <w:t xml:space="preserve">acts under </w:t>
      </w:r>
      <w:r w:rsidR="001870C0" w:rsidRPr="002121A4">
        <w:t>article </w:t>
      </w:r>
      <w:r w:rsidR="00185543" w:rsidRPr="002121A4">
        <w:t>291 TFEU. These level 2 acts</w:t>
      </w:r>
      <w:r w:rsidR="000A5A6B" w:rsidRPr="002121A4">
        <w:t xml:space="preserve"> put level 1 texts into more concrete terms. </w:t>
      </w:r>
      <w:r w:rsidR="00EE1B25" w:rsidRPr="002121A4">
        <w:t xml:space="preserve">Where </w:t>
      </w:r>
      <w:r w:rsidR="00F458D5" w:rsidRPr="002121A4">
        <w:t xml:space="preserve">the preparation of </w:t>
      </w:r>
      <w:r w:rsidR="00EE1B25" w:rsidRPr="002121A4">
        <w:t>level 2 acts involve</w:t>
      </w:r>
      <w:r w:rsidR="00F458D5" w:rsidRPr="002121A4">
        <w:t xml:space="preserve">s </w:t>
      </w:r>
      <w:r w:rsidR="00EE1B25" w:rsidRPr="002121A4">
        <w:t>EU supervisory authorities, they are adopted as “regulatory</w:t>
      </w:r>
      <w:r w:rsidR="00B7644E" w:rsidRPr="002121A4">
        <w:t>” or “implementing”</w:t>
      </w:r>
      <w:r w:rsidR="00EE1B25" w:rsidRPr="002121A4">
        <w:t xml:space="preserve"> technical standards</w:t>
      </w:r>
      <w:r w:rsidR="00B7644E" w:rsidRPr="002121A4">
        <w:t xml:space="preserve"> (e.g., under </w:t>
      </w:r>
      <w:r w:rsidR="001870C0" w:rsidRPr="002121A4">
        <w:t>articles </w:t>
      </w:r>
      <w:r w:rsidR="00B7644E" w:rsidRPr="002121A4">
        <w:t>10 and 15 ESMA Regulation)</w:t>
      </w:r>
      <w:r w:rsidR="00EE1B25" w:rsidRPr="002121A4">
        <w:t xml:space="preserve">. </w:t>
      </w:r>
      <w:r w:rsidR="000A5A6B" w:rsidRPr="002121A4">
        <w:t>Level</w:t>
      </w:r>
      <w:r w:rsidR="007B26B4" w:rsidRPr="002121A4">
        <w:t> </w:t>
      </w:r>
      <w:r w:rsidR="000A5A6B" w:rsidRPr="002121A4">
        <w:t xml:space="preserve">3 </w:t>
      </w:r>
      <w:r w:rsidR="000845E3" w:rsidRPr="002121A4">
        <w:t xml:space="preserve">is concerned with </w:t>
      </w:r>
      <w:r w:rsidR="001D41EC" w:rsidRPr="002121A4">
        <w:t>coherent application of EU law</w:t>
      </w:r>
      <w:r w:rsidR="005D2E6E" w:rsidRPr="002121A4">
        <w:t xml:space="preserve"> and</w:t>
      </w:r>
      <w:r w:rsidR="00FA3700" w:rsidRPr="002121A4">
        <w:t xml:space="preserve"> </w:t>
      </w:r>
      <w:r w:rsidR="000A5A6B" w:rsidRPr="002121A4">
        <w:t xml:space="preserve">covers </w:t>
      </w:r>
      <w:r w:rsidR="00E3565F" w:rsidRPr="002121A4">
        <w:t xml:space="preserve">“soft law instruments”, </w:t>
      </w:r>
      <w:r w:rsidR="001D1662" w:rsidRPr="002121A4">
        <w:t>e.g</w:t>
      </w:r>
      <w:r w:rsidR="00E3565F" w:rsidRPr="002121A4">
        <w:t xml:space="preserve">., </w:t>
      </w:r>
      <w:r w:rsidR="000A5A6B" w:rsidRPr="002121A4">
        <w:t xml:space="preserve">guidelines and recommendations under </w:t>
      </w:r>
      <w:r w:rsidR="001870C0" w:rsidRPr="002121A4">
        <w:t>article </w:t>
      </w:r>
      <w:r w:rsidR="000A5A6B" w:rsidRPr="002121A4">
        <w:t>16 ESMA Regulation</w:t>
      </w:r>
      <w:r w:rsidR="00FA3700" w:rsidRPr="002121A4">
        <w:t>,</w:t>
      </w:r>
      <w:r w:rsidR="00E3565F" w:rsidRPr="002121A4">
        <w:t xml:space="preserve"> </w:t>
      </w:r>
      <w:r w:rsidR="00FC6EED" w:rsidRPr="002121A4">
        <w:t>an</w:t>
      </w:r>
      <w:r w:rsidR="00026DAB" w:rsidRPr="002121A4">
        <w:t>d</w:t>
      </w:r>
      <w:r w:rsidR="00FC6EED" w:rsidRPr="002121A4">
        <w:t xml:space="preserve"> </w:t>
      </w:r>
      <w:r w:rsidR="00E3565F" w:rsidRPr="002121A4">
        <w:t>“Q&amp;A” documents prepared by ESMA</w:t>
      </w:r>
      <w:r w:rsidR="00944496" w:rsidRPr="002121A4">
        <w:t xml:space="preserve"> </w:t>
      </w:r>
      <w:r w:rsidR="009C70F4" w:rsidRPr="002121A4">
        <w:t xml:space="preserve">under </w:t>
      </w:r>
      <w:r w:rsidR="001870C0" w:rsidRPr="002121A4">
        <w:t>article </w:t>
      </w:r>
      <w:r w:rsidR="009C70F4" w:rsidRPr="002121A4">
        <w:t>16b</w:t>
      </w:r>
      <w:r w:rsidR="00944496" w:rsidRPr="002121A4">
        <w:t xml:space="preserve"> ESMA Regulation</w:t>
      </w:r>
      <w:r w:rsidR="000845E3" w:rsidRPr="002121A4">
        <w:t>. At level 4</w:t>
      </w:r>
      <w:r w:rsidR="00FC6EED" w:rsidRPr="002121A4">
        <w:t>,</w:t>
      </w:r>
      <w:r w:rsidR="000845E3" w:rsidRPr="002121A4">
        <w:t xml:space="preserve"> the report advocates a stronger role for the Commission in ensuring the correct enforcement of EU rules by national governments</w:t>
      </w:r>
      <w:r w:rsidR="009C70F4" w:rsidRPr="002121A4">
        <w:t xml:space="preserve">, to which one could add ESMA activities in that regard, e.g., “peer reviews” pursuant to </w:t>
      </w:r>
      <w:r w:rsidR="001870C0" w:rsidRPr="002121A4">
        <w:t>article </w:t>
      </w:r>
      <w:r w:rsidR="009C70F4" w:rsidRPr="002121A4">
        <w:t xml:space="preserve">30 ESMA Regulation, and the control of compliance of </w:t>
      </w:r>
      <w:r w:rsidR="00917AC7">
        <w:t>domestic regulators</w:t>
      </w:r>
      <w:r w:rsidR="009C70F4" w:rsidRPr="002121A4">
        <w:t xml:space="preserve"> with Union law</w:t>
      </w:r>
      <w:r w:rsidR="000845E3" w:rsidRPr="002121A4">
        <w:t>.</w:t>
      </w:r>
      <w:r w:rsidR="000E1D97" w:rsidRPr="002121A4">
        <w:rPr>
          <w:rStyle w:val="Funotenzeichen"/>
        </w:rPr>
        <w:footnoteReference w:id="33"/>
      </w:r>
      <w:r w:rsidR="00FA3700" w:rsidRPr="002121A4">
        <w:t xml:space="preserve"> </w:t>
      </w:r>
      <w:r w:rsidR="00533A98" w:rsidRPr="002121A4">
        <w:t xml:space="preserve">ESMA maintains an “Interactive Single Rulebook” </w:t>
      </w:r>
      <w:r w:rsidR="00792CE2" w:rsidRPr="002121A4">
        <w:t xml:space="preserve">(ISRB) </w:t>
      </w:r>
      <w:r w:rsidR="00533A98" w:rsidRPr="002121A4">
        <w:t xml:space="preserve">which is an online tool providing a comprehensive overview of all level 2 and level 3 measures adopted in relation to a given level 1 text. The ISRB is available online at: </w:t>
      </w:r>
      <w:hyperlink r:id="rId14" w:history="1">
        <w:r w:rsidR="00533A98" w:rsidRPr="002121A4">
          <w:rPr>
            <w:rStyle w:val="Hyperlink"/>
          </w:rPr>
          <w:t>https://www.esma.europa.eu/publications-and-data/interactive-single-rulebook</w:t>
        </w:r>
      </w:hyperlink>
      <w:bookmarkEnd w:id="26"/>
      <w:r w:rsidR="00C453B9">
        <w:t xml:space="preserve"> (accessed </w:t>
      </w:r>
      <w:r w:rsidR="002C742D">
        <w:t>2 April 2025</w:t>
      </w:r>
      <w:r w:rsidR="00C453B9">
        <w:t>).</w:t>
      </w:r>
    </w:p>
    <w:p w14:paraId="5B90185C" w14:textId="64F6BE10" w:rsidR="00ED11C7" w:rsidRPr="002121A4" w:rsidRDefault="00D978F8" w:rsidP="00D978F8">
      <w:pPr>
        <w:pStyle w:val="Standardwithparanumbering"/>
      </w:pPr>
      <w:bookmarkStart w:id="27" w:name="_Ref130494190"/>
      <w:r w:rsidRPr="002121A4">
        <w:t xml:space="preserve">By comparison to legislative </w:t>
      </w:r>
      <w:r w:rsidR="00E75E31" w:rsidRPr="002121A4">
        <w:t xml:space="preserve">activities and </w:t>
      </w:r>
      <w:r w:rsidRPr="002121A4">
        <w:t xml:space="preserve">competences of the EU, the role of domestic </w:t>
      </w:r>
      <w:r w:rsidR="00F54140" w:rsidRPr="002121A4">
        <w:t xml:space="preserve">legislation at Member State level </w:t>
      </w:r>
      <w:r w:rsidRPr="002121A4">
        <w:t xml:space="preserve">is somewhat reduced. </w:t>
      </w:r>
      <w:r w:rsidR="006B6F2B" w:rsidRPr="002121A4">
        <w:t xml:space="preserve">In </w:t>
      </w:r>
      <w:r w:rsidR="00FC73F8" w:rsidRPr="002121A4">
        <w:t>many</w:t>
      </w:r>
      <w:r w:rsidR="006B6F2B" w:rsidRPr="002121A4">
        <w:t xml:space="preserve"> fields</w:t>
      </w:r>
      <w:r w:rsidRPr="002121A4">
        <w:t xml:space="preserve">, domestic legislation </w:t>
      </w:r>
      <w:r w:rsidR="00FC73F8" w:rsidRPr="002121A4">
        <w:t xml:space="preserve">has primarily the role of </w:t>
      </w:r>
      <w:r w:rsidRPr="002121A4">
        <w:t>implement</w:t>
      </w:r>
      <w:r w:rsidR="00FC73F8" w:rsidRPr="002121A4">
        <w:t>ing</w:t>
      </w:r>
      <w:r w:rsidRPr="002121A4">
        <w:t xml:space="preserve"> policy decisions taken at EU level, in particular, through the legislative texts</w:t>
      </w:r>
      <w:r w:rsidR="00757DE8" w:rsidRPr="002121A4">
        <w:t xml:space="preserve"> adopted</w:t>
      </w:r>
      <w:r w:rsidR="007E4341" w:rsidRPr="002121A4">
        <w:t xml:space="preserve"> at level 1</w:t>
      </w:r>
      <w:r w:rsidR="00757DE8" w:rsidRPr="002121A4">
        <w:t xml:space="preserve"> of the </w:t>
      </w:r>
      <w:proofErr w:type="spellStart"/>
      <w:r w:rsidR="00757DE8" w:rsidRPr="002121A4">
        <w:t>Lamfalussy</w:t>
      </w:r>
      <w:proofErr w:type="spellEnd"/>
      <w:r w:rsidR="00757DE8" w:rsidRPr="002121A4">
        <w:t xml:space="preserve"> process</w:t>
      </w:r>
      <w:r w:rsidRPr="002121A4">
        <w:t>.</w:t>
      </w:r>
      <w:bookmarkEnd w:id="27"/>
    </w:p>
    <w:p w14:paraId="0DA6DC56" w14:textId="12BC3AFA" w:rsidR="00003CC1" w:rsidRPr="002121A4" w:rsidRDefault="0096608E" w:rsidP="00AB42AA">
      <w:pPr>
        <w:pStyle w:val="Case"/>
        <w:keepNext/>
        <w:numPr>
          <w:ilvl w:val="0"/>
          <w:numId w:val="14"/>
        </w:numPr>
        <w:ind w:left="567" w:firstLine="0"/>
      </w:pPr>
      <w:bookmarkStart w:id="28" w:name="_Ref163121987"/>
      <w:r w:rsidRPr="002121A4">
        <w:t xml:space="preserve">Consider </w:t>
      </w:r>
      <w:r w:rsidR="001001BE" w:rsidRPr="002121A4">
        <w:t xml:space="preserve">how EU law specifies the requirements for the content of a </w:t>
      </w:r>
      <w:r w:rsidR="00E96BB4" w:rsidRPr="002121A4">
        <w:t>securities</w:t>
      </w:r>
      <w:r w:rsidR="001001BE" w:rsidRPr="002121A4">
        <w:t xml:space="preserve"> prospectus unde</w:t>
      </w:r>
      <w:r w:rsidR="005E1AF8" w:rsidRPr="002121A4">
        <w:t xml:space="preserve">r </w:t>
      </w:r>
      <w:r w:rsidR="001001BE" w:rsidRPr="002121A4">
        <w:t>(</w:t>
      </w:r>
      <w:proofErr w:type="spellStart"/>
      <w:r w:rsidR="001001BE" w:rsidRPr="002121A4">
        <w:t>i</w:t>
      </w:r>
      <w:proofErr w:type="spellEnd"/>
      <w:r w:rsidR="001001BE" w:rsidRPr="002121A4">
        <w:t xml:space="preserve">) </w:t>
      </w:r>
      <w:r w:rsidR="001870C0" w:rsidRPr="002121A4">
        <w:t>articles </w:t>
      </w:r>
      <w:r w:rsidR="001001BE" w:rsidRPr="002121A4">
        <w:t xml:space="preserve">13 and 16 PR, (ii) the annexes to </w:t>
      </w:r>
      <w:r w:rsidR="005E1AF8" w:rsidRPr="002121A4">
        <w:t>Commission Delegated Regulation (EU) 2019/980 of 14 March 2019</w:t>
      </w:r>
      <w:r w:rsidR="001001BE" w:rsidRPr="002121A4">
        <w:t>,</w:t>
      </w:r>
      <w:r w:rsidR="005E1AF8" w:rsidRPr="002121A4">
        <w:t xml:space="preserve"> </w:t>
      </w:r>
      <w:r w:rsidR="001001BE" w:rsidRPr="002121A4">
        <w:t>(iii) ESMA Guidelines on risk factors, (iv) ESMA Q&amp;As on prospectuses</w:t>
      </w:r>
      <w:r w:rsidR="00C34121" w:rsidRPr="002121A4">
        <w:t xml:space="preserve">, and (v) ESMA’s </w:t>
      </w:r>
      <w:r w:rsidR="00434E96" w:rsidRPr="002121A4">
        <w:t>p</w:t>
      </w:r>
      <w:r w:rsidR="00C34121" w:rsidRPr="002121A4">
        <w:t>eer review of the scrutiny and approval procedures of prospectuses by competent authorities</w:t>
      </w:r>
      <w:r w:rsidR="001001BE" w:rsidRPr="002121A4">
        <w:t xml:space="preserve">. </w:t>
      </w:r>
      <w:r w:rsidR="00D978F8" w:rsidRPr="002121A4">
        <w:t xml:space="preserve">How do these instruments fit into the </w:t>
      </w:r>
      <w:r w:rsidR="0098261F" w:rsidRPr="002121A4">
        <w:t>categor</w:t>
      </w:r>
      <w:r w:rsidR="00D978F8" w:rsidRPr="002121A4">
        <w:t>ies</w:t>
      </w:r>
      <w:r w:rsidR="0098261F" w:rsidRPr="002121A4">
        <w:t xml:space="preserve"> </w:t>
      </w:r>
      <w:r w:rsidR="00003CC1" w:rsidRPr="002121A4">
        <w:t xml:space="preserve">of the </w:t>
      </w:r>
      <w:proofErr w:type="spellStart"/>
      <w:r w:rsidR="00003CC1" w:rsidRPr="002121A4">
        <w:t>Lamfalussy</w:t>
      </w:r>
      <w:proofErr w:type="spellEnd"/>
      <w:r w:rsidR="00003CC1" w:rsidRPr="002121A4">
        <w:t xml:space="preserve"> process</w:t>
      </w:r>
      <w:r w:rsidR="00D978F8" w:rsidRPr="002121A4">
        <w:t xml:space="preserve">, and </w:t>
      </w:r>
      <w:r w:rsidR="001001BE" w:rsidRPr="002121A4">
        <w:t>what is the role of domestic German law</w:t>
      </w:r>
      <w:r w:rsidR="00FA4FCE" w:rsidRPr="002121A4">
        <w:t>?</w:t>
      </w:r>
      <w:bookmarkEnd w:id="28"/>
    </w:p>
    <w:tbl>
      <w:tblPr>
        <w:tblpPr w:leftFromText="180" w:rightFromText="180" w:vertAnchor="text" w:tblpY="1"/>
        <w:tblOverlap w:val="never"/>
        <w:tblW w:w="9204" w:type="dxa"/>
        <w:tblLayout w:type="fixed"/>
        <w:tblCellMar>
          <w:left w:w="0" w:type="dxa"/>
          <w:right w:w="0" w:type="dxa"/>
        </w:tblCellMar>
        <w:tblLook w:val="04A0" w:firstRow="1" w:lastRow="0" w:firstColumn="1" w:lastColumn="0" w:noHBand="0" w:noVBand="1"/>
      </w:tblPr>
      <w:tblGrid>
        <w:gridCol w:w="2258"/>
        <w:gridCol w:w="6946"/>
      </w:tblGrid>
      <w:tr w:rsidR="00ED11C7" w:rsidRPr="002121A4" w14:paraId="18823F40" w14:textId="77777777" w:rsidTr="002C467D">
        <w:trPr>
          <w:trHeight w:val="340"/>
        </w:trPr>
        <w:tc>
          <w:tcPr>
            <w:tcW w:w="2258"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2035F88" w14:textId="3C3178C8" w:rsidR="00ED11C7" w:rsidRPr="002121A4" w:rsidRDefault="005C6E75" w:rsidP="002C467D">
            <w:pPr>
              <w:keepNext/>
              <w:jc w:val="center"/>
              <w:rPr>
                <w:b/>
                <w:sz w:val="18"/>
                <w:szCs w:val="18"/>
                <w:lang w:val="en-GB"/>
              </w:rPr>
            </w:pPr>
            <w:proofErr w:type="spellStart"/>
            <w:r w:rsidRPr="002121A4">
              <w:rPr>
                <w:b/>
                <w:sz w:val="18"/>
                <w:szCs w:val="18"/>
                <w:lang w:val="en-GB"/>
              </w:rPr>
              <w:t>Lamfalussy</w:t>
            </w:r>
            <w:proofErr w:type="spellEnd"/>
            <w:r w:rsidR="002C467D" w:rsidRPr="002121A4">
              <w:rPr>
                <w:b/>
                <w:sz w:val="18"/>
                <w:szCs w:val="18"/>
                <w:lang w:val="en-GB"/>
              </w:rPr>
              <w:t xml:space="preserve"> process</w:t>
            </w:r>
            <w:r w:rsidRPr="002121A4">
              <w:rPr>
                <w:b/>
                <w:sz w:val="18"/>
                <w:szCs w:val="18"/>
                <w:lang w:val="en-GB"/>
              </w:rPr>
              <w:t xml:space="preserve"> l</w:t>
            </w:r>
            <w:r w:rsidR="00ED11C7" w:rsidRPr="002121A4">
              <w:rPr>
                <w:b/>
                <w:sz w:val="18"/>
                <w:szCs w:val="18"/>
                <w:lang w:val="en-GB"/>
              </w:rPr>
              <w:t>evel</w:t>
            </w:r>
            <w:r w:rsidR="002C467D" w:rsidRPr="002121A4">
              <w:rPr>
                <w:b/>
                <w:sz w:val="18"/>
                <w:szCs w:val="18"/>
                <w:lang w:val="en-GB"/>
              </w:rPr>
              <w:t>s</w:t>
            </w:r>
          </w:p>
        </w:tc>
        <w:tc>
          <w:tcPr>
            <w:tcW w:w="6946"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1674C3A5" w14:textId="77777777" w:rsidR="00ED11C7" w:rsidRPr="002121A4" w:rsidRDefault="00ED11C7" w:rsidP="002C467D">
            <w:pPr>
              <w:keepNext/>
              <w:jc w:val="center"/>
              <w:rPr>
                <w:b/>
                <w:sz w:val="18"/>
                <w:szCs w:val="18"/>
                <w:lang w:val="en-GB"/>
              </w:rPr>
            </w:pPr>
            <w:r w:rsidRPr="002121A4">
              <w:rPr>
                <w:b/>
                <w:sz w:val="18"/>
                <w:szCs w:val="18"/>
                <w:lang w:val="en-GB"/>
              </w:rPr>
              <w:t>Instrument</w:t>
            </w:r>
          </w:p>
        </w:tc>
      </w:tr>
      <w:tr w:rsidR="00ED11C7" w:rsidRPr="002121A4" w14:paraId="0B21DC0A"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2A79B96E" w14:textId="42C1EDE7" w:rsidR="00ED11C7" w:rsidRPr="002121A4" w:rsidRDefault="00ED11C7" w:rsidP="002C467D">
            <w:pPr>
              <w:keepNext/>
              <w:jc w:val="center"/>
              <w:rPr>
                <w:b/>
                <w:sz w:val="18"/>
                <w:szCs w:val="18"/>
                <w:lang w:val="en-GB"/>
              </w:rPr>
            </w:pPr>
            <w:r w:rsidRPr="002121A4">
              <w:rPr>
                <w:b/>
                <w:sz w:val="18"/>
                <w:szCs w:val="18"/>
                <w:lang w:val="en-GB"/>
              </w:rPr>
              <w:t>Level 1</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605DD784" w14:textId="3632A781" w:rsidR="00ED11C7" w:rsidRPr="002121A4" w:rsidRDefault="00ED11C7" w:rsidP="002C467D">
            <w:pPr>
              <w:keepNext/>
              <w:jc w:val="center"/>
              <w:rPr>
                <w:sz w:val="18"/>
                <w:szCs w:val="18"/>
                <w:lang w:val="en-GB"/>
              </w:rPr>
            </w:pPr>
          </w:p>
        </w:tc>
      </w:tr>
      <w:tr w:rsidR="00ED11C7" w:rsidRPr="002121A4" w14:paraId="3DCCACCC"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67F4281E" w14:textId="24D086F2" w:rsidR="00ED11C7" w:rsidRPr="002121A4" w:rsidRDefault="00ED11C7" w:rsidP="002C467D">
            <w:pPr>
              <w:keepNext/>
              <w:jc w:val="center"/>
              <w:rPr>
                <w:b/>
                <w:sz w:val="18"/>
                <w:szCs w:val="18"/>
                <w:lang w:val="en-GB"/>
              </w:rPr>
            </w:pPr>
            <w:r w:rsidRPr="002121A4">
              <w:rPr>
                <w:b/>
                <w:sz w:val="18"/>
                <w:szCs w:val="18"/>
                <w:lang w:val="en-GB"/>
              </w:rPr>
              <w:t>Level 2</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1CB3EE60" w14:textId="5050E1CB" w:rsidR="00ED11C7" w:rsidRPr="002121A4" w:rsidRDefault="00ED11C7" w:rsidP="002C467D">
            <w:pPr>
              <w:keepNext/>
              <w:jc w:val="center"/>
              <w:rPr>
                <w:sz w:val="18"/>
                <w:szCs w:val="18"/>
                <w:lang w:val="en-GB"/>
              </w:rPr>
            </w:pPr>
          </w:p>
        </w:tc>
      </w:tr>
      <w:tr w:rsidR="00ED11C7" w:rsidRPr="002121A4" w14:paraId="5B7BFA98"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5313F14E" w14:textId="564B8120" w:rsidR="00ED11C7" w:rsidRPr="002121A4" w:rsidRDefault="00ED11C7" w:rsidP="002C467D">
            <w:pPr>
              <w:keepNext/>
              <w:jc w:val="center"/>
              <w:rPr>
                <w:b/>
                <w:sz w:val="18"/>
                <w:szCs w:val="18"/>
                <w:lang w:val="en-GB"/>
              </w:rPr>
            </w:pPr>
            <w:r w:rsidRPr="002121A4">
              <w:rPr>
                <w:b/>
                <w:sz w:val="18"/>
                <w:szCs w:val="18"/>
                <w:lang w:val="en-GB"/>
              </w:rPr>
              <w:t>Level 3</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3F1D20B1" w14:textId="49F31218" w:rsidR="00ED11C7" w:rsidRPr="002121A4" w:rsidRDefault="00ED11C7" w:rsidP="002C467D">
            <w:pPr>
              <w:keepNext/>
              <w:jc w:val="center"/>
              <w:rPr>
                <w:sz w:val="18"/>
                <w:szCs w:val="18"/>
                <w:lang w:val="en-GB"/>
              </w:rPr>
            </w:pPr>
          </w:p>
        </w:tc>
      </w:tr>
      <w:tr w:rsidR="00ED11C7" w:rsidRPr="002121A4" w14:paraId="6E2B2F41"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59522D4C" w14:textId="152B3F85" w:rsidR="00ED11C7" w:rsidRPr="002121A4" w:rsidRDefault="00ED11C7" w:rsidP="002C467D">
            <w:pPr>
              <w:keepNext/>
              <w:jc w:val="center"/>
              <w:rPr>
                <w:b/>
                <w:sz w:val="18"/>
                <w:szCs w:val="18"/>
                <w:lang w:val="en-GB"/>
              </w:rPr>
            </w:pPr>
            <w:r w:rsidRPr="002121A4">
              <w:rPr>
                <w:b/>
                <w:sz w:val="18"/>
                <w:szCs w:val="18"/>
                <w:lang w:val="en-GB"/>
              </w:rPr>
              <w:t>Level 4</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40A0A6C8" w14:textId="0D0A0B66" w:rsidR="00ED11C7" w:rsidRPr="002121A4" w:rsidRDefault="00ED11C7" w:rsidP="002C467D">
            <w:pPr>
              <w:keepNext/>
              <w:jc w:val="center"/>
              <w:rPr>
                <w:sz w:val="18"/>
                <w:szCs w:val="18"/>
                <w:lang w:val="en-GB"/>
              </w:rPr>
            </w:pPr>
          </w:p>
        </w:tc>
      </w:tr>
      <w:tr w:rsidR="00FA4FCE" w:rsidRPr="002121A4" w14:paraId="4B58E38C" w14:textId="77777777" w:rsidTr="002C467D">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7F15C7B7" w14:textId="183DB6D2" w:rsidR="00FA4FCE" w:rsidRPr="002121A4" w:rsidRDefault="001001BE" w:rsidP="002C467D">
            <w:pPr>
              <w:keepNext/>
              <w:jc w:val="center"/>
              <w:rPr>
                <w:b/>
                <w:sz w:val="18"/>
                <w:szCs w:val="18"/>
                <w:lang w:val="en-GB"/>
              </w:rPr>
            </w:pPr>
            <w:r w:rsidRPr="002121A4">
              <w:rPr>
                <w:b/>
                <w:sz w:val="18"/>
                <w:szCs w:val="18"/>
                <w:lang w:val="en-GB"/>
              </w:rPr>
              <w:t xml:space="preserve">Role of </w:t>
            </w:r>
            <w:r w:rsidR="00FA4FCE" w:rsidRPr="002121A4">
              <w:rPr>
                <w:b/>
                <w:sz w:val="18"/>
                <w:szCs w:val="18"/>
                <w:lang w:val="en-GB"/>
              </w:rPr>
              <w:t>German law</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019BA6C1" w14:textId="5563F203" w:rsidR="00FA4FCE" w:rsidRPr="002121A4" w:rsidRDefault="00FA4FCE" w:rsidP="002C467D">
            <w:pPr>
              <w:keepNext/>
              <w:jc w:val="center"/>
              <w:rPr>
                <w:sz w:val="18"/>
                <w:szCs w:val="18"/>
                <w:lang w:val="en-GB"/>
              </w:rPr>
            </w:pPr>
          </w:p>
        </w:tc>
      </w:tr>
    </w:tbl>
    <w:p w14:paraId="21861440" w14:textId="13DE5738" w:rsidR="006318EE" w:rsidRPr="002121A4" w:rsidRDefault="006318EE" w:rsidP="006318EE">
      <w:pPr>
        <w:pStyle w:val="berschrift3"/>
        <w:rPr>
          <w:lang w:val="en-GB"/>
        </w:rPr>
      </w:pPr>
      <w:r w:rsidRPr="002121A4">
        <w:rPr>
          <w:lang w:val="en-GB"/>
        </w:rPr>
        <w:t>EU institutions and supervisory bodies</w:t>
      </w:r>
    </w:p>
    <w:p w14:paraId="5289B649" w14:textId="7E2471EA" w:rsidR="00F4096D" w:rsidRPr="002121A4" w:rsidRDefault="00325447" w:rsidP="00B658D7">
      <w:pPr>
        <w:pStyle w:val="Standardwithparanumbering"/>
      </w:pPr>
      <w:bookmarkStart w:id="29" w:name="_Ref129601568"/>
      <w:r w:rsidRPr="002121A4">
        <w:t>EU legislation in the area of capital market law</w:t>
      </w:r>
      <w:r w:rsidR="006318EE" w:rsidRPr="002121A4">
        <w:t xml:space="preserve"> is complemented by </w:t>
      </w:r>
      <w:r w:rsidR="00C51DC1" w:rsidRPr="002121A4">
        <w:t>a</w:t>
      </w:r>
      <w:r w:rsidR="006558CC" w:rsidRPr="002121A4">
        <w:t xml:space="preserve"> complex</w:t>
      </w:r>
      <w:r w:rsidR="00C51DC1" w:rsidRPr="002121A4">
        <w:t xml:space="preserve"> administrative framework, in particular, </w:t>
      </w:r>
      <w:r w:rsidR="0025664A" w:rsidRPr="002121A4">
        <w:t>the European System of Financial Supervision (ESFS)</w:t>
      </w:r>
      <w:r w:rsidR="00C51DC1" w:rsidRPr="002121A4">
        <w:t>. The ESFS is</w:t>
      </w:r>
      <w:r w:rsidR="0025664A" w:rsidRPr="002121A4">
        <w:t xml:space="preserve"> a network </w:t>
      </w:r>
      <w:r w:rsidR="00E25304" w:rsidRPr="002121A4">
        <w:t>consisting of the</w:t>
      </w:r>
      <w:r w:rsidR="00876E86">
        <w:t xml:space="preserve"> three</w:t>
      </w:r>
      <w:r w:rsidR="00E25304" w:rsidRPr="002121A4">
        <w:t xml:space="preserve"> </w:t>
      </w:r>
      <w:r w:rsidR="0025664A" w:rsidRPr="002121A4">
        <w:t xml:space="preserve">European Supervisory Authorities (ESAs), the European Systemic Risk Board (ESRB) and national </w:t>
      </w:r>
      <w:r w:rsidR="00876E86">
        <w:t>competent authorities (NCAs)</w:t>
      </w:r>
      <w:r w:rsidR="0025664A" w:rsidRPr="002121A4">
        <w:t xml:space="preserve">. Its main task is to ensure consistent and appropriate financial supervision throughout the EU. The ESFS covers both macro-prudential and micro-prudential supervision. </w:t>
      </w:r>
      <w:r w:rsidR="006318EE" w:rsidRPr="002121A4">
        <w:t>Macro</w:t>
      </w:r>
      <w:r w:rsidR="0025664A" w:rsidRPr="002121A4">
        <w:t>prudential</w:t>
      </w:r>
      <w:r w:rsidR="006318EE" w:rsidRPr="002121A4">
        <w:t xml:space="preserve"> supervision </w:t>
      </w:r>
      <w:r w:rsidR="0025664A" w:rsidRPr="002121A4">
        <w:t xml:space="preserve">is </w:t>
      </w:r>
      <w:r w:rsidR="006318EE" w:rsidRPr="002121A4">
        <w:t>aimed at the func</w:t>
      </w:r>
      <w:r w:rsidR="00C764AF" w:rsidRPr="002121A4">
        <w:t>ti</w:t>
      </w:r>
      <w:r w:rsidR="006318EE" w:rsidRPr="002121A4">
        <w:t xml:space="preserve">oning of financial and capital markets at large </w:t>
      </w:r>
      <w:r w:rsidR="00C764AF" w:rsidRPr="002121A4">
        <w:t xml:space="preserve">and </w:t>
      </w:r>
      <w:r w:rsidR="006318EE" w:rsidRPr="002121A4">
        <w:t xml:space="preserve">is in the hands of the European Systemic Risk Board (ESRB). </w:t>
      </w:r>
      <w:r w:rsidR="00806367" w:rsidRPr="002121A4">
        <w:t>At micro-prudential level, the supervisory regime makes certain activities such as the provision of investment services, credit rating, fund management, and the publication of securities prospectuses subject to prior licenc</w:t>
      </w:r>
      <w:r w:rsidR="00E25304" w:rsidRPr="002121A4">
        <w:t>ing</w:t>
      </w:r>
      <w:r w:rsidR="00806367" w:rsidRPr="002121A4">
        <w:t xml:space="preserve">, authorization or approval by supervisory authorities, including prudential supervision as regards the governance, the risk management, and capital requirements for market participants. </w:t>
      </w:r>
      <w:proofErr w:type="spellStart"/>
      <w:r w:rsidR="00806367" w:rsidRPr="002121A4">
        <w:t>M</w:t>
      </w:r>
      <w:r w:rsidR="006318EE" w:rsidRPr="002121A4">
        <w:t>icro</w:t>
      </w:r>
      <w:r w:rsidR="0025664A" w:rsidRPr="002121A4">
        <w:t>prudential</w:t>
      </w:r>
      <w:proofErr w:type="spellEnd"/>
      <w:r w:rsidR="006318EE" w:rsidRPr="002121A4">
        <w:t xml:space="preserve"> </w:t>
      </w:r>
      <w:r w:rsidR="00C57BA7" w:rsidRPr="002121A4">
        <w:t xml:space="preserve">and conduct </w:t>
      </w:r>
      <w:r w:rsidR="006318EE" w:rsidRPr="002121A4">
        <w:t>supervision is exercised at EU level by the ESAs</w:t>
      </w:r>
      <w:r w:rsidR="00297428">
        <w:t xml:space="preserve"> </w:t>
      </w:r>
      <w:r w:rsidR="006318EE" w:rsidRPr="002121A4">
        <w:t>and NCAs</w:t>
      </w:r>
      <w:r w:rsidR="00297428">
        <w:t xml:space="preserve">. In the area of capital markets law, the relevant authorities </w:t>
      </w:r>
      <w:r w:rsidR="00297428" w:rsidRPr="002121A4">
        <w:t>are the European Securities and Markets Authority (ESMA)</w:t>
      </w:r>
      <w:r w:rsidR="00297428">
        <w:t xml:space="preserve"> and</w:t>
      </w:r>
      <w:r w:rsidR="001D31E7">
        <w:t>,</w:t>
      </w:r>
      <w:r w:rsidR="00D674BA">
        <w:t xml:space="preserve"> in Germany,</w:t>
      </w:r>
      <w:r w:rsidR="006318EE" w:rsidRPr="002121A4">
        <w:t xml:space="preserve"> BaFin.</w:t>
      </w:r>
      <w:r w:rsidR="00806367" w:rsidRPr="002121A4">
        <w:t xml:space="preserve"> </w:t>
      </w:r>
    </w:p>
    <w:p w14:paraId="7FCAC8CB" w14:textId="23D0F212" w:rsidR="006318EE" w:rsidRPr="002121A4" w:rsidRDefault="00F4096D" w:rsidP="00B658D7">
      <w:pPr>
        <w:pStyle w:val="Standardwithparanumbering"/>
      </w:pPr>
      <w:bookmarkStart w:id="30" w:name="_Ref132308042"/>
      <w:r w:rsidRPr="002121A4">
        <w:t>While capital markets legislation is dominated by EU legislative acts (</w:t>
      </w:r>
      <w:r w:rsidR="005975C9" w:rsidRPr="002121A4">
        <w:t>see</w:t>
      </w:r>
      <w:r w:rsidR="005975C9" w:rsidRPr="002121A4">
        <w:rPr>
          <w:i/>
        </w:rPr>
        <w:t xml:space="preserve"> </w:t>
      </w:r>
      <w:r w:rsidRPr="002121A4">
        <w:t>para. </w:t>
      </w:r>
      <w:r w:rsidRPr="002121A4">
        <w:fldChar w:fldCharType="begin"/>
      </w:r>
      <w:r w:rsidRPr="002121A4">
        <w:instrText xml:space="preserve"> REF _Ref130494190 \r \h </w:instrText>
      </w:r>
      <w:r w:rsidRPr="002121A4">
        <w:fldChar w:fldCharType="separate"/>
      </w:r>
      <w:r w:rsidR="00D56145">
        <w:t>23</w:t>
      </w:r>
      <w:r w:rsidRPr="002121A4">
        <w:fldChar w:fldCharType="end"/>
      </w:r>
      <w:r w:rsidR="005975C9" w:rsidRPr="002121A4">
        <w:t xml:space="preserve"> above</w:t>
      </w:r>
      <w:r w:rsidRPr="002121A4">
        <w:t xml:space="preserve">), regulatory supervision is </w:t>
      </w:r>
      <w:r w:rsidR="00C764AF" w:rsidRPr="002121A4">
        <w:t xml:space="preserve">almost completely the domain of </w:t>
      </w:r>
      <w:r w:rsidRPr="002121A4">
        <w:t xml:space="preserve">NCAs. </w:t>
      </w:r>
      <w:r w:rsidR="00C764AF" w:rsidRPr="002121A4">
        <w:t xml:space="preserve">NCA competence </w:t>
      </w:r>
      <w:r w:rsidRPr="002121A4">
        <w:t>includes, in particular, the author</w:t>
      </w:r>
      <w:r w:rsidR="00706D6F" w:rsidRPr="002121A4">
        <w:t>ization</w:t>
      </w:r>
      <w:r w:rsidRPr="002121A4">
        <w:t xml:space="preserve"> of investment firms and regulated markets, the approval of </w:t>
      </w:r>
      <w:r w:rsidR="005975C9" w:rsidRPr="002121A4">
        <w:t xml:space="preserve">securities </w:t>
      </w:r>
      <w:r w:rsidRPr="002121A4">
        <w:t>prospectuses, and the supervision of market transactions, disclosure</w:t>
      </w:r>
      <w:r w:rsidR="00C764AF" w:rsidRPr="002121A4">
        <w:t xml:space="preserve"> obligations, and public enforcement through </w:t>
      </w:r>
      <w:r w:rsidR="00026DAB" w:rsidRPr="002121A4">
        <w:t>financial</w:t>
      </w:r>
      <w:r w:rsidR="00C764AF" w:rsidRPr="002121A4">
        <w:t xml:space="preserve"> sanctions etc</w:t>
      </w:r>
      <w:r w:rsidRPr="002121A4">
        <w:t xml:space="preserve">. Domestic regulatory practice therefore continues to play an </w:t>
      </w:r>
      <w:r w:rsidRPr="002121A4">
        <w:lastRenderedPageBreak/>
        <w:t xml:space="preserve">important role. </w:t>
      </w:r>
      <w:r w:rsidR="00DF74BF" w:rsidRPr="002121A4">
        <w:t>For</w:t>
      </w:r>
      <w:r w:rsidR="00D01899" w:rsidRPr="002121A4">
        <w:t xml:space="preserve"> example</w:t>
      </w:r>
      <w:r w:rsidR="00DF74BF" w:rsidRPr="002121A4">
        <w:t>,</w:t>
      </w:r>
      <w:r w:rsidR="00D01899" w:rsidRPr="002121A4">
        <w:t xml:space="preserve"> </w:t>
      </w:r>
      <w:r w:rsidR="00806367" w:rsidRPr="002121A4">
        <w:t xml:space="preserve">guidelines </w:t>
      </w:r>
      <w:r w:rsidR="00D01899" w:rsidRPr="002121A4">
        <w:t xml:space="preserve">issued by BaFin </w:t>
      </w:r>
      <w:r w:rsidR="00DF74BF" w:rsidRPr="002121A4">
        <w:t xml:space="preserve">– most prominently, the </w:t>
      </w:r>
      <w:r w:rsidR="00CA4A69" w:rsidRPr="002121A4">
        <w:t>“</w:t>
      </w:r>
      <w:proofErr w:type="spellStart"/>
      <w:r w:rsidR="00806367" w:rsidRPr="002121A4">
        <w:rPr>
          <w:i/>
        </w:rPr>
        <w:t>Emittentenleitfaden</w:t>
      </w:r>
      <w:proofErr w:type="spellEnd"/>
      <w:r w:rsidR="00CA4A69" w:rsidRPr="002121A4">
        <w:t>”</w:t>
      </w:r>
      <w:r w:rsidR="00DF74BF" w:rsidRPr="002121A4">
        <w:t xml:space="preserve"> – </w:t>
      </w:r>
      <w:r w:rsidR="00806367" w:rsidRPr="002121A4">
        <w:t xml:space="preserve">are an </w:t>
      </w:r>
      <w:r w:rsidR="00D01899" w:rsidRPr="002121A4">
        <w:t xml:space="preserve">essential </w:t>
      </w:r>
      <w:r w:rsidR="00806367" w:rsidRPr="002121A4">
        <w:t>tool for market participant</w:t>
      </w:r>
      <w:r w:rsidR="00D01899" w:rsidRPr="002121A4">
        <w:t>s and their advisors</w:t>
      </w:r>
      <w:r w:rsidR="00806367" w:rsidRPr="002121A4">
        <w:t>.</w:t>
      </w:r>
      <w:bookmarkStart w:id="31" w:name="_Ref143530966"/>
      <w:bookmarkEnd w:id="29"/>
      <w:r w:rsidR="00341691" w:rsidRPr="002121A4">
        <w:rPr>
          <w:rStyle w:val="Funotenzeichen"/>
        </w:rPr>
        <w:footnoteReference w:id="34"/>
      </w:r>
      <w:bookmarkEnd w:id="30"/>
      <w:bookmarkEnd w:id="31"/>
    </w:p>
    <w:p w14:paraId="18D720BE" w14:textId="5AE78AF5" w:rsidR="00441398" w:rsidRPr="002121A4" w:rsidRDefault="00441398" w:rsidP="00162BB1">
      <w:pPr>
        <w:pStyle w:val="berschrift3"/>
        <w:rPr>
          <w:lang w:val="en-GB"/>
        </w:rPr>
      </w:pPr>
      <w:r w:rsidRPr="002121A4">
        <w:rPr>
          <w:lang w:val="en-GB"/>
        </w:rPr>
        <w:t>ECJ Case Law</w:t>
      </w:r>
    </w:p>
    <w:p w14:paraId="346F4C6A" w14:textId="676D98C9" w:rsidR="00226F98" w:rsidRPr="002121A4" w:rsidRDefault="00E00227" w:rsidP="00A07028">
      <w:pPr>
        <w:pStyle w:val="Standardwithparanumbering"/>
      </w:pPr>
      <w:r w:rsidRPr="002121A4">
        <w:t xml:space="preserve">The </w:t>
      </w:r>
      <w:r w:rsidR="00E13EB9" w:rsidRPr="002121A4">
        <w:t>importance</w:t>
      </w:r>
      <w:r w:rsidRPr="002121A4">
        <w:t xml:space="preserve"> of EU legislation in the area of capital market law </w:t>
      </w:r>
      <w:r w:rsidR="00E13EB9" w:rsidRPr="002121A4">
        <w:t xml:space="preserve">comes with </w:t>
      </w:r>
      <w:r w:rsidRPr="002121A4">
        <w:t xml:space="preserve">a crucial role </w:t>
      </w:r>
      <w:r w:rsidR="00E13EB9" w:rsidRPr="002121A4">
        <w:t xml:space="preserve">for </w:t>
      </w:r>
      <w:r w:rsidR="00D95230" w:rsidRPr="002121A4">
        <w:t>the European Court of Justice</w:t>
      </w:r>
      <w:r w:rsidR="00124762" w:rsidRPr="002121A4">
        <w:t xml:space="preserve">, in particular, under </w:t>
      </w:r>
      <w:r w:rsidR="001870C0" w:rsidRPr="002121A4">
        <w:t>articles </w:t>
      </w:r>
      <w:r w:rsidR="00124762" w:rsidRPr="002121A4">
        <w:t>263, 267 TFEU.</w:t>
      </w:r>
      <w:r w:rsidR="00BD5459">
        <w:t xml:space="preserve"> According to</w:t>
      </w:r>
      <w:r w:rsidR="006318EE" w:rsidRPr="002121A4">
        <w:t xml:space="preserve"> </w:t>
      </w:r>
      <w:r w:rsidR="001870C0" w:rsidRPr="002121A4">
        <w:t>article </w:t>
      </w:r>
      <w:r w:rsidR="006318EE" w:rsidRPr="002121A4">
        <w:t xml:space="preserve">263(1) TFEU, the ECJ reviews the legality of legislative acts as well as of certain </w:t>
      </w:r>
      <w:r w:rsidR="00E75BCC" w:rsidRPr="002121A4">
        <w:t xml:space="preserve">types of </w:t>
      </w:r>
      <w:r w:rsidR="006318EE" w:rsidRPr="002121A4">
        <w:t xml:space="preserve">acts of EU bodies (in particular, the Council, the Commission, and the European Parliament). </w:t>
      </w:r>
      <w:r w:rsidR="00E75BCC" w:rsidRPr="002121A4">
        <w:t xml:space="preserve">Review under </w:t>
      </w:r>
      <w:r w:rsidR="001870C0" w:rsidRPr="002121A4">
        <w:t>article </w:t>
      </w:r>
      <w:r w:rsidR="00E75BCC" w:rsidRPr="002121A4">
        <w:t xml:space="preserve">263 is subject to a time limit, but even outside the time limit, individual parties can plead the grounds under </w:t>
      </w:r>
      <w:r w:rsidR="001870C0" w:rsidRPr="002121A4">
        <w:t>article </w:t>
      </w:r>
      <w:r w:rsidR="00E75BCC" w:rsidRPr="002121A4">
        <w:t xml:space="preserve">263(2) TFEU </w:t>
      </w:r>
      <w:r w:rsidR="009B609F" w:rsidRPr="002121A4">
        <w:t xml:space="preserve">(lack of competence, </w:t>
      </w:r>
      <w:r w:rsidR="00306B61" w:rsidRPr="002121A4">
        <w:t xml:space="preserve">infringement of essential procedural requirements, infringement of </w:t>
      </w:r>
      <w:r w:rsidR="00E96BB4" w:rsidRPr="002121A4">
        <w:t>the</w:t>
      </w:r>
      <w:r w:rsidR="00306B61" w:rsidRPr="002121A4">
        <w:t xml:space="preserve"> Treaties or of any rule of law </w:t>
      </w:r>
      <w:r w:rsidR="00E96BB4" w:rsidRPr="002121A4">
        <w:t>relating</w:t>
      </w:r>
      <w:r w:rsidR="00306B61" w:rsidRPr="002121A4">
        <w:t xml:space="preserve"> to their </w:t>
      </w:r>
      <w:r w:rsidR="00E96BB4" w:rsidRPr="002121A4">
        <w:t>application</w:t>
      </w:r>
      <w:r w:rsidR="00306B61" w:rsidRPr="002121A4">
        <w:t>, or misuse of powers</w:t>
      </w:r>
      <w:r w:rsidR="009B609F" w:rsidRPr="002121A4">
        <w:t xml:space="preserve">) </w:t>
      </w:r>
      <w:r w:rsidR="00E75BCC" w:rsidRPr="002121A4">
        <w:t>in order to invoke the inapplicability of the act in question.</w:t>
      </w:r>
      <w:r w:rsidR="00D91298" w:rsidRPr="002121A4">
        <w:rPr>
          <w:rStyle w:val="Funotenzeichen"/>
        </w:rPr>
        <w:footnoteReference w:id="35"/>
      </w:r>
      <w:r w:rsidR="00E75BCC" w:rsidRPr="002121A4">
        <w:t xml:space="preserve"> </w:t>
      </w:r>
      <w:r w:rsidR="006318EE" w:rsidRPr="002121A4">
        <w:t xml:space="preserve">In addition, </w:t>
      </w:r>
      <w:r w:rsidR="002E6D14">
        <w:t>pursuant to a</w:t>
      </w:r>
      <w:r w:rsidR="002E6D14" w:rsidRPr="002E6D14">
        <w:t>rticle</w:t>
      </w:r>
      <w:r w:rsidR="002E6D14">
        <w:t> </w:t>
      </w:r>
      <w:r w:rsidR="002E6D14" w:rsidRPr="002E6D14">
        <w:t>267(1) TFEU</w:t>
      </w:r>
      <w:r w:rsidR="002E6D14">
        <w:t>,</w:t>
      </w:r>
      <w:r w:rsidR="002E6D14" w:rsidRPr="002E6D14">
        <w:t xml:space="preserve"> </w:t>
      </w:r>
      <w:r w:rsidRPr="002121A4">
        <w:t>the ECJ</w:t>
      </w:r>
      <w:r w:rsidR="006318EE" w:rsidRPr="002121A4">
        <w:t xml:space="preserve"> has</w:t>
      </w:r>
      <w:r w:rsidRPr="002121A4">
        <w:t xml:space="preserve"> jurisdiction to give preliminary rulings concerning </w:t>
      </w:r>
      <w:r w:rsidR="006318EE" w:rsidRPr="002121A4">
        <w:t xml:space="preserve">the interpretation of the treaties and on </w:t>
      </w:r>
      <w:r w:rsidRPr="002121A4">
        <w:t>the validity and interpretation of acts of the institutions, bodies, offices or agencies of the Union.</w:t>
      </w:r>
      <w:r w:rsidR="005F62D7" w:rsidRPr="002121A4">
        <w:t xml:space="preserve"> Under that provision, domestic courts routinely refer questions of EU law to the ECJ.</w:t>
      </w:r>
      <w:r w:rsidR="00226F98" w:rsidRPr="002121A4">
        <w:t xml:space="preserve"> </w:t>
      </w:r>
    </w:p>
    <w:p w14:paraId="2CD3416C" w14:textId="49D2C38E" w:rsidR="00226F98" w:rsidRPr="00F9205E" w:rsidRDefault="00226F98" w:rsidP="00AB42AA">
      <w:pPr>
        <w:pStyle w:val="Case"/>
        <w:numPr>
          <w:ilvl w:val="0"/>
          <w:numId w:val="14"/>
        </w:numPr>
        <w:ind w:left="567" w:firstLine="0"/>
        <w:rPr>
          <w:lang w:val="fr-CA"/>
        </w:rPr>
      </w:pPr>
      <w:bookmarkStart w:id="32" w:name="_Ref163122061"/>
      <w:r w:rsidRPr="002121A4">
        <w:t xml:space="preserve">Based on </w:t>
      </w:r>
      <w:r w:rsidR="001870C0" w:rsidRPr="002121A4">
        <w:t>article </w:t>
      </w:r>
      <w:r w:rsidRPr="002121A4">
        <w:t xml:space="preserve">16 ESMA Regulation, the European Securities and Markets Authority issues a set of “Guidelines” on how issuers should disclose and treat “Alternative Performance </w:t>
      </w:r>
      <w:r w:rsidRPr="002121A4">
        <w:rPr>
          <w:szCs w:val="23"/>
        </w:rPr>
        <w:t>Measures</w:t>
      </w:r>
      <w:r w:rsidRPr="002121A4">
        <w:t xml:space="preserve">”. BaFin declared it intends to comply with these guidelines. You are in-house counsel with a company listed in </w:t>
      </w:r>
      <w:r w:rsidRPr="002121A4">
        <w:rPr>
          <w:szCs w:val="23"/>
        </w:rPr>
        <w:t>Germany</w:t>
      </w:r>
      <w:r w:rsidRPr="002121A4">
        <w:t xml:space="preserve"> and are asked to advise on whether you could challenge the guidelines before the ECJ. </w:t>
      </w:r>
      <w:r w:rsidRPr="00F9205E">
        <w:rPr>
          <w:lang w:val="fr-CA"/>
        </w:rPr>
        <w:t xml:space="preserve">(Case C-911/19, </w:t>
      </w:r>
      <w:r w:rsidRPr="00F9205E">
        <w:rPr>
          <w:i/>
          <w:lang w:val="fr-CA"/>
        </w:rPr>
        <w:t>Fédération Bancaire Française v. Autorité de contrôle prudentiel et de résolution</w:t>
      </w:r>
      <w:r w:rsidRPr="00F9205E">
        <w:rPr>
          <w:lang w:val="fr-CA"/>
        </w:rPr>
        <w:t>)</w:t>
      </w:r>
      <w:bookmarkEnd w:id="32"/>
    </w:p>
    <w:p w14:paraId="29C6F11B" w14:textId="272A06AB" w:rsidR="00341691" w:rsidRPr="002121A4" w:rsidRDefault="00226F98" w:rsidP="00D271FA">
      <w:pPr>
        <w:pStyle w:val="Case"/>
        <w:rPr>
          <w:rFonts w:eastAsiaTheme="majorEastAsia" w:cstheme="majorBidi"/>
          <w:b/>
          <w:szCs w:val="23"/>
        </w:rPr>
      </w:pPr>
      <w:r w:rsidRPr="002121A4">
        <w:rPr>
          <w:b/>
        </w:rPr>
        <w:t>Notes.</w:t>
      </w:r>
      <w:r w:rsidR="00FE36A7" w:rsidRPr="002121A4">
        <w:rPr>
          <w:b/>
        </w:rPr>
        <w:t xml:space="preserve"> </w:t>
      </w:r>
      <w:r w:rsidR="0065723F" w:rsidRPr="002121A4">
        <w:rPr>
          <w:b/>
        </w:rPr>
        <w:br/>
      </w:r>
      <w:r w:rsidR="0065723F" w:rsidRPr="002121A4">
        <w:rPr>
          <w:b/>
        </w:rPr>
        <w:br/>
      </w:r>
      <w:r w:rsidR="0065723F" w:rsidRPr="002121A4">
        <w:rPr>
          <w:b/>
        </w:rPr>
        <w:br/>
      </w:r>
    </w:p>
    <w:p w14:paraId="5EAFEFB6" w14:textId="17623E6F" w:rsidR="00D271FA" w:rsidRPr="002121A4" w:rsidRDefault="00C57760" w:rsidP="00EF1BAD">
      <w:pPr>
        <w:pStyle w:val="berschrift2"/>
        <w:keepLines w:val="0"/>
        <w:ind w:left="578" w:hanging="578"/>
        <w:rPr>
          <w:lang w:val="en-GB"/>
        </w:rPr>
      </w:pPr>
      <w:bookmarkStart w:id="33" w:name="_Ref132818165"/>
      <w:bookmarkStart w:id="34" w:name="_Ref132818168"/>
      <w:bookmarkStart w:id="35" w:name="_Toc194577763"/>
      <w:bookmarkStart w:id="36" w:name="_Ref129766479"/>
      <w:r w:rsidRPr="002121A4">
        <w:rPr>
          <w:lang w:val="en-GB"/>
        </w:rPr>
        <w:t>Rec</w:t>
      </w:r>
      <w:r w:rsidR="00D271FA" w:rsidRPr="002121A4">
        <w:rPr>
          <w:lang w:val="en-GB"/>
        </w:rPr>
        <w:t>ent developments</w:t>
      </w:r>
      <w:bookmarkEnd w:id="33"/>
      <w:bookmarkEnd w:id="34"/>
      <w:bookmarkEnd w:id="35"/>
    </w:p>
    <w:p w14:paraId="15AC3F84" w14:textId="52FAC005" w:rsidR="00C57760" w:rsidRPr="002121A4" w:rsidRDefault="001F3F0E" w:rsidP="00FA13B0">
      <w:pPr>
        <w:pStyle w:val="Standardwithparanumbering"/>
      </w:pPr>
      <w:r w:rsidRPr="002121A4">
        <w:t>Capital market law is an area which is almost constantly subject to legislative review and reform.</w:t>
      </w:r>
      <w:r w:rsidR="00176EAB" w:rsidRPr="002121A4">
        <w:t xml:space="preserve"> In recent times, capital markets regulation has been affected by policy concerns of sustainability, in particular following the Paris Climate Change Agreement 2015 and the UN 2030 Agenda for Sustainable Development. This resulted in specific legislation in the area of sustainable finance, e.g., sustainability-related disclosure requirements for financial markets participants under the Sustainable Finance Disclosure Regulation (SFDR), the Taxonomy Regulation defining </w:t>
      </w:r>
      <w:r w:rsidR="00D80E43">
        <w:t xml:space="preserve">what counts as </w:t>
      </w:r>
      <w:r w:rsidR="00176EAB" w:rsidRPr="002121A4">
        <w:t>sustainable activities</w:t>
      </w:r>
      <w:r w:rsidR="00D80E43">
        <w:t>,</w:t>
      </w:r>
      <w:r w:rsidR="00176EAB" w:rsidRPr="002121A4">
        <w:t xml:space="preserve"> the requirement for companies to disclose information on sustainability aspects of their business activities under the Non-Financial Reporting Directive (NFRD)</w:t>
      </w:r>
      <w:r w:rsidR="00D80E43">
        <w:t xml:space="preserve"> as modified by the Corporate Sustainability Reporting Directive (CSRD)</w:t>
      </w:r>
      <w:r w:rsidR="00556CD2">
        <w:t>, and the E</w:t>
      </w:r>
      <w:r w:rsidR="001424AA">
        <w:t>uropean</w:t>
      </w:r>
      <w:r w:rsidR="00556CD2">
        <w:t xml:space="preserve"> Green Bonds Standard Regulation introducing requirements for bonds labelled as “green”</w:t>
      </w:r>
      <w:r w:rsidR="00176EAB" w:rsidRPr="002121A4">
        <w:t xml:space="preserve">. </w:t>
      </w:r>
      <w:r w:rsidR="00C57760" w:rsidRPr="002121A4">
        <w:t>At the domestic level in Germany, the “</w:t>
      </w:r>
      <w:proofErr w:type="spellStart"/>
      <w:r w:rsidR="00C57760" w:rsidRPr="002121A4">
        <w:rPr>
          <w:i/>
        </w:rPr>
        <w:t>Zukunftsfinanzierungsgesetz</w:t>
      </w:r>
      <w:proofErr w:type="spellEnd"/>
      <w:r w:rsidR="00C57760" w:rsidRPr="002121A4">
        <w:t xml:space="preserve">” modified the corporate law regime which now allows for subscription rights to be excluded for capital increases of up to 20%, shares with multiple </w:t>
      </w:r>
      <w:r w:rsidR="00C57760" w:rsidRPr="002121A4">
        <w:lastRenderedPageBreak/>
        <w:t xml:space="preserve">vote, use of </w:t>
      </w:r>
      <w:r w:rsidR="006C4FA1">
        <w:t>German stock companies</w:t>
      </w:r>
      <w:r w:rsidR="00C57760" w:rsidRPr="002121A4">
        <w:t xml:space="preserve"> as SPAC vehicles, and digital shares.</w:t>
      </w:r>
      <w:r w:rsidR="00C57760" w:rsidRPr="002121A4">
        <w:rPr>
          <w:rStyle w:val="Funotenzeichen"/>
        </w:rPr>
        <w:footnoteReference w:id="36"/>
      </w:r>
      <w:r w:rsidR="0011693B">
        <w:t xml:space="preserve"> The subsequent “</w:t>
      </w:r>
      <w:proofErr w:type="spellStart"/>
      <w:r w:rsidR="0011693B" w:rsidRPr="0011693B">
        <w:rPr>
          <w:i/>
        </w:rPr>
        <w:t>Zukunftsfinanzierungsgesetz</w:t>
      </w:r>
      <w:proofErr w:type="spellEnd"/>
      <w:r w:rsidR="0011693B" w:rsidRPr="0011693B">
        <w:rPr>
          <w:i/>
        </w:rPr>
        <w:t xml:space="preserve"> II</w:t>
      </w:r>
      <w:r w:rsidR="0011693B">
        <w:t>” was not passed by the 2021-2025 Bundestag, and it remains to be seen whether some of the reform proposals will be picked up by the new government.</w:t>
      </w:r>
    </w:p>
    <w:p w14:paraId="4506B5BD" w14:textId="16208265" w:rsidR="00EB72EF" w:rsidRDefault="00176EAB" w:rsidP="00833361">
      <w:pPr>
        <w:pStyle w:val="Standardwithparanumbering"/>
      </w:pPr>
      <w:bookmarkStart w:id="37" w:name="_Ref163125624"/>
      <w:bookmarkStart w:id="38" w:name="_Ref163140243"/>
      <w:bookmarkStart w:id="39" w:name="_Ref163751344"/>
      <w:r w:rsidRPr="002121A4">
        <w:t>Current reform initiatives a</w:t>
      </w:r>
      <w:r w:rsidR="001F3F0E" w:rsidRPr="002121A4">
        <w:t>t EU level</w:t>
      </w:r>
      <w:r w:rsidRPr="002121A4">
        <w:t xml:space="preserve"> pursue </w:t>
      </w:r>
      <w:r w:rsidR="001F3F0E" w:rsidRPr="002121A4">
        <w:t xml:space="preserve">the </w:t>
      </w:r>
      <w:r w:rsidRPr="002121A4">
        <w:t xml:space="preserve">Commission’s </w:t>
      </w:r>
      <w:r w:rsidR="001F3F0E" w:rsidRPr="002121A4">
        <w:t xml:space="preserve">overarching </w:t>
      </w:r>
      <w:r w:rsidR="002A3C1E" w:rsidRPr="002121A4">
        <w:t xml:space="preserve">objective </w:t>
      </w:r>
      <w:r w:rsidR="001F3F0E" w:rsidRPr="002121A4">
        <w:t>of a “Capital Markets Union”</w:t>
      </w:r>
      <w:r w:rsidR="00DA7FBA" w:rsidRPr="002121A4">
        <w:t>.</w:t>
      </w:r>
      <w:r w:rsidR="001F3F0E" w:rsidRPr="002121A4">
        <w:rPr>
          <w:rStyle w:val="Funotenzeichen"/>
        </w:rPr>
        <w:footnoteReference w:id="37"/>
      </w:r>
      <w:r w:rsidR="001F3F0E" w:rsidRPr="002121A4">
        <w:t xml:space="preserve"> </w:t>
      </w:r>
      <w:r w:rsidR="00DA7FBA" w:rsidRPr="002121A4">
        <w:t>The</w:t>
      </w:r>
      <w:r w:rsidR="001F3F0E" w:rsidRPr="002121A4">
        <w:t xml:space="preserve"> “EU Listing Act” aims at contributing to that project.</w:t>
      </w:r>
      <w:r w:rsidR="00C631B3" w:rsidRPr="002121A4">
        <w:t xml:space="preserve"> </w:t>
      </w:r>
      <w:r w:rsidR="00E142FD">
        <w:t xml:space="preserve">It </w:t>
      </w:r>
      <w:r w:rsidR="00E142FD" w:rsidRPr="00E142FD">
        <w:t>is a package of measures meant to review the Prospectus Regulation, Market Abuse Regulation, Markets in Financial Instruments Regulation and Directive (</w:t>
      </w:r>
      <w:proofErr w:type="spellStart"/>
      <w:r w:rsidR="00E142FD" w:rsidRPr="00E142FD">
        <w:t>MiFIR</w:t>
      </w:r>
      <w:proofErr w:type="spellEnd"/>
      <w:r w:rsidR="00E142FD" w:rsidRPr="00E142FD">
        <w:t xml:space="preserve">/MiFID II), and to introduce a new Directive on multiple-vote share structures. </w:t>
      </w:r>
      <w:r w:rsidR="00E142FD">
        <w:t>T</w:t>
      </w:r>
      <w:r w:rsidR="00E142FD" w:rsidRPr="00E142FD">
        <w:t xml:space="preserve">he </w:t>
      </w:r>
      <w:r w:rsidR="00E142FD">
        <w:t xml:space="preserve">relevant </w:t>
      </w:r>
      <w:r w:rsidR="00E142FD" w:rsidRPr="00E142FD">
        <w:t>regulations and directives were published in the Official Journal on 14 November 2024</w:t>
      </w:r>
      <w:r w:rsidR="00E142FD">
        <w:t xml:space="preserve"> (</w:t>
      </w:r>
      <w:r w:rsidR="00E142FD" w:rsidRPr="00E142FD">
        <w:t>Regulation (EU) 2024/2809</w:t>
      </w:r>
      <w:r w:rsidR="00E142FD">
        <w:t xml:space="preserve">, </w:t>
      </w:r>
      <w:r w:rsidR="00E142FD" w:rsidRPr="00E142FD">
        <w:t>Directive (EU) 2024/2810</w:t>
      </w:r>
      <w:r w:rsidR="00E142FD">
        <w:t>, and</w:t>
      </w:r>
      <w:r w:rsidR="00E142FD" w:rsidRPr="00E142FD">
        <w:t xml:space="preserve"> Directive (EU) 2024/2811</w:t>
      </w:r>
      <w:r w:rsidR="00E142FD">
        <w:t>). It is important to note that some of the provisions of the EU Listing Act will take effe</w:t>
      </w:r>
      <w:r w:rsidR="00256D17">
        <w:t>c</w:t>
      </w:r>
      <w:r w:rsidR="00E142FD">
        <w:t>t only after 2025 and are not yet reflected in the consolidated versions available on the EU legislative portal</w:t>
      </w:r>
      <w:r w:rsidR="003D19D5">
        <w:t xml:space="preserve"> (</w:t>
      </w:r>
      <w:hyperlink r:id="rId15" w:history="1">
        <w:r w:rsidR="00A178B1" w:rsidRPr="000B00FB">
          <w:rPr>
            <w:rStyle w:val="Hyperlink"/>
          </w:rPr>
          <w:t>https://eur-lex.europa.eu/advanced-search-form.html</w:t>
        </w:r>
      </w:hyperlink>
      <w:r w:rsidR="003D19D5">
        <w:t>)</w:t>
      </w:r>
      <w:r w:rsidR="00E142FD">
        <w:t>.</w:t>
      </w:r>
      <w:bookmarkEnd w:id="37"/>
      <w:r w:rsidR="00E5491E">
        <w:t xml:space="preserve"> </w:t>
      </w:r>
    </w:p>
    <w:p w14:paraId="36923BBA" w14:textId="47D6F395" w:rsidR="00D271FA" w:rsidRDefault="00EB72EF" w:rsidP="00833361">
      <w:pPr>
        <w:pStyle w:val="Standardwithparanumbering"/>
      </w:pPr>
      <w:r>
        <w:t xml:space="preserve">Other examples of legislative reform include the proposal of the </w:t>
      </w:r>
      <w:r w:rsidR="00250B10" w:rsidRPr="002121A4">
        <w:t>EU Commission to make ESG Rating Activit</w:t>
      </w:r>
      <w:r w:rsidR="00CB4311" w:rsidRPr="002121A4">
        <w:t>i</w:t>
      </w:r>
      <w:r w:rsidR="00250B10" w:rsidRPr="002121A4">
        <w:t>es subject to a dedicated regulation which would bring the provision of ESG rating activities under supervision by ESMA</w:t>
      </w:r>
      <w:r w:rsidR="0039352C">
        <w:t>,</w:t>
      </w:r>
      <w:r w:rsidR="00250B10" w:rsidRPr="002121A4">
        <w:rPr>
          <w:rStyle w:val="Funotenzeichen"/>
        </w:rPr>
        <w:footnoteReference w:id="38"/>
      </w:r>
      <w:bookmarkEnd w:id="38"/>
      <w:r w:rsidR="0039352C">
        <w:t xml:space="preserve"> and</w:t>
      </w:r>
      <w:r w:rsidR="004674D1">
        <w:t xml:space="preserve"> Regulation (EU) 2023/2859 establish</w:t>
      </w:r>
      <w:r w:rsidR="0039352C">
        <w:t>ing</w:t>
      </w:r>
      <w:r w:rsidR="004674D1">
        <w:t xml:space="preserve"> a European single access point (“ESAP”)</w:t>
      </w:r>
      <w:r w:rsidR="00596BA0">
        <w:t>. The ESAP</w:t>
      </w:r>
      <w:r w:rsidR="004674D1">
        <w:t xml:space="preserve"> will be implemented from 2026 on and make available a</w:t>
      </w:r>
      <w:r w:rsidR="004674D1" w:rsidRPr="004674D1">
        <w:t>ll information made public by regulated entities (listed companies, institutional investors, asset managers, market operators, proxy advisors, etc.)</w:t>
      </w:r>
      <w:r w:rsidR="004674D1">
        <w:t>,</w:t>
      </w:r>
      <w:r w:rsidR="004674D1" w:rsidRPr="004674D1">
        <w:t xml:space="preserve"> </w:t>
      </w:r>
      <w:r w:rsidR="004674D1">
        <w:t>providing centralised access to publicly available information of relevance to financial services, capital markets and sustainability.</w:t>
      </w:r>
      <w:bookmarkEnd w:id="39"/>
    </w:p>
    <w:p w14:paraId="56E61A4C" w14:textId="03925C2B" w:rsidR="001F3F0E" w:rsidRPr="000939C7" w:rsidRDefault="00EF6BE0" w:rsidP="000939C7">
      <w:pPr>
        <w:pStyle w:val="Standardwithparanumbering"/>
        <w:rPr>
          <w:rFonts w:eastAsiaTheme="majorEastAsia" w:cstheme="majorBidi"/>
          <w:b/>
          <w:szCs w:val="23"/>
        </w:rPr>
      </w:pPr>
      <w:r>
        <w:t>Cases with capital market relevance currently pending before the ECJ include: C-229/24</w:t>
      </w:r>
      <w:r w:rsidR="005E5124">
        <w:t xml:space="preserve"> (hearing scheduled for 3 April 2025)</w:t>
      </w:r>
      <w:r>
        <w:t>, C-363/24, and C-376/24</w:t>
      </w:r>
      <w:r w:rsidR="005E5124">
        <w:t xml:space="preserve"> (hearing scheduled for 3 April 2025)</w:t>
      </w:r>
      <w:r>
        <w:t>.</w:t>
      </w:r>
    </w:p>
    <w:p w14:paraId="4ACD0165" w14:textId="3FB3982F" w:rsidR="00EF1BAD" w:rsidRPr="002121A4" w:rsidRDefault="003572F5" w:rsidP="00EF1BAD">
      <w:pPr>
        <w:pStyle w:val="berschrift2"/>
        <w:keepLines w:val="0"/>
        <w:ind w:left="578" w:hanging="578"/>
        <w:rPr>
          <w:lang w:val="en-GB"/>
        </w:rPr>
      </w:pPr>
      <w:bookmarkStart w:id="40" w:name="_Ref161843458"/>
      <w:bookmarkStart w:id="41" w:name="_Toc194577764"/>
      <w:r w:rsidRPr="002121A4">
        <w:rPr>
          <w:lang w:val="en-GB"/>
        </w:rPr>
        <w:t>Reading a</w:t>
      </w:r>
      <w:r w:rsidR="00EF1BAD" w:rsidRPr="002121A4">
        <w:rPr>
          <w:lang w:val="en-GB"/>
        </w:rPr>
        <w:t>ssignment</w:t>
      </w:r>
      <w:r w:rsidR="00D26BCC" w:rsidRPr="002121A4">
        <w:rPr>
          <w:lang w:val="en-GB"/>
        </w:rPr>
        <w:t>: Capital Market Law at a Glance</w:t>
      </w:r>
      <w:bookmarkEnd w:id="36"/>
      <w:bookmarkEnd w:id="40"/>
      <w:bookmarkEnd w:id="41"/>
    </w:p>
    <w:p w14:paraId="40C0DAED" w14:textId="5C27E380" w:rsidR="00CD1422" w:rsidRPr="002121A4" w:rsidRDefault="00D26BCC" w:rsidP="009D2550">
      <w:pPr>
        <w:rPr>
          <w:szCs w:val="23"/>
          <w:lang w:val="en-GB"/>
        </w:rPr>
      </w:pPr>
      <w:r w:rsidRPr="002121A4">
        <w:rPr>
          <w:szCs w:val="23"/>
          <w:lang w:val="en-GB"/>
        </w:rPr>
        <w:t xml:space="preserve">An example </w:t>
      </w:r>
      <w:r w:rsidR="000F1E1E">
        <w:rPr>
          <w:szCs w:val="23"/>
          <w:lang w:val="en-GB"/>
        </w:rPr>
        <w:t>o</w:t>
      </w:r>
      <w:r w:rsidRPr="002121A4">
        <w:rPr>
          <w:szCs w:val="23"/>
          <w:lang w:val="en-GB"/>
        </w:rPr>
        <w:t xml:space="preserve">f a recent capital market transaction is the issuance of a subordinated bond by Allianz in 2022 (ISIN: </w:t>
      </w:r>
      <w:r w:rsidR="002C36C1" w:rsidRPr="002121A4">
        <w:rPr>
          <w:szCs w:val="23"/>
          <w:lang w:val="en-GB"/>
        </w:rPr>
        <w:t>DE000A30VJZ6</w:t>
      </w:r>
      <w:r w:rsidRPr="002121A4">
        <w:rPr>
          <w:szCs w:val="23"/>
          <w:lang w:val="en-GB"/>
        </w:rPr>
        <w:t xml:space="preserve">). </w:t>
      </w:r>
      <w:r w:rsidR="003F6264" w:rsidRPr="002121A4">
        <w:rPr>
          <w:szCs w:val="23"/>
          <w:lang w:val="en-GB"/>
        </w:rPr>
        <w:t>Have a look at the “cover page” of t</w:t>
      </w:r>
      <w:r w:rsidRPr="002121A4">
        <w:rPr>
          <w:szCs w:val="23"/>
          <w:lang w:val="en-GB"/>
        </w:rPr>
        <w:t xml:space="preserve">he prospectus </w:t>
      </w:r>
      <w:r w:rsidR="00FC426B" w:rsidRPr="002121A4">
        <w:rPr>
          <w:szCs w:val="23"/>
          <w:lang w:val="en-GB"/>
        </w:rPr>
        <w:t>for this transaction</w:t>
      </w:r>
      <w:r w:rsidR="00427604" w:rsidRPr="002121A4">
        <w:rPr>
          <w:szCs w:val="23"/>
          <w:lang w:val="en-GB"/>
        </w:rPr>
        <w:t xml:space="preserve">, </w:t>
      </w:r>
      <w:r w:rsidR="003F6264" w:rsidRPr="002121A4">
        <w:rPr>
          <w:szCs w:val="23"/>
          <w:lang w:val="en-GB"/>
        </w:rPr>
        <w:t>i.e., pages 1–2 of the prospectus</w:t>
      </w:r>
      <w:r w:rsidR="0053719B" w:rsidRPr="002121A4">
        <w:rPr>
          <w:szCs w:val="23"/>
          <w:lang w:val="en-GB"/>
        </w:rPr>
        <w:t xml:space="preserve"> </w:t>
      </w:r>
      <w:r w:rsidRPr="002121A4">
        <w:rPr>
          <w:szCs w:val="23"/>
          <w:lang w:val="en-GB"/>
        </w:rPr>
        <w:t xml:space="preserve">available online: </w:t>
      </w:r>
      <w:r w:rsidR="002C4B22">
        <w:fldChar w:fldCharType="begin"/>
      </w:r>
      <w:r w:rsidR="002C4B22" w:rsidRPr="00080F04">
        <w:rPr>
          <w:lang w:val="en-US"/>
        </w:rPr>
        <w:instrText>HYPERLINK "https://www.luxse.com/pdf-viewer/102975801"</w:instrText>
      </w:r>
      <w:r w:rsidR="002C4B22">
        <w:fldChar w:fldCharType="separate"/>
      </w:r>
      <w:r w:rsidR="002C4B22" w:rsidRPr="002121A4">
        <w:rPr>
          <w:rStyle w:val="Hyperlink"/>
          <w:szCs w:val="23"/>
          <w:lang w:val="en-GB"/>
        </w:rPr>
        <w:t>https://www.luxse.com/pdf-viewer/102975801</w:t>
      </w:r>
      <w:r w:rsidR="002C4B22">
        <w:fldChar w:fldCharType="end"/>
      </w:r>
      <w:r w:rsidRPr="002121A4">
        <w:rPr>
          <w:szCs w:val="23"/>
          <w:lang w:val="en-GB"/>
        </w:rPr>
        <w:t>. Which of the categories of capital market participants appearing in the chart below were involved in the transaction, and who are they?</w:t>
      </w:r>
    </w:p>
    <w:p w14:paraId="356E1C59" w14:textId="2E1A1797" w:rsidR="00693CF9" w:rsidRPr="002121A4" w:rsidRDefault="00080F04" w:rsidP="009D2550">
      <w:pPr>
        <w:rPr>
          <w:lang w:val="en-GB"/>
        </w:rPr>
      </w:pPr>
      <w:r>
        <w:rPr>
          <w:noProof/>
          <w:lang w:val="en-GB"/>
        </w:rPr>
        <w:object w:dxaOrig="1440" w:dyaOrig="1440" w14:anchorId="65D3DD02">
          <v:shape id="_x0000_s2055" type="#_x0000_t75" style="position:absolute;left:0;text-align:left;margin-left:-21.25pt;margin-top:5.95pt;width:723.7pt;height:579.7pt;z-index:251717120;mso-position-horizontal-relative:text;mso-position-vertical-relative:text">
            <v:imagedata r:id="rId16" o:title=""/>
          </v:shape>
          <o:OLEObject Type="Embed" ProgID="PowerPoint.Show.12" ShapeID="_x0000_s2055" DrawAspect="Content" ObjectID="_1823795039" r:id="rId17"/>
        </w:object>
      </w:r>
    </w:p>
    <w:p w14:paraId="00962C90" w14:textId="468E18E8" w:rsidR="00B72B79" w:rsidRPr="002121A4" w:rsidRDefault="00B72B79" w:rsidP="00B72B79">
      <w:pPr>
        <w:pStyle w:val="berschrift1"/>
        <w:rPr>
          <w:lang w:val="en-GB"/>
        </w:rPr>
      </w:pPr>
      <w:bookmarkStart w:id="42" w:name="_Ref130493662"/>
      <w:bookmarkStart w:id="43" w:name="_Ref130823714"/>
      <w:bookmarkStart w:id="44" w:name="_Ref130823717"/>
      <w:bookmarkStart w:id="45" w:name="_Toc194577765"/>
      <w:r w:rsidRPr="002121A4">
        <w:rPr>
          <w:lang w:val="en-GB"/>
        </w:rPr>
        <w:lastRenderedPageBreak/>
        <w:t>Capital Market Instruments</w:t>
      </w:r>
      <w:bookmarkEnd w:id="42"/>
      <w:bookmarkEnd w:id="43"/>
      <w:bookmarkEnd w:id="44"/>
      <w:r w:rsidR="00B96821">
        <w:rPr>
          <w:lang w:val="en-GB"/>
        </w:rPr>
        <w:t xml:space="preserve"> and capital Market Participants</w:t>
      </w:r>
      <w:bookmarkEnd w:id="45"/>
    </w:p>
    <w:p w14:paraId="3A4FC51D" w14:textId="6CC989C1" w:rsidR="0079499C" w:rsidRDefault="0079499C" w:rsidP="004641DA">
      <w:pPr>
        <w:pStyle w:val="berschrift2"/>
        <w:rPr>
          <w:lang w:val="en-GB"/>
        </w:rPr>
      </w:pPr>
      <w:bookmarkStart w:id="46" w:name="_Toc194577766"/>
      <w:r>
        <w:rPr>
          <w:lang w:val="en-GB"/>
        </w:rPr>
        <w:t>Capital Markets Instruments</w:t>
      </w:r>
      <w:bookmarkEnd w:id="46"/>
    </w:p>
    <w:p w14:paraId="22EEEE4E" w14:textId="2C1EF2A7" w:rsidR="004641DA" w:rsidRPr="002121A4" w:rsidRDefault="004641DA" w:rsidP="0079499C">
      <w:pPr>
        <w:pStyle w:val="berschrift3"/>
        <w:rPr>
          <w:lang w:val="en-GB"/>
        </w:rPr>
      </w:pPr>
      <w:r w:rsidRPr="002121A4">
        <w:rPr>
          <w:lang w:val="en-GB"/>
        </w:rPr>
        <w:t>Overview</w:t>
      </w:r>
    </w:p>
    <w:p w14:paraId="35EFA3E2" w14:textId="26C83DA4" w:rsidR="00E8509A" w:rsidRPr="002121A4" w:rsidRDefault="00923DEC" w:rsidP="00342185">
      <w:pPr>
        <w:pStyle w:val="Standardwithparanumbering"/>
      </w:pPr>
      <w:r w:rsidRPr="002121A4">
        <w:t>Financial</w:t>
      </w:r>
      <w:r w:rsidR="00342185" w:rsidRPr="002121A4">
        <w:t xml:space="preserve"> instruments </w:t>
      </w:r>
      <w:r w:rsidRPr="002121A4">
        <w:t xml:space="preserve">traded on capital markets </w:t>
      </w:r>
      <w:r w:rsidR="00342185" w:rsidRPr="002121A4">
        <w:t>cover a range of different categories</w:t>
      </w:r>
      <w:r w:rsidR="00BC6A3E" w:rsidRPr="002121A4">
        <w:t>. A</w:t>
      </w:r>
      <w:r w:rsidR="00171AD8" w:rsidRPr="002121A4">
        <w:t>s we have seen in chapter 1</w:t>
      </w:r>
      <w:r w:rsidR="003710FE" w:rsidRPr="002121A4">
        <w:t xml:space="preserve"> (para</w:t>
      </w:r>
      <w:r w:rsidR="004A0016" w:rsidRPr="002121A4">
        <w:t>s</w:t>
      </w:r>
      <w:r w:rsidR="003710FE" w:rsidRPr="002121A4">
        <w:t> </w:t>
      </w:r>
      <w:r w:rsidR="00A73C01" w:rsidRPr="002121A4">
        <w:fldChar w:fldCharType="begin"/>
      </w:r>
      <w:r w:rsidR="00A73C01" w:rsidRPr="002121A4">
        <w:instrText xml:space="preserve"> REF _Ref131611818 \r \h </w:instrText>
      </w:r>
      <w:r w:rsidR="00A73C01" w:rsidRPr="002121A4">
        <w:fldChar w:fldCharType="separate"/>
      </w:r>
      <w:r w:rsidR="00D56145">
        <w:t>3</w:t>
      </w:r>
      <w:r w:rsidR="00A73C01" w:rsidRPr="002121A4">
        <w:fldChar w:fldCharType="end"/>
      </w:r>
      <w:r w:rsidR="004A0016" w:rsidRPr="002121A4">
        <w:t>f.</w:t>
      </w:r>
      <w:r w:rsidR="003710FE" w:rsidRPr="002121A4">
        <w:t>)</w:t>
      </w:r>
      <w:r w:rsidR="00171AD8" w:rsidRPr="002121A4">
        <w:t xml:space="preserve">, </w:t>
      </w:r>
      <w:r w:rsidR="00342185" w:rsidRPr="002121A4">
        <w:t>the</w:t>
      </w:r>
      <w:r w:rsidR="004A0016" w:rsidRPr="002121A4">
        <w:t xml:space="preserve"> most important instruments</w:t>
      </w:r>
      <w:r w:rsidR="00342185" w:rsidRPr="002121A4">
        <w:t xml:space="preserve"> are</w:t>
      </w:r>
      <w:r w:rsidR="00674B94" w:rsidRPr="002121A4">
        <w:t>:</w:t>
      </w:r>
      <w:r w:rsidR="00342185" w:rsidRPr="002121A4">
        <w:t xml:space="preserve"> </w:t>
      </w:r>
    </w:p>
    <w:p w14:paraId="5DD0883D" w14:textId="6A7639C6" w:rsidR="00E8509A" w:rsidRPr="002121A4" w:rsidRDefault="00342185" w:rsidP="00AB42AA">
      <w:pPr>
        <w:pStyle w:val="Listenabsatz"/>
        <w:numPr>
          <w:ilvl w:val="0"/>
          <w:numId w:val="11"/>
        </w:numPr>
      </w:pPr>
      <w:r w:rsidRPr="007058DE">
        <w:rPr>
          <w:szCs w:val="23"/>
          <w:lang w:val="en-GB"/>
        </w:rPr>
        <w:t>shares</w:t>
      </w:r>
      <w:r w:rsidRPr="002121A4">
        <w:t xml:space="preserve">, </w:t>
      </w:r>
    </w:p>
    <w:p w14:paraId="4F870122" w14:textId="77777777" w:rsidR="00E8509A" w:rsidRPr="002121A4" w:rsidRDefault="00342185" w:rsidP="00AB42AA">
      <w:pPr>
        <w:pStyle w:val="Listenabsatz"/>
        <w:numPr>
          <w:ilvl w:val="0"/>
          <w:numId w:val="11"/>
        </w:numPr>
      </w:pPr>
      <w:r w:rsidRPr="007058DE">
        <w:rPr>
          <w:szCs w:val="23"/>
          <w:lang w:val="en-GB"/>
        </w:rPr>
        <w:t>bonds</w:t>
      </w:r>
      <w:r w:rsidRPr="002121A4">
        <w:t xml:space="preserve">, </w:t>
      </w:r>
    </w:p>
    <w:p w14:paraId="77DCE9FA" w14:textId="5CF4D1FA" w:rsidR="00E8509A" w:rsidRPr="00197714" w:rsidRDefault="00A3170F" w:rsidP="00AB42AA">
      <w:pPr>
        <w:pStyle w:val="Listenabsatz"/>
        <w:numPr>
          <w:ilvl w:val="0"/>
          <w:numId w:val="11"/>
        </w:numPr>
        <w:rPr>
          <w:lang w:val="en-US"/>
        </w:rPr>
      </w:pPr>
      <w:r w:rsidRPr="00197714">
        <w:rPr>
          <w:lang w:val="en-US"/>
        </w:rPr>
        <w:t xml:space="preserve">units in </w:t>
      </w:r>
      <w:r w:rsidR="004A0016" w:rsidRPr="00197714">
        <w:rPr>
          <w:lang w:val="en-US"/>
        </w:rPr>
        <w:t>UCITS</w:t>
      </w:r>
      <w:r w:rsidRPr="00197714">
        <w:rPr>
          <w:lang w:val="en-US"/>
        </w:rPr>
        <w:t xml:space="preserve"> and other investment funds</w:t>
      </w:r>
      <w:r w:rsidR="00342185" w:rsidRPr="00197714">
        <w:rPr>
          <w:lang w:val="en-US"/>
        </w:rPr>
        <w:t xml:space="preserve">, and </w:t>
      </w:r>
    </w:p>
    <w:p w14:paraId="035FDC8F" w14:textId="1C9DE5E8" w:rsidR="00E8509A" w:rsidRPr="00197714" w:rsidRDefault="00342185" w:rsidP="00AB42AA">
      <w:pPr>
        <w:pStyle w:val="Listenabsatz"/>
        <w:numPr>
          <w:ilvl w:val="0"/>
          <w:numId w:val="11"/>
        </w:numPr>
        <w:rPr>
          <w:lang w:val="en-US"/>
        </w:rPr>
      </w:pPr>
      <w:r w:rsidRPr="007058DE">
        <w:rPr>
          <w:szCs w:val="23"/>
          <w:lang w:val="en-GB"/>
        </w:rPr>
        <w:t>derivative</w:t>
      </w:r>
      <w:r w:rsidRPr="00197714">
        <w:rPr>
          <w:lang w:val="en-US"/>
        </w:rPr>
        <w:t xml:space="preserve"> instruments referenced to other instruments (e.g., shares) or some other external factor such as an index</w:t>
      </w:r>
      <w:r w:rsidR="00603B98" w:rsidRPr="00197714">
        <w:rPr>
          <w:lang w:val="en-US"/>
        </w:rPr>
        <w:t xml:space="preserve"> or</w:t>
      </w:r>
      <w:r w:rsidRPr="00197714">
        <w:rPr>
          <w:lang w:val="en-US"/>
        </w:rPr>
        <w:t xml:space="preserve"> an exchange rate.</w:t>
      </w:r>
    </w:p>
    <w:p w14:paraId="56A2143B" w14:textId="06BA62EB" w:rsidR="004641DA" w:rsidRPr="00044BD7" w:rsidRDefault="00A3170F" w:rsidP="00A71267">
      <w:pPr>
        <w:rPr>
          <w:lang w:val="en-US"/>
        </w:rPr>
      </w:pPr>
      <w:r w:rsidRPr="00044BD7">
        <w:rPr>
          <w:lang w:val="en-US"/>
        </w:rPr>
        <w:t>The MiFID II financial instruments</w:t>
      </w:r>
      <w:r w:rsidR="00A96F0B" w:rsidRPr="00044BD7">
        <w:rPr>
          <w:lang w:val="en-US"/>
        </w:rPr>
        <w:t xml:space="preserve"> can exist outside capital markets</w:t>
      </w:r>
      <w:r w:rsidR="004A1FE5" w:rsidRPr="00044BD7">
        <w:rPr>
          <w:lang w:val="en-US"/>
        </w:rPr>
        <w:t xml:space="preserve">, following the general rules applying to stock companies, debt instruments, and </w:t>
      </w:r>
      <w:r w:rsidR="00BF31B5" w:rsidRPr="00044BD7">
        <w:rPr>
          <w:lang w:val="en-US"/>
        </w:rPr>
        <w:t>contract</w:t>
      </w:r>
      <w:r w:rsidR="00DB0C38" w:rsidRPr="00044BD7">
        <w:rPr>
          <w:lang w:val="en-US"/>
        </w:rPr>
        <w:t>ual arrangements</w:t>
      </w:r>
      <w:r w:rsidR="00A811CA" w:rsidRPr="00044BD7">
        <w:rPr>
          <w:lang w:val="en-US"/>
        </w:rPr>
        <w:t>: as an example, think of an investor holding unlisted shares or unlisted bonds</w:t>
      </w:r>
      <w:r w:rsidR="004A1FE5" w:rsidRPr="00044BD7">
        <w:rPr>
          <w:lang w:val="en-US"/>
        </w:rPr>
        <w:t xml:space="preserve">. </w:t>
      </w:r>
      <w:r w:rsidR="00BC6A3E" w:rsidRPr="00044BD7">
        <w:rPr>
          <w:lang w:val="en-US"/>
        </w:rPr>
        <w:t>W</w:t>
      </w:r>
      <w:r w:rsidR="00A96F0B" w:rsidRPr="00044BD7">
        <w:rPr>
          <w:lang w:val="en-US"/>
        </w:rPr>
        <w:t>hen</w:t>
      </w:r>
      <w:r w:rsidR="00BC6A3E" w:rsidRPr="00044BD7">
        <w:rPr>
          <w:lang w:val="en-US"/>
        </w:rPr>
        <w:t>ever</w:t>
      </w:r>
      <w:r w:rsidR="00A96F0B" w:rsidRPr="00044BD7">
        <w:rPr>
          <w:lang w:val="en-US"/>
        </w:rPr>
        <w:t xml:space="preserve"> </w:t>
      </w:r>
      <w:r w:rsidR="00355E7D" w:rsidRPr="00044BD7">
        <w:rPr>
          <w:lang w:val="en-US"/>
        </w:rPr>
        <w:t xml:space="preserve">these instruments are </w:t>
      </w:r>
      <w:r w:rsidR="00A96F0B" w:rsidRPr="00044BD7">
        <w:rPr>
          <w:lang w:val="en-US"/>
        </w:rPr>
        <w:t>traded on capital markets, specific rules apply.</w:t>
      </w:r>
      <w:r w:rsidR="001C5EAA" w:rsidRPr="00044BD7">
        <w:rPr>
          <w:lang w:val="en-US"/>
        </w:rPr>
        <w:t xml:space="preserve"> </w:t>
      </w:r>
      <w:r w:rsidR="004A1FE5" w:rsidRPr="00044BD7">
        <w:rPr>
          <w:lang w:val="en-US"/>
        </w:rPr>
        <w:t>This chapter illustrates the interplay between the different areas of law in the context of capital market transactions</w:t>
      </w:r>
      <w:r w:rsidR="002B1236" w:rsidRPr="00044BD7">
        <w:rPr>
          <w:lang w:val="en-US"/>
        </w:rPr>
        <w:t xml:space="preserve">, in particular, as regards shares and bonds (sections </w:t>
      </w:r>
      <w:r w:rsidR="002B1236" w:rsidRPr="002121A4">
        <w:fldChar w:fldCharType="begin"/>
      </w:r>
      <w:r w:rsidR="002B1236" w:rsidRPr="00044BD7">
        <w:rPr>
          <w:lang w:val="en-US"/>
        </w:rPr>
        <w:instrText xml:space="preserve"> REF _Ref129851796 \r \h </w:instrText>
      </w:r>
      <w:r w:rsidR="002B1236" w:rsidRPr="002121A4">
        <w:fldChar w:fldCharType="separate"/>
      </w:r>
      <w:r w:rsidR="00D56145" w:rsidRPr="00044BD7">
        <w:rPr>
          <w:lang w:val="en-US"/>
        </w:rPr>
        <w:t>2.1.2</w:t>
      </w:r>
      <w:r w:rsidR="002B1236" w:rsidRPr="002121A4">
        <w:fldChar w:fldCharType="end"/>
      </w:r>
      <w:r w:rsidR="002B1236" w:rsidRPr="00044BD7">
        <w:rPr>
          <w:lang w:val="en-US"/>
        </w:rPr>
        <w:t xml:space="preserve"> and </w:t>
      </w:r>
      <w:r w:rsidR="002B1236" w:rsidRPr="002121A4">
        <w:fldChar w:fldCharType="begin"/>
      </w:r>
      <w:r w:rsidR="002B1236" w:rsidRPr="00044BD7">
        <w:rPr>
          <w:lang w:val="en-US"/>
        </w:rPr>
        <w:instrText xml:space="preserve"> REF _Ref129851799 \r \h </w:instrText>
      </w:r>
      <w:r w:rsidR="002B1236" w:rsidRPr="002121A4">
        <w:fldChar w:fldCharType="separate"/>
      </w:r>
      <w:r w:rsidR="00D56145" w:rsidRPr="00044BD7">
        <w:rPr>
          <w:lang w:val="en-US"/>
        </w:rPr>
        <w:t>2.1.3</w:t>
      </w:r>
      <w:r w:rsidR="002B1236" w:rsidRPr="002121A4">
        <w:fldChar w:fldCharType="end"/>
      </w:r>
      <w:r w:rsidR="002B1236" w:rsidRPr="00044BD7">
        <w:rPr>
          <w:lang w:val="en-US"/>
        </w:rPr>
        <w:t xml:space="preserve"> below)</w:t>
      </w:r>
      <w:r w:rsidR="000C60EE" w:rsidRPr="00044BD7">
        <w:rPr>
          <w:lang w:val="en-US"/>
        </w:rPr>
        <w:t>, and basic features of other instruments</w:t>
      </w:r>
      <w:r w:rsidR="004A1FE5" w:rsidRPr="00044BD7">
        <w:rPr>
          <w:lang w:val="en-US"/>
        </w:rPr>
        <w:t>.</w:t>
      </w:r>
    </w:p>
    <w:p w14:paraId="11B68B11" w14:textId="1E7B359C" w:rsidR="00035AB7" w:rsidRDefault="00693B3E" w:rsidP="002024E3">
      <w:pPr>
        <w:pStyle w:val="Standardwithparanumbering"/>
      </w:pPr>
      <w:r>
        <w:t xml:space="preserve">It is important to bear in mind that only some financial instruments qualify as “transferable securities” within the meaning of article 4(1)(44) MiFID II. </w:t>
      </w:r>
      <w:r w:rsidRPr="002121A4">
        <w:t>The MiFID II definition of transferable securities refers to “classes of securities which are negotiable on the capital market”,</w:t>
      </w:r>
      <w:r w:rsidRPr="002121A4">
        <w:rPr>
          <w:rStyle w:val="Funotenzeichen"/>
        </w:rPr>
        <w:footnoteReference w:id="39"/>
      </w:r>
      <w:r w:rsidRPr="002121A4">
        <w:t xml:space="preserve"> which implies transferability, fungibility, and standardization of these instruments.</w:t>
      </w:r>
      <w:r>
        <w:t xml:space="preserve"> Some EU instruments on capital market law cover financial instruments at large (e.g., the MAR), while others only attach to </w:t>
      </w:r>
      <w:r w:rsidR="005A564D">
        <w:t xml:space="preserve">transferable securities (e.g., the PR). </w:t>
      </w:r>
      <w:r w:rsidR="00035AB7" w:rsidRPr="002121A4">
        <w:t>It is worth noting in this context that the traditional concept of “</w:t>
      </w:r>
      <w:proofErr w:type="spellStart"/>
      <w:r w:rsidR="00035AB7" w:rsidRPr="005A564D">
        <w:rPr>
          <w:i/>
        </w:rPr>
        <w:t>Wertpapiere</w:t>
      </w:r>
      <w:proofErr w:type="spellEnd"/>
      <w:r w:rsidR="00035AB7" w:rsidRPr="002121A4">
        <w:t>” under German domestic law (</w:t>
      </w:r>
      <w:proofErr w:type="spellStart"/>
      <w:r w:rsidR="00035AB7" w:rsidRPr="005A564D">
        <w:rPr>
          <w:i/>
        </w:rPr>
        <w:t>Inhaber</w:t>
      </w:r>
      <w:proofErr w:type="spellEnd"/>
      <w:r w:rsidR="00035AB7" w:rsidRPr="005A564D">
        <w:rPr>
          <w:i/>
        </w:rPr>
        <w:t xml:space="preserve">-, Order-, </w:t>
      </w:r>
      <w:proofErr w:type="spellStart"/>
      <w:r w:rsidR="00035AB7" w:rsidRPr="005A564D">
        <w:rPr>
          <w:i/>
        </w:rPr>
        <w:t>Namenspapiere</w:t>
      </w:r>
      <w:proofErr w:type="spellEnd"/>
      <w:r w:rsidR="00035AB7" w:rsidRPr="002121A4">
        <w:t xml:space="preserve">) is different from the EU law concept of “transferable securities” under article 4(1)(44) MiFID II and the corresponding implementing provision in § 2(1) </w:t>
      </w:r>
      <w:proofErr w:type="spellStart"/>
      <w:r w:rsidR="00035AB7" w:rsidRPr="002121A4">
        <w:t>WpHG</w:t>
      </w:r>
      <w:proofErr w:type="spellEnd"/>
      <w:r w:rsidR="00035AB7" w:rsidRPr="002121A4">
        <w:t>.</w:t>
      </w:r>
      <w:r w:rsidR="00035AB7" w:rsidRPr="002121A4">
        <w:rPr>
          <w:rStyle w:val="Funotenzeichen"/>
        </w:rPr>
        <w:footnoteReference w:id="40"/>
      </w:r>
    </w:p>
    <w:p w14:paraId="35AB741F" w14:textId="44763F0E" w:rsidR="000233F2" w:rsidRDefault="000233F2" w:rsidP="00AB42AA">
      <w:pPr>
        <w:pStyle w:val="Case"/>
        <w:numPr>
          <w:ilvl w:val="0"/>
          <w:numId w:val="14"/>
        </w:numPr>
        <w:ind w:left="567" w:firstLine="0"/>
      </w:pPr>
      <w:bookmarkStart w:id="47" w:name="_Ref191905091"/>
      <w:r>
        <w:t xml:space="preserve">Holding Communal is a Belgian company established in 1860 for the financing of local authority investments in Belgium. Pursuant to Belgian law, only Belgian municipalities and provinces can be shareholders of </w:t>
      </w:r>
      <w:r w:rsidRPr="000233F2">
        <w:rPr>
          <w:szCs w:val="23"/>
        </w:rPr>
        <w:t>Holding</w:t>
      </w:r>
      <w:r>
        <w:t xml:space="preserve"> Communal, and transfer of shares is subject to approval of the board of Holding Communal. In the context of the 2008 financial crisis, Holding Communal proposed to shareholders to subscribe to a capital increase by contributions in cash. Does this require the publication of a securities prospectus? (</w:t>
      </w:r>
      <w:r w:rsidRPr="00484089">
        <w:t xml:space="preserve">Case C‑627/23, </w:t>
      </w:r>
      <w:r w:rsidRPr="003118C6">
        <w:rPr>
          <w:i/>
        </w:rPr>
        <w:t xml:space="preserve">Commune de Schaerbeek and Commune de </w:t>
      </w:r>
      <w:proofErr w:type="spellStart"/>
      <w:r w:rsidRPr="003118C6">
        <w:rPr>
          <w:i/>
        </w:rPr>
        <w:t>Linkebeek</w:t>
      </w:r>
      <w:proofErr w:type="spellEnd"/>
      <w:r w:rsidRPr="003118C6">
        <w:rPr>
          <w:i/>
        </w:rPr>
        <w:t xml:space="preserve"> v. Holding Communal SA</w:t>
      </w:r>
      <w:r w:rsidRPr="00484089">
        <w:t>)</w:t>
      </w:r>
      <w:bookmarkEnd w:id="47"/>
    </w:p>
    <w:p w14:paraId="460B560C" w14:textId="448DB570" w:rsidR="005A564D" w:rsidRDefault="000233F2" w:rsidP="000233F2">
      <w:pPr>
        <w:pStyle w:val="Case"/>
        <w:rPr>
          <w:b/>
        </w:rPr>
      </w:pPr>
      <w:r w:rsidRPr="000233F2">
        <w:rPr>
          <w:b/>
        </w:rPr>
        <w:t>Notes</w:t>
      </w:r>
      <w:r>
        <w:rPr>
          <w:b/>
        </w:rPr>
        <w:t>.</w:t>
      </w:r>
    </w:p>
    <w:p w14:paraId="1B39B602" w14:textId="1A533A80" w:rsidR="00CA7B3D" w:rsidRPr="000233F2" w:rsidRDefault="00CA7B3D" w:rsidP="000233F2">
      <w:pPr>
        <w:pStyle w:val="Case"/>
        <w:rPr>
          <w:b/>
        </w:rPr>
      </w:pPr>
      <w:r>
        <w:rPr>
          <w:b/>
        </w:rPr>
        <w:br/>
      </w:r>
      <w:r>
        <w:rPr>
          <w:b/>
        </w:rPr>
        <w:br/>
      </w:r>
      <w:r>
        <w:rPr>
          <w:b/>
        </w:rPr>
        <w:br/>
      </w:r>
    </w:p>
    <w:p w14:paraId="3D6B799B" w14:textId="58387BED" w:rsidR="004641DA" w:rsidRPr="002121A4" w:rsidRDefault="004641DA" w:rsidP="0079499C">
      <w:pPr>
        <w:pStyle w:val="berschrift3"/>
        <w:rPr>
          <w:lang w:val="en-GB"/>
        </w:rPr>
      </w:pPr>
      <w:bookmarkStart w:id="48" w:name="_Ref129851796"/>
      <w:r w:rsidRPr="002121A4">
        <w:rPr>
          <w:lang w:val="en-GB"/>
        </w:rPr>
        <w:lastRenderedPageBreak/>
        <w:t>Shares</w:t>
      </w:r>
      <w:bookmarkEnd w:id="48"/>
    </w:p>
    <w:p w14:paraId="0344A079" w14:textId="4B9799E8" w:rsidR="00715EBE" w:rsidRPr="002121A4" w:rsidRDefault="00C81A97" w:rsidP="00B27665">
      <w:pPr>
        <w:pStyle w:val="Standardwithparanumbering"/>
      </w:pPr>
      <w:r w:rsidRPr="002121A4">
        <w:t>“</w:t>
      </w:r>
      <w:r w:rsidR="00C94C5B" w:rsidRPr="002121A4">
        <w:t>S</w:t>
      </w:r>
      <w:r w:rsidR="001A244D" w:rsidRPr="002121A4">
        <w:t>hares</w:t>
      </w:r>
      <w:r w:rsidRPr="002121A4">
        <w:t xml:space="preserve">” </w:t>
      </w:r>
      <w:r w:rsidR="008C3B5D" w:rsidRPr="002121A4">
        <w:t>are</w:t>
      </w:r>
      <w:r w:rsidRPr="002121A4">
        <w:t xml:space="preserve"> the title of </w:t>
      </w:r>
      <w:r w:rsidR="00B80D2E" w:rsidRPr="002121A4">
        <w:t xml:space="preserve">membership that </w:t>
      </w:r>
      <w:r w:rsidR="002630E3" w:rsidRPr="002121A4">
        <w:t xml:space="preserve">limited liability </w:t>
      </w:r>
      <w:r w:rsidR="00B80D2E" w:rsidRPr="002121A4">
        <w:t>companies</w:t>
      </w:r>
      <w:r w:rsidR="002630E3" w:rsidRPr="002121A4">
        <w:t xml:space="preserve"> </w:t>
      </w:r>
      <w:r w:rsidR="00B80D2E" w:rsidRPr="002121A4">
        <w:t>issue to their members</w:t>
      </w:r>
      <w:r w:rsidR="004E33B1" w:rsidRPr="002121A4">
        <w:t xml:space="preserve">, </w:t>
      </w:r>
      <w:r w:rsidR="00C24875" w:rsidRPr="002121A4">
        <w:t>i.e., their</w:t>
      </w:r>
      <w:r w:rsidR="00B80D2E" w:rsidRPr="002121A4">
        <w:t xml:space="preserve"> shareholders</w:t>
      </w:r>
      <w:r w:rsidR="00664857" w:rsidRPr="002121A4">
        <w:t>.</w:t>
      </w:r>
      <w:r w:rsidR="006069B4" w:rsidRPr="002121A4">
        <w:t xml:space="preserve"> </w:t>
      </w:r>
      <w:r w:rsidR="00A23F77" w:rsidRPr="002121A4">
        <w:t>They</w:t>
      </w:r>
      <w:r w:rsidR="006069B4" w:rsidRPr="002121A4">
        <w:t xml:space="preserve"> can be issued in different types: </w:t>
      </w:r>
      <w:r w:rsidR="00FF04DD" w:rsidRPr="002121A4">
        <w:t>one</w:t>
      </w:r>
      <w:r w:rsidR="006069B4" w:rsidRPr="002121A4">
        <w:t xml:space="preserve"> common distinction is that of</w:t>
      </w:r>
      <w:r w:rsidR="008F7B30" w:rsidRPr="002121A4">
        <w:t xml:space="preserve"> </w:t>
      </w:r>
      <w:r w:rsidR="006069B4" w:rsidRPr="002121A4">
        <w:t>“par” shares (</w:t>
      </w:r>
      <w:r w:rsidR="00FF04DD" w:rsidRPr="002121A4">
        <w:t xml:space="preserve">shares </w:t>
      </w:r>
      <w:r w:rsidR="006069B4" w:rsidRPr="002121A4">
        <w:t xml:space="preserve">indicating a nominal value of the share capital subscribed) and “non-par” shares (with equal participation in the share capital of the company). Another </w:t>
      </w:r>
      <w:r w:rsidR="00FF04DD" w:rsidRPr="002121A4">
        <w:t xml:space="preserve">distinction </w:t>
      </w:r>
      <w:r w:rsidR="006069B4" w:rsidRPr="002121A4">
        <w:t xml:space="preserve">relates to voting rights </w:t>
      </w:r>
      <w:r w:rsidR="00024D7C" w:rsidRPr="002121A4">
        <w:t xml:space="preserve">attached </w:t>
      </w:r>
      <w:r w:rsidR="006069B4" w:rsidRPr="002121A4">
        <w:t xml:space="preserve">to “ordinary shares”, while “preference shares” (or “preferred stock”) normally </w:t>
      </w:r>
      <w:r w:rsidR="00024D7C" w:rsidRPr="002121A4">
        <w:t xml:space="preserve">do not </w:t>
      </w:r>
      <w:r w:rsidR="006069B4" w:rsidRPr="002121A4">
        <w:t>carry shareholder voting rights</w:t>
      </w:r>
      <w:r w:rsidR="00024D7C" w:rsidRPr="002121A4">
        <w:t xml:space="preserve"> by default</w:t>
      </w:r>
      <w:r w:rsidR="006069B4" w:rsidRPr="002121A4">
        <w:t xml:space="preserve">. A distinction is </w:t>
      </w:r>
      <w:r w:rsidR="00E47DE7" w:rsidRPr="002121A4">
        <w:t xml:space="preserve">also </w:t>
      </w:r>
      <w:r w:rsidR="006069B4" w:rsidRPr="002121A4">
        <w:t xml:space="preserve">made between “bearer shares” </w:t>
      </w:r>
      <w:r w:rsidR="00B2415E" w:rsidRPr="002121A4">
        <w:t>for which</w:t>
      </w:r>
      <w:r w:rsidR="004567C5" w:rsidRPr="002121A4">
        <w:t xml:space="preserve"> there</w:t>
      </w:r>
      <w:r w:rsidR="006069B4" w:rsidRPr="002121A4">
        <w:t xml:space="preserve"> is a presumption that the person in possession of the share certificate is its legal owner, and “registered shares”</w:t>
      </w:r>
      <w:r w:rsidR="00B2415E" w:rsidRPr="002121A4">
        <w:t xml:space="preserve"> for which</w:t>
      </w:r>
      <w:r w:rsidR="006069B4" w:rsidRPr="002121A4">
        <w:t xml:space="preserve"> legal ownership is a matter of an entry in the register relating to a particular company.</w:t>
      </w:r>
      <w:r w:rsidR="00924C4D" w:rsidRPr="002121A4">
        <w:t xml:space="preserve"> </w:t>
      </w:r>
    </w:p>
    <w:p w14:paraId="09F70692" w14:textId="7036EC5F" w:rsidR="001518F3" w:rsidRPr="002121A4" w:rsidRDefault="00715EBE" w:rsidP="00B27665">
      <w:pPr>
        <w:pStyle w:val="Standardwithparanumbering"/>
      </w:pPr>
      <w:r w:rsidRPr="002121A4">
        <w:t>To a large extent, the legal framework for shares derives from domestic company law for public limited companies, e.g., in Germany,</w:t>
      </w:r>
      <w:r w:rsidR="00854E3E" w:rsidRPr="002121A4">
        <w:t xml:space="preserve"> primarily</w:t>
      </w:r>
      <w:r w:rsidRPr="002121A4">
        <w:t xml:space="preserve"> from the </w:t>
      </w:r>
      <w:proofErr w:type="spellStart"/>
      <w:r w:rsidRPr="002121A4">
        <w:rPr>
          <w:i/>
        </w:rPr>
        <w:t>Aktiengesetz</w:t>
      </w:r>
      <w:proofErr w:type="spellEnd"/>
      <w:r w:rsidRPr="002121A4">
        <w:t xml:space="preserve"> (</w:t>
      </w:r>
      <w:proofErr w:type="spellStart"/>
      <w:r w:rsidRPr="002121A4">
        <w:t>AktG</w:t>
      </w:r>
      <w:proofErr w:type="spellEnd"/>
      <w:r w:rsidRPr="002121A4">
        <w:t xml:space="preserve">). However, </w:t>
      </w:r>
      <w:r w:rsidR="005C06CC" w:rsidRPr="002121A4">
        <w:t>EU legislation harmon</w:t>
      </w:r>
      <w:r w:rsidR="00706D6F" w:rsidRPr="002121A4">
        <w:t>ize</w:t>
      </w:r>
      <w:r w:rsidR="005C06CC" w:rsidRPr="002121A4">
        <w:t xml:space="preserve">s </w:t>
      </w:r>
      <w:r w:rsidR="009C2A79" w:rsidRPr="002121A4">
        <w:t xml:space="preserve">certain </w:t>
      </w:r>
      <w:r w:rsidR="001040A9" w:rsidRPr="002121A4">
        <w:t xml:space="preserve">aspects of </w:t>
      </w:r>
      <w:r w:rsidRPr="002121A4">
        <w:t xml:space="preserve">domestic </w:t>
      </w:r>
      <w:r w:rsidR="001040A9" w:rsidRPr="002121A4">
        <w:t>corporate law</w:t>
      </w:r>
      <w:r w:rsidRPr="002121A4">
        <w:t>.</w:t>
      </w:r>
      <w:r w:rsidR="005C06CC" w:rsidRPr="002121A4">
        <w:t xml:space="preserve"> </w:t>
      </w:r>
      <w:r w:rsidRPr="002121A4">
        <w:t>S</w:t>
      </w:r>
      <w:r w:rsidR="005C06CC" w:rsidRPr="002121A4">
        <w:t xml:space="preserve">ome instruments </w:t>
      </w:r>
      <w:r w:rsidRPr="002121A4">
        <w:t xml:space="preserve">at EU level apply </w:t>
      </w:r>
      <w:r w:rsidR="005C06CC" w:rsidRPr="002121A4">
        <w:t xml:space="preserve">to corporate law </w:t>
      </w:r>
      <w:r w:rsidR="00E70830" w:rsidRPr="002121A4">
        <w:t>irrespective of a</w:t>
      </w:r>
      <w:r w:rsidR="00D547E9" w:rsidRPr="002121A4">
        <w:t xml:space="preserve"> </w:t>
      </w:r>
      <w:r w:rsidR="00E70830" w:rsidRPr="002121A4">
        <w:t>listing of shares</w:t>
      </w:r>
      <w:r w:rsidRPr="002121A4">
        <w:t>,</w:t>
      </w:r>
      <w:r w:rsidR="00E70830" w:rsidRPr="002121A4">
        <w:t xml:space="preserve"> </w:t>
      </w:r>
      <w:r w:rsidR="005C06CC" w:rsidRPr="002121A4">
        <w:t>as is the case for</w:t>
      </w:r>
      <w:r w:rsidR="003B195A" w:rsidRPr="002121A4">
        <w:t xml:space="preserve"> the Company Law Directive</w:t>
      </w:r>
      <w:r w:rsidR="00EF6E70" w:rsidRPr="002121A4">
        <w:t xml:space="preserve"> (CLD)</w:t>
      </w:r>
      <w:r w:rsidR="00D547E9" w:rsidRPr="002121A4">
        <w:t xml:space="preserve"> or the SE Directive</w:t>
      </w:r>
      <w:r w:rsidRPr="002121A4">
        <w:t>. O</w:t>
      </w:r>
      <w:r w:rsidR="005C06CC" w:rsidRPr="002121A4">
        <w:t>thers apply only to liste</w:t>
      </w:r>
      <w:r w:rsidR="0007233F" w:rsidRPr="002121A4">
        <w:t>d</w:t>
      </w:r>
      <w:r w:rsidR="005C06CC" w:rsidRPr="002121A4">
        <w:t xml:space="preserve"> companies</w:t>
      </w:r>
      <w:r w:rsidR="0007233F" w:rsidRPr="002121A4">
        <w:t>,</w:t>
      </w:r>
      <w:r w:rsidR="005C06CC" w:rsidRPr="002121A4">
        <w:t xml:space="preserve"> </w:t>
      </w:r>
      <w:r w:rsidR="0007233F" w:rsidRPr="002121A4">
        <w:t xml:space="preserve">for example, </w:t>
      </w:r>
      <w:r w:rsidR="005C06CC" w:rsidRPr="002121A4">
        <w:t>the Shareholder Rights Directive (SRD).</w:t>
      </w:r>
      <w:r w:rsidR="00781AB3" w:rsidRPr="002121A4">
        <w:t xml:space="preserve"> </w:t>
      </w:r>
    </w:p>
    <w:p w14:paraId="47C60AA1" w14:textId="2B499513" w:rsidR="006977E4" w:rsidRPr="002121A4" w:rsidRDefault="006977E4" w:rsidP="0079499C">
      <w:pPr>
        <w:pStyle w:val="berschrift4"/>
        <w:rPr>
          <w:lang w:val="en-GB"/>
        </w:rPr>
      </w:pPr>
      <w:r w:rsidRPr="002121A4">
        <w:rPr>
          <w:lang w:val="en-GB"/>
        </w:rPr>
        <w:t>EU Company Law Directive</w:t>
      </w:r>
    </w:p>
    <w:p w14:paraId="19CEADB9" w14:textId="374B8A58" w:rsidR="00AB74EB" w:rsidRPr="002121A4" w:rsidRDefault="00AB74EB" w:rsidP="00145D49">
      <w:pPr>
        <w:pStyle w:val="Standardwithparanumbering"/>
      </w:pPr>
      <w:bookmarkStart w:id="49" w:name="_Ref130896281"/>
      <w:r w:rsidRPr="002121A4">
        <w:t>Following public consultations in 2011 and 2012, the EU Commission developed an Action Plan for European corporate law and corporate governance which lead, in 2017, to the adoption of the EU Company Law Directive</w:t>
      </w:r>
      <w:r w:rsidR="00DA652F" w:rsidRPr="002121A4">
        <w:t xml:space="preserve">. The CLD </w:t>
      </w:r>
      <w:r w:rsidRPr="002121A4">
        <w:t>codif</w:t>
      </w:r>
      <w:r w:rsidR="00DA652F" w:rsidRPr="002121A4">
        <w:t>ies</w:t>
      </w:r>
      <w:r w:rsidRPr="002121A4">
        <w:t xml:space="preserve"> six previous pieces of legislation on various aspects of corporate law (including mergers and capital maintenance)</w:t>
      </w:r>
      <w:r w:rsidR="00391AEF">
        <w:t>,</w:t>
      </w:r>
      <w:r w:rsidRPr="002121A4">
        <w:t xml:space="preserve"> consolidating these in one single directive. The Directive is divided into two main titles: The first one refers to the general provisions and establishment and functioning of limited liability companies. The second one refers to mergers and divisions of limited liability companies. </w:t>
      </w:r>
      <w:r w:rsidR="00210625" w:rsidRPr="002121A4">
        <w:t xml:space="preserve">Public limited liability companies to which this legislation applies are listed in Annex I of the Company Law Directive, which includes, in German law, the </w:t>
      </w:r>
      <w:proofErr w:type="spellStart"/>
      <w:r w:rsidR="00210625" w:rsidRPr="002121A4">
        <w:rPr>
          <w:i/>
        </w:rPr>
        <w:t>Aktiengesellschaft</w:t>
      </w:r>
      <w:proofErr w:type="spellEnd"/>
      <w:r w:rsidR="00210625" w:rsidRPr="002121A4">
        <w:t xml:space="preserve"> governed by the German Act on Stock Companies (</w:t>
      </w:r>
      <w:proofErr w:type="spellStart"/>
      <w:r w:rsidR="00210625" w:rsidRPr="002121A4">
        <w:rPr>
          <w:i/>
        </w:rPr>
        <w:t>Aktien</w:t>
      </w:r>
      <w:r w:rsidR="001D1F09">
        <w:rPr>
          <w:i/>
        </w:rPr>
        <w:softHyphen/>
      </w:r>
      <w:r w:rsidR="00210625" w:rsidRPr="002121A4">
        <w:rPr>
          <w:i/>
        </w:rPr>
        <w:t>ge</w:t>
      </w:r>
      <w:r w:rsidR="001D1F09">
        <w:rPr>
          <w:i/>
        </w:rPr>
        <w:softHyphen/>
      </w:r>
      <w:r w:rsidR="00210625" w:rsidRPr="002121A4">
        <w:rPr>
          <w:i/>
        </w:rPr>
        <w:t>setz</w:t>
      </w:r>
      <w:proofErr w:type="spellEnd"/>
      <w:r w:rsidR="00210625" w:rsidRPr="002121A4">
        <w:t>).</w:t>
      </w:r>
      <w:bookmarkEnd w:id="49"/>
    </w:p>
    <w:p w14:paraId="6F0D6C1A" w14:textId="4F475F86" w:rsidR="00331FB7" w:rsidRPr="002121A4" w:rsidRDefault="002630E3" w:rsidP="00331FB7">
      <w:pPr>
        <w:pStyle w:val="Standardwithparanumbering"/>
      </w:pPr>
      <w:r w:rsidRPr="002121A4">
        <w:t xml:space="preserve">The </w:t>
      </w:r>
      <w:r w:rsidR="00357B5E" w:rsidRPr="002121A4">
        <w:t xml:space="preserve">typical </w:t>
      </w:r>
      <w:r w:rsidRPr="002121A4">
        <w:t xml:space="preserve">characteristics of the participation of a shareholder in a </w:t>
      </w:r>
      <w:r w:rsidR="00357B5E" w:rsidRPr="002121A4">
        <w:t xml:space="preserve">stock company is a contribution by the shareholder in cash or in kind </w:t>
      </w:r>
      <w:r w:rsidR="001A2D6A" w:rsidRPr="002121A4">
        <w:t xml:space="preserve">which constitutes </w:t>
      </w:r>
      <w:r w:rsidR="00357B5E" w:rsidRPr="002121A4">
        <w:t xml:space="preserve">the </w:t>
      </w:r>
      <w:r w:rsidR="008D32E1" w:rsidRPr="002121A4">
        <w:t xml:space="preserve">capital </w:t>
      </w:r>
      <w:r w:rsidR="00357B5E" w:rsidRPr="002121A4">
        <w:t>of the company in return for participation in the profits of the company, together with rights relating to the administration of the company</w:t>
      </w:r>
      <w:r w:rsidR="004B7F5E" w:rsidRPr="002121A4">
        <w:t xml:space="preserve">: </w:t>
      </w:r>
      <w:r w:rsidR="00357B5E" w:rsidRPr="002121A4">
        <w:t>e.g., voting rights at the general assembly of the company, information rights.</w:t>
      </w:r>
      <w:r w:rsidR="00843375" w:rsidRPr="002121A4">
        <w:t xml:space="preserve"> </w:t>
      </w:r>
      <w:r w:rsidR="00C81A97" w:rsidRPr="002121A4">
        <w:t>One of the</w:t>
      </w:r>
      <w:r w:rsidR="001A2D6A" w:rsidRPr="002121A4">
        <w:t xml:space="preserve"> key concepts </w:t>
      </w:r>
      <w:r w:rsidR="00C07864" w:rsidRPr="002121A4">
        <w:t xml:space="preserve">of the CLD </w:t>
      </w:r>
      <w:r w:rsidR="001A2D6A" w:rsidRPr="002121A4">
        <w:t xml:space="preserve">in this context is the </w:t>
      </w:r>
      <w:r w:rsidR="00674B94" w:rsidRPr="002121A4">
        <w:t>“</w:t>
      </w:r>
      <w:r w:rsidR="001A2D6A" w:rsidRPr="002121A4">
        <w:t>principle of maintenance of the capital of the company</w:t>
      </w:r>
      <w:r w:rsidR="00674B94" w:rsidRPr="002121A4">
        <w:t>”</w:t>
      </w:r>
      <w:r w:rsidR="001A2D6A" w:rsidRPr="002121A4">
        <w:t>: the capital of the company constitutes the creditors’ security</w:t>
      </w:r>
      <w:r w:rsidR="003452C2" w:rsidRPr="002121A4">
        <w:t>,</w:t>
      </w:r>
      <w:r w:rsidR="001A2D6A" w:rsidRPr="002121A4">
        <w:t xml:space="preserve"> and therefore </w:t>
      </w:r>
      <w:r w:rsidR="003452C2" w:rsidRPr="002121A4">
        <w:t xml:space="preserve">it </w:t>
      </w:r>
      <w:r w:rsidR="001A2D6A" w:rsidRPr="002121A4">
        <w:t>must remain available to satisfy creditors’ claims</w:t>
      </w:r>
      <w:r w:rsidR="006B56D3" w:rsidRPr="002121A4">
        <w:t>. A</w:t>
      </w:r>
      <w:r w:rsidR="001A2D6A" w:rsidRPr="002121A4">
        <w:t xml:space="preserve">s a consequence, </w:t>
      </w:r>
      <w:r w:rsidR="00B12CBC" w:rsidRPr="002121A4">
        <w:t xml:space="preserve">the CLD </w:t>
      </w:r>
      <w:r w:rsidR="001A2D6A" w:rsidRPr="002121A4">
        <w:t xml:space="preserve">prohibits any reduction of the capital by distributions to shareholders with </w:t>
      </w:r>
      <w:r w:rsidR="00674B94" w:rsidRPr="002121A4">
        <w:t xml:space="preserve">only </w:t>
      </w:r>
      <w:r w:rsidR="001A2D6A" w:rsidRPr="002121A4">
        <w:t>limit</w:t>
      </w:r>
      <w:r w:rsidR="00674B94" w:rsidRPr="002121A4">
        <w:t>ed</w:t>
      </w:r>
      <w:r w:rsidR="001A2D6A" w:rsidRPr="002121A4">
        <w:t xml:space="preserve"> exceptions</w:t>
      </w:r>
      <w:r w:rsidR="006E16B5" w:rsidRPr="002121A4">
        <w:t xml:space="preserve">: Under </w:t>
      </w:r>
      <w:r w:rsidR="001870C0" w:rsidRPr="002121A4">
        <w:t>article </w:t>
      </w:r>
      <w:r w:rsidR="006E16B5" w:rsidRPr="002121A4">
        <w:t>56(1) CLD, the principle is that no distribution to shareholders may be made as long as the net assets</w:t>
      </w:r>
      <w:r w:rsidR="004B7F5E" w:rsidRPr="002121A4">
        <w:t xml:space="preserve"> (equity)</w:t>
      </w:r>
      <w:r w:rsidR="006E16B5" w:rsidRPr="002121A4">
        <w:t xml:space="preserve"> in the company’s annual accounts are lower than the amount of subscribed capital</w:t>
      </w:r>
      <w:r w:rsidR="006E16B5" w:rsidRPr="002121A4">
        <w:rPr>
          <w:rStyle w:val="Funotenzeichen"/>
        </w:rPr>
        <w:footnoteReference w:id="41"/>
      </w:r>
      <w:r w:rsidR="006E16B5" w:rsidRPr="002121A4">
        <w:t xml:space="preserve"> or where the distribution would have the effect to reduce net assets below that threshold.</w:t>
      </w:r>
      <w:r w:rsidR="00710B4A" w:rsidRPr="002121A4">
        <w:t xml:space="preserve"> This restriction applies, in particular, to </w:t>
      </w:r>
      <w:r w:rsidR="006E16B5" w:rsidRPr="002121A4">
        <w:t>the payment of dividends.</w:t>
      </w:r>
      <w:r w:rsidR="00710B4A" w:rsidRPr="002121A4">
        <w:rPr>
          <w:rStyle w:val="Funotenzeichen"/>
        </w:rPr>
        <w:footnoteReference w:id="42"/>
      </w:r>
      <w:r w:rsidR="00495820" w:rsidRPr="002121A4">
        <w:t xml:space="preserve"> </w:t>
      </w:r>
      <w:r w:rsidR="006E16B5" w:rsidRPr="002121A4">
        <w:t xml:space="preserve">Any distribution made </w:t>
      </w:r>
      <w:r w:rsidR="00495820" w:rsidRPr="002121A4">
        <w:t xml:space="preserve">in breach of capital maintenance </w:t>
      </w:r>
      <w:r w:rsidR="00495820" w:rsidRPr="002121A4">
        <w:lastRenderedPageBreak/>
        <w:t xml:space="preserve">principles </w:t>
      </w:r>
      <w:r w:rsidR="006E16B5" w:rsidRPr="002121A4">
        <w:t>shall be returned by shareholders who have received it</w:t>
      </w:r>
      <w:r w:rsidR="00495820" w:rsidRPr="002121A4">
        <w:t>.</w:t>
      </w:r>
      <w:r w:rsidR="00495820" w:rsidRPr="002121A4">
        <w:rPr>
          <w:rStyle w:val="Funotenzeichen"/>
        </w:rPr>
        <w:footnoteReference w:id="43"/>
      </w:r>
      <w:r w:rsidR="005820DA" w:rsidRPr="002121A4">
        <w:t xml:space="preserve"> </w:t>
      </w:r>
      <w:r w:rsidR="00FC1D56" w:rsidRPr="002121A4">
        <w:t xml:space="preserve">The CLD also </w:t>
      </w:r>
      <w:r w:rsidR="00DA6853" w:rsidRPr="002121A4">
        <w:t xml:space="preserve">contains a </w:t>
      </w:r>
      <w:r w:rsidR="00FC1D56" w:rsidRPr="002121A4">
        <w:t xml:space="preserve">principle </w:t>
      </w:r>
      <w:r w:rsidR="005820DA" w:rsidRPr="002121A4">
        <w:t xml:space="preserve">of equal treatment </w:t>
      </w:r>
      <w:r w:rsidR="00DA6853" w:rsidRPr="002121A4">
        <w:t xml:space="preserve">of </w:t>
      </w:r>
      <w:r w:rsidR="005820DA" w:rsidRPr="002121A4">
        <w:t>all shareholders who are in the same position</w:t>
      </w:r>
      <w:r w:rsidR="005C7153" w:rsidRPr="002121A4">
        <w:t>,</w:t>
      </w:r>
      <w:r w:rsidR="005820DA" w:rsidRPr="002121A4">
        <w:rPr>
          <w:rStyle w:val="Funotenzeichen"/>
        </w:rPr>
        <w:footnoteReference w:id="44"/>
      </w:r>
      <w:r w:rsidR="005C7153" w:rsidRPr="002121A4">
        <w:t xml:space="preserve"> and makes the acquisition of own shares by the company subject to a number of conditions.</w:t>
      </w:r>
      <w:r w:rsidR="005C7153" w:rsidRPr="002121A4">
        <w:rPr>
          <w:rStyle w:val="Funotenzeichen"/>
        </w:rPr>
        <w:footnoteReference w:id="45"/>
      </w:r>
      <w:r w:rsidR="005C7153" w:rsidRPr="002121A4">
        <w:t xml:space="preserve"> </w:t>
      </w:r>
    </w:p>
    <w:p w14:paraId="73F90DA5" w14:textId="614BFDC3" w:rsidR="00BE0B42" w:rsidRPr="002121A4" w:rsidRDefault="00BE0B42" w:rsidP="00AB42AA">
      <w:pPr>
        <w:pStyle w:val="Case"/>
        <w:numPr>
          <w:ilvl w:val="0"/>
          <w:numId w:val="14"/>
        </w:numPr>
        <w:ind w:left="567" w:firstLine="0"/>
        <w:rPr>
          <w:sz w:val="19"/>
          <w:szCs w:val="19"/>
        </w:rPr>
      </w:pPr>
      <w:bookmarkStart w:id="50" w:name="_Ref163122180"/>
      <w:r w:rsidRPr="002121A4">
        <w:rPr>
          <w:szCs w:val="23"/>
        </w:rPr>
        <w:t>Defendant D is a German stock company and issues shares on the basis of a listing prospectus</w:t>
      </w:r>
      <w:r w:rsidR="004567C5" w:rsidRPr="002121A4">
        <w:rPr>
          <w:szCs w:val="23"/>
        </w:rPr>
        <w:t xml:space="preserve"> stating </w:t>
      </w:r>
      <w:r w:rsidRPr="002121A4">
        <w:rPr>
          <w:szCs w:val="23"/>
        </w:rPr>
        <w:t xml:space="preserve">that the investment is “safe and risk-free” while in reality, D’s business involves high-risk operations. H buys shares on the basis of that </w:t>
      </w:r>
      <w:r w:rsidRPr="002121A4">
        <w:t>prospectus</w:t>
      </w:r>
      <w:r w:rsidRPr="002121A4">
        <w:rPr>
          <w:szCs w:val="23"/>
        </w:rPr>
        <w:t xml:space="preserve"> and later raises prospectus liability claims</w:t>
      </w:r>
      <w:r w:rsidR="00D97520" w:rsidRPr="002121A4">
        <w:rPr>
          <w:szCs w:val="23"/>
        </w:rPr>
        <w:t xml:space="preserve"> on the basis that risk disclosure in the prospectus was incorrect, incomplete, and misleading</w:t>
      </w:r>
      <w:r w:rsidRPr="002121A4">
        <w:rPr>
          <w:szCs w:val="23"/>
        </w:rPr>
        <w:t>. Can D defend the claim on the basis that EU company law limits the distribution of funds to shareholders and that H</w:t>
      </w:r>
      <w:r w:rsidR="0065665C" w:rsidRPr="002121A4">
        <w:rPr>
          <w:szCs w:val="23"/>
        </w:rPr>
        <w:t xml:space="preserve"> </w:t>
      </w:r>
      <w:r w:rsidRPr="002121A4">
        <w:rPr>
          <w:szCs w:val="23"/>
        </w:rPr>
        <w:t xml:space="preserve">should only be allowed to recover damages from defendants other than the company itself? (Case C-174/12, </w:t>
      </w:r>
      <w:proofErr w:type="spellStart"/>
      <w:r w:rsidRPr="002121A4">
        <w:rPr>
          <w:i/>
          <w:szCs w:val="23"/>
        </w:rPr>
        <w:t>Hirmann</w:t>
      </w:r>
      <w:proofErr w:type="spellEnd"/>
      <w:r w:rsidRPr="002121A4">
        <w:rPr>
          <w:i/>
          <w:szCs w:val="23"/>
        </w:rPr>
        <w:t xml:space="preserve"> v. </w:t>
      </w:r>
      <w:proofErr w:type="spellStart"/>
      <w:r w:rsidRPr="002121A4">
        <w:rPr>
          <w:i/>
          <w:szCs w:val="23"/>
        </w:rPr>
        <w:t>Immofinanz</w:t>
      </w:r>
      <w:proofErr w:type="spellEnd"/>
      <w:r w:rsidRPr="002121A4">
        <w:rPr>
          <w:i/>
          <w:szCs w:val="23"/>
        </w:rPr>
        <w:t xml:space="preserve"> AG</w:t>
      </w:r>
      <w:r w:rsidRPr="002121A4">
        <w:rPr>
          <w:szCs w:val="23"/>
        </w:rPr>
        <w:t>. – Note: The Capital Directive referred to in the decision was repealed by the CLD</w:t>
      </w:r>
      <w:r w:rsidR="00000220">
        <w:rPr>
          <w:szCs w:val="23"/>
        </w:rPr>
        <w:t xml:space="preserve"> – the CLD correlation table will point to the relevant provisions currently in force</w:t>
      </w:r>
      <w:r w:rsidR="00AE0B5D" w:rsidRPr="002121A4">
        <w:rPr>
          <w:szCs w:val="23"/>
        </w:rPr>
        <w:t xml:space="preserve">. </w:t>
      </w:r>
      <w:r w:rsidR="00877A33" w:rsidRPr="002121A4">
        <w:rPr>
          <w:szCs w:val="23"/>
        </w:rPr>
        <w:t>Also see</w:t>
      </w:r>
      <w:r w:rsidR="00AE0B5D" w:rsidRPr="002121A4">
        <w:rPr>
          <w:szCs w:val="23"/>
        </w:rPr>
        <w:t xml:space="preserve"> Case C-410/20, </w:t>
      </w:r>
      <w:r w:rsidR="00AE0B5D" w:rsidRPr="002121A4">
        <w:rPr>
          <w:i/>
          <w:szCs w:val="23"/>
        </w:rPr>
        <w:t>Banco Santander SA v. J.A.C.</w:t>
      </w:r>
      <w:r w:rsidR="00877A33" w:rsidRPr="002121A4">
        <w:rPr>
          <w:szCs w:val="23"/>
        </w:rPr>
        <w:t>;</w:t>
      </w:r>
      <w:r w:rsidR="004F698F" w:rsidRPr="002121A4">
        <w:rPr>
          <w:szCs w:val="23"/>
        </w:rPr>
        <w:t xml:space="preserve"> BGH, 31 May 2011, II ZR 141/90, BGHZ 190, 7</w:t>
      </w:r>
      <w:r w:rsidR="00C350ED">
        <w:rPr>
          <w:szCs w:val="23"/>
        </w:rPr>
        <w:t xml:space="preserve"> and, in the context of insolvency proceedings, OLG München, 17 September 2024, 5 U 7318/22 e, </w:t>
      </w:r>
      <w:r w:rsidR="00C350ED" w:rsidRPr="00C350ED">
        <w:rPr>
          <w:i/>
          <w:szCs w:val="23"/>
        </w:rPr>
        <w:t>Wirecard</w:t>
      </w:r>
      <w:r w:rsidR="00AE0B5D" w:rsidRPr="002121A4">
        <w:rPr>
          <w:szCs w:val="23"/>
        </w:rPr>
        <w:t>)</w:t>
      </w:r>
      <w:bookmarkEnd w:id="50"/>
    </w:p>
    <w:p w14:paraId="263D2497" w14:textId="274691B3" w:rsidR="00CB4D1E" w:rsidRPr="002121A4" w:rsidRDefault="00D54E8F" w:rsidP="007107DB">
      <w:pPr>
        <w:ind w:left="567" w:right="567"/>
        <w:rPr>
          <w:sz w:val="20"/>
          <w:lang w:val="en-GB"/>
        </w:rPr>
      </w:pPr>
      <w:r w:rsidRPr="002121A4">
        <w:rPr>
          <w:b/>
          <w:sz w:val="19"/>
          <w:szCs w:val="19"/>
          <w:lang w:val="en-GB"/>
        </w:rPr>
        <w:t>Notes.</w:t>
      </w:r>
      <w:r w:rsidR="00B47A1A" w:rsidRPr="002121A4">
        <w:rPr>
          <w:b/>
          <w:sz w:val="19"/>
          <w:szCs w:val="19"/>
          <w:lang w:val="en-GB"/>
        </w:rPr>
        <w:t xml:space="preserve"> </w:t>
      </w:r>
      <w:r w:rsidR="00C02B76" w:rsidRPr="002121A4">
        <w:rPr>
          <w:b/>
          <w:sz w:val="19"/>
          <w:szCs w:val="19"/>
          <w:lang w:val="en-GB"/>
        </w:rPr>
        <w:br/>
      </w:r>
      <w:r w:rsidR="00C02B76" w:rsidRPr="002121A4">
        <w:rPr>
          <w:b/>
          <w:sz w:val="19"/>
          <w:szCs w:val="19"/>
          <w:lang w:val="en-GB"/>
        </w:rPr>
        <w:br/>
      </w:r>
      <w:r w:rsidR="00C02B76" w:rsidRPr="002121A4">
        <w:rPr>
          <w:b/>
          <w:sz w:val="19"/>
          <w:szCs w:val="19"/>
          <w:lang w:val="en-GB"/>
        </w:rPr>
        <w:br/>
      </w:r>
      <w:r w:rsidR="00C02B76" w:rsidRPr="002121A4">
        <w:rPr>
          <w:b/>
          <w:sz w:val="19"/>
          <w:szCs w:val="19"/>
          <w:lang w:val="en-GB"/>
        </w:rPr>
        <w:br/>
      </w:r>
      <w:r w:rsidR="00C02B76" w:rsidRPr="002121A4">
        <w:rPr>
          <w:b/>
          <w:sz w:val="19"/>
          <w:szCs w:val="19"/>
          <w:lang w:val="en-GB"/>
        </w:rPr>
        <w:br/>
      </w:r>
    </w:p>
    <w:p w14:paraId="26D763B0" w14:textId="62B91828" w:rsidR="00E86EB7" w:rsidRPr="002121A4" w:rsidRDefault="00CF6D75" w:rsidP="0079499C">
      <w:pPr>
        <w:pStyle w:val="berschrift4"/>
        <w:rPr>
          <w:lang w:val="en-GB"/>
        </w:rPr>
      </w:pPr>
      <w:r w:rsidRPr="002121A4">
        <w:rPr>
          <w:lang w:val="en-GB"/>
        </w:rPr>
        <w:t>EU</w:t>
      </w:r>
      <w:r w:rsidR="00FC1D56" w:rsidRPr="002121A4">
        <w:rPr>
          <w:lang w:val="en-GB"/>
        </w:rPr>
        <w:t xml:space="preserve"> </w:t>
      </w:r>
      <w:r w:rsidR="00CB4D1E" w:rsidRPr="002121A4">
        <w:rPr>
          <w:lang w:val="en-GB"/>
        </w:rPr>
        <w:t>Shareholder Rights Directive</w:t>
      </w:r>
    </w:p>
    <w:p w14:paraId="284C4BD5" w14:textId="6C3F1FAD" w:rsidR="007F65A1" w:rsidRPr="002121A4" w:rsidRDefault="00AE7402" w:rsidP="002B6DC9">
      <w:pPr>
        <w:pStyle w:val="Standardwithparanumbering"/>
      </w:pPr>
      <w:bookmarkStart w:id="51" w:name="_Ref130894797"/>
      <w:r w:rsidRPr="002121A4">
        <w:t>The EU Shareholder Rights Directive establishes rules promoting the exercise of shareholder rights at general meetings of companies with registered offices in the EU. Its scope of application is more restricted than that of the CLD in that the SRD only applies to companies the shares of which are admitted to trading on a regulated market in the EU.</w:t>
      </w:r>
      <w:r w:rsidRPr="002121A4">
        <w:rPr>
          <w:rStyle w:val="Funotenzeichen"/>
        </w:rPr>
        <w:footnoteReference w:id="46"/>
      </w:r>
      <w:r w:rsidR="002D7714" w:rsidRPr="002121A4">
        <w:t xml:space="preserve"> As revised in </w:t>
      </w:r>
      <w:r w:rsidRPr="002121A4">
        <w:t>2017</w:t>
      </w:r>
      <w:r w:rsidR="002D7714" w:rsidRPr="002121A4">
        <w:t xml:space="preserve">, the SRD </w:t>
      </w:r>
      <w:r w:rsidRPr="002121A4">
        <w:t>aims to encourage long-term shareholder engagement to ensure that decisions are made for the long-term stability of a company and take into account environmental and social issues.</w:t>
      </w:r>
      <w:r w:rsidR="002D7714" w:rsidRPr="002121A4">
        <w:t xml:space="preserve"> Key points include</w:t>
      </w:r>
      <w:r w:rsidR="006C2493" w:rsidRPr="002121A4">
        <w:t>:</w:t>
      </w:r>
      <w:bookmarkEnd w:id="51"/>
    </w:p>
    <w:p w14:paraId="3718849A" w14:textId="05A755A5" w:rsidR="007F65A1" w:rsidRPr="00197714" w:rsidRDefault="002D7714" w:rsidP="00AB42AA">
      <w:pPr>
        <w:pStyle w:val="Listenabsatz"/>
        <w:numPr>
          <w:ilvl w:val="0"/>
          <w:numId w:val="11"/>
        </w:numPr>
        <w:rPr>
          <w:lang w:val="en-US"/>
        </w:rPr>
      </w:pPr>
      <w:r w:rsidRPr="007058DE">
        <w:rPr>
          <w:szCs w:val="23"/>
          <w:lang w:val="en-GB"/>
        </w:rPr>
        <w:t>information</w:t>
      </w:r>
      <w:r w:rsidRPr="00197714">
        <w:rPr>
          <w:lang w:val="en-US"/>
        </w:rPr>
        <w:t xml:space="preserve"> a company must </w:t>
      </w:r>
      <w:r w:rsidR="00AE7402" w:rsidRPr="00197714">
        <w:rPr>
          <w:lang w:val="en-US"/>
        </w:rPr>
        <w:t>give shareholders on general meetings</w:t>
      </w:r>
      <w:r w:rsidR="007F65A1" w:rsidRPr="00197714">
        <w:rPr>
          <w:lang w:val="en-US"/>
        </w:rPr>
        <w:t xml:space="preserve">, including </w:t>
      </w:r>
      <w:r w:rsidR="00AE7402" w:rsidRPr="00197714">
        <w:rPr>
          <w:lang w:val="en-US"/>
        </w:rPr>
        <w:t>total number of shares and voting rights</w:t>
      </w:r>
      <w:r w:rsidR="007F65A1" w:rsidRPr="00197714">
        <w:rPr>
          <w:lang w:val="en-US"/>
        </w:rPr>
        <w:t xml:space="preserve">, </w:t>
      </w:r>
      <w:r w:rsidR="00AE7402" w:rsidRPr="00197714">
        <w:rPr>
          <w:lang w:val="en-US"/>
        </w:rPr>
        <w:t>documents to be submitted</w:t>
      </w:r>
      <w:r w:rsidR="007F65A1" w:rsidRPr="00197714">
        <w:rPr>
          <w:lang w:val="en-US"/>
        </w:rPr>
        <w:t xml:space="preserve">, </w:t>
      </w:r>
      <w:r w:rsidR="00AE7402" w:rsidRPr="00197714">
        <w:rPr>
          <w:lang w:val="en-US"/>
        </w:rPr>
        <w:t>a draft resolution for each agenda item of the meeting</w:t>
      </w:r>
      <w:r w:rsidR="007F65A1" w:rsidRPr="00197714">
        <w:rPr>
          <w:lang w:val="en-US"/>
        </w:rPr>
        <w:t>,</w:t>
      </w:r>
      <w:r w:rsidR="00AE7402" w:rsidRPr="00197714">
        <w:rPr>
          <w:lang w:val="en-US"/>
        </w:rPr>
        <w:t xml:space="preserve"> and</w:t>
      </w:r>
      <w:r w:rsidR="007F65A1" w:rsidRPr="00197714">
        <w:rPr>
          <w:lang w:val="en-US"/>
        </w:rPr>
        <w:t xml:space="preserve"> </w:t>
      </w:r>
      <w:r w:rsidR="00AE7402" w:rsidRPr="00197714">
        <w:rPr>
          <w:lang w:val="en-US"/>
        </w:rPr>
        <w:t>forms to be used to vote by proxy</w:t>
      </w:r>
      <w:r w:rsidR="006F6CA4" w:rsidRPr="00197714">
        <w:rPr>
          <w:lang w:val="en-US"/>
        </w:rPr>
        <w:t xml:space="preserve"> (</w:t>
      </w:r>
      <w:r w:rsidR="001870C0" w:rsidRPr="00197714">
        <w:rPr>
          <w:lang w:val="en-US"/>
        </w:rPr>
        <w:t>article </w:t>
      </w:r>
      <w:r w:rsidR="006F6CA4" w:rsidRPr="00197714">
        <w:rPr>
          <w:lang w:val="en-US"/>
        </w:rPr>
        <w:t>5 SRD)</w:t>
      </w:r>
      <w:r w:rsidR="007F65A1" w:rsidRPr="00197714">
        <w:rPr>
          <w:lang w:val="en-US"/>
        </w:rPr>
        <w:t>;</w:t>
      </w:r>
    </w:p>
    <w:p w14:paraId="14587708" w14:textId="77777777" w:rsidR="007F65A1" w:rsidRPr="002121A4" w:rsidRDefault="007F65A1" w:rsidP="00AB42AA">
      <w:pPr>
        <w:pStyle w:val="Listenabsatz"/>
        <w:numPr>
          <w:ilvl w:val="0"/>
          <w:numId w:val="11"/>
        </w:numPr>
      </w:pPr>
      <w:r w:rsidRPr="007058DE">
        <w:rPr>
          <w:szCs w:val="23"/>
          <w:lang w:val="en-GB"/>
        </w:rPr>
        <w:t>s</w:t>
      </w:r>
      <w:r w:rsidR="00AE7402" w:rsidRPr="007058DE">
        <w:rPr>
          <w:szCs w:val="23"/>
          <w:lang w:val="en-GB"/>
        </w:rPr>
        <w:t>hareholders</w:t>
      </w:r>
      <w:r w:rsidRPr="007058DE">
        <w:rPr>
          <w:szCs w:val="23"/>
          <w:lang w:val="en-GB"/>
        </w:rPr>
        <w:t>’</w:t>
      </w:r>
      <w:r w:rsidR="00AE7402" w:rsidRPr="002121A4">
        <w:t xml:space="preserve"> </w:t>
      </w:r>
      <w:proofErr w:type="spellStart"/>
      <w:r w:rsidR="00AE7402" w:rsidRPr="002121A4">
        <w:t>right</w:t>
      </w:r>
      <w:r w:rsidRPr="002121A4">
        <w:t>s</w:t>
      </w:r>
      <w:proofErr w:type="spellEnd"/>
      <w:r w:rsidR="00AE7402" w:rsidRPr="002121A4">
        <w:t xml:space="preserve"> </w:t>
      </w:r>
      <w:proofErr w:type="spellStart"/>
      <w:r w:rsidR="00AE7402" w:rsidRPr="002121A4">
        <w:t>to</w:t>
      </w:r>
      <w:proofErr w:type="spellEnd"/>
      <w:r w:rsidRPr="002121A4">
        <w:t xml:space="preserve"> </w:t>
      </w:r>
    </w:p>
    <w:p w14:paraId="6056B4C1" w14:textId="3386D697" w:rsidR="007F65A1" w:rsidRPr="007058DE" w:rsidRDefault="00AE7402" w:rsidP="00AB42AA">
      <w:pPr>
        <w:pStyle w:val="Listenabsatz"/>
        <w:numPr>
          <w:ilvl w:val="1"/>
          <w:numId w:val="11"/>
        </w:numPr>
        <w:rPr>
          <w:lang w:val="en-US"/>
        </w:rPr>
      </w:pPr>
      <w:r w:rsidRPr="007058DE">
        <w:rPr>
          <w:lang w:val="en-US"/>
        </w:rPr>
        <w:t>put items on the agenda of general meetings and to propose resolutions if they have a 5% holding in the company’s capital;</w:t>
      </w:r>
    </w:p>
    <w:p w14:paraId="18F6885A" w14:textId="77777777" w:rsidR="007F65A1" w:rsidRPr="00197714" w:rsidRDefault="00AE7402" w:rsidP="00AB42AA">
      <w:pPr>
        <w:pStyle w:val="Listenabsatz"/>
        <w:numPr>
          <w:ilvl w:val="1"/>
          <w:numId w:val="11"/>
        </w:numPr>
        <w:rPr>
          <w:lang w:val="en-US"/>
        </w:rPr>
      </w:pPr>
      <w:r w:rsidRPr="00197714">
        <w:rPr>
          <w:lang w:val="en-US"/>
        </w:rPr>
        <w:t>ask questions related to items on the agenda that the company is obliged to answer; and</w:t>
      </w:r>
    </w:p>
    <w:p w14:paraId="65C2DCFA" w14:textId="42B3B323" w:rsidR="00AE7402" w:rsidRPr="00197714" w:rsidRDefault="00AE7402" w:rsidP="00AB42AA">
      <w:pPr>
        <w:pStyle w:val="Listenabsatz"/>
        <w:numPr>
          <w:ilvl w:val="1"/>
          <w:numId w:val="11"/>
        </w:numPr>
        <w:rPr>
          <w:lang w:val="en-US"/>
        </w:rPr>
      </w:pPr>
      <w:r w:rsidRPr="00197714">
        <w:rPr>
          <w:lang w:val="en-US"/>
        </w:rPr>
        <w:t>participate and vote without limitations other than the qualifying date set by a company for owning shares</w:t>
      </w:r>
      <w:r w:rsidR="006F6CA4" w:rsidRPr="00197714">
        <w:rPr>
          <w:lang w:val="en-US"/>
        </w:rPr>
        <w:t xml:space="preserve"> (</w:t>
      </w:r>
      <w:r w:rsidR="001870C0" w:rsidRPr="00197714">
        <w:rPr>
          <w:lang w:val="en-US"/>
        </w:rPr>
        <w:t>articles </w:t>
      </w:r>
      <w:r w:rsidR="006F6CA4" w:rsidRPr="00197714">
        <w:rPr>
          <w:lang w:val="en-US"/>
        </w:rPr>
        <w:t>6</w:t>
      </w:r>
      <w:r w:rsidR="00B14155" w:rsidRPr="00197714">
        <w:rPr>
          <w:lang w:val="en-US"/>
        </w:rPr>
        <w:t xml:space="preserve"> and 9</w:t>
      </w:r>
      <w:r w:rsidR="006F6CA4" w:rsidRPr="00197714">
        <w:rPr>
          <w:lang w:val="en-US"/>
        </w:rPr>
        <w:t xml:space="preserve"> SRD)</w:t>
      </w:r>
      <w:r w:rsidR="00C709A0" w:rsidRPr="00197714">
        <w:rPr>
          <w:lang w:val="en-US"/>
        </w:rPr>
        <w:t>;</w:t>
      </w:r>
    </w:p>
    <w:p w14:paraId="31B24D88" w14:textId="6BBB4865" w:rsidR="009B5E7C" w:rsidRPr="00197714" w:rsidRDefault="009B5E7C" w:rsidP="00AB42AA">
      <w:pPr>
        <w:pStyle w:val="Listenabsatz"/>
        <w:numPr>
          <w:ilvl w:val="0"/>
          <w:numId w:val="11"/>
        </w:numPr>
        <w:rPr>
          <w:lang w:val="en-US"/>
        </w:rPr>
      </w:pPr>
      <w:r w:rsidRPr="00197714">
        <w:rPr>
          <w:lang w:val="en-US"/>
        </w:rPr>
        <w:t xml:space="preserve">abolishment of </w:t>
      </w:r>
      <w:r w:rsidR="00AE7402" w:rsidRPr="00197714">
        <w:rPr>
          <w:lang w:val="en-US"/>
        </w:rPr>
        <w:t>restrictions on shareholders participating at meetings through electronic means</w:t>
      </w:r>
      <w:r w:rsidR="00B14155" w:rsidRPr="00197714">
        <w:rPr>
          <w:lang w:val="en-US"/>
        </w:rPr>
        <w:t xml:space="preserve"> (</w:t>
      </w:r>
      <w:r w:rsidR="001870C0" w:rsidRPr="00197714">
        <w:rPr>
          <w:lang w:val="en-US"/>
        </w:rPr>
        <w:t>article </w:t>
      </w:r>
      <w:r w:rsidR="00B14155" w:rsidRPr="00197714">
        <w:rPr>
          <w:lang w:val="en-US"/>
        </w:rPr>
        <w:t>8 SRD)</w:t>
      </w:r>
      <w:r w:rsidR="00C709A0" w:rsidRPr="00197714">
        <w:rPr>
          <w:lang w:val="en-US"/>
        </w:rPr>
        <w:t>;</w:t>
      </w:r>
    </w:p>
    <w:p w14:paraId="7CD3ED5F" w14:textId="733B5342" w:rsidR="00AE7402" w:rsidRPr="00197714" w:rsidRDefault="009B5E7C" w:rsidP="00AB42AA">
      <w:pPr>
        <w:pStyle w:val="Listenabsatz"/>
        <w:numPr>
          <w:ilvl w:val="0"/>
          <w:numId w:val="11"/>
        </w:numPr>
        <w:rPr>
          <w:lang w:val="en-US"/>
        </w:rPr>
      </w:pPr>
      <w:r w:rsidRPr="00197714">
        <w:rPr>
          <w:lang w:val="en-US"/>
        </w:rPr>
        <w:lastRenderedPageBreak/>
        <w:t xml:space="preserve">a say on </w:t>
      </w:r>
      <w:r w:rsidRPr="007058DE">
        <w:rPr>
          <w:szCs w:val="23"/>
          <w:lang w:val="en-GB"/>
        </w:rPr>
        <w:t>pay</w:t>
      </w:r>
      <w:r w:rsidRPr="00197714">
        <w:rPr>
          <w:lang w:val="en-US"/>
        </w:rPr>
        <w:t xml:space="preserve"> of directors and a right for s</w:t>
      </w:r>
      <w:r w:rsidR="00AE7402" w:rsidRPr="00197714">
        <w:rPr>
          <w:lang w:val="en-US"/>
        </w:rPr>
        <w:t>hareholders to vote on director remuneration policy at least every 4 years</w:t>
      </w:r>
      <w:r w:rsidR="00F77BF5" w:rsidRPr="00197714">
        <w:rPr>
          <w:lang w:val="en-US"/>
        </w:rPr>
        <w:t xml:space="preserve"> (</w:t>
      </w:r>
      <w:r w:rsidR="001870C0" w:rsidRPr="00197714">
        <w:rPr>
          <w:lang w:val="en-US"/>
        </w:rPr>
        <w:t>article </w:t>
      </w:r>
      <w:r w:rsidR="00F77BF5" w:rsidRPr="00197714">
        <w:rPr>
          <w:lang w:val="en-US"/>
        </w:rPr>
        <w:t xml:space="preserve">9a SRD) together with </w:t>
      </w:r>
      <w:r w:rsidRPr="00197714">
        <w:rPr>
          <w:lang w:val="en-US"/>
        </w:rPr>
        <w:t>public disclosure of t</w:t>
      </w:r>
      <w:r w:rsidR="00AE7402" w:rsidRPr="00197714">
        <w:rPr>
          <w:lang w:val="en-US"/>
        </w:rPr>
        <w:t xml:space="preserve">he remuneration policy and </w:t>
      </w:r>
      <w:r w:rsidRPr="00197714">
        <w:rPr>
          <w:lang w:val="en-US"/>
        </w:rPr>
        <w:t xml:space="preserve">related </w:t>
      </w:r>
      <w:r w:rsidR="00AE7402" w:rsidRPr="00197714">
        <w:rPr>
          <w:lang w:val="en-US"/>
        </w:rPr>
        <w:t>reports</w:t>
      </w:r>
      <w:r w:rsidR="00F77BF5" w:rsidRPr="00197714">
        <w:rPr>
          <w:lang w:val="en-US"/>
        </w:rPr>
        <w:t xml:space="preserve"> (</w:t>
      </w:r>
      <w:r w:rsidR="001870C0" w:rsidRPr="00197714">
        <w:rPr>
          <w:lang w:val="en-US"/>
        </w:rPr>
        <w:t>article </w:t>
      </w:r>
      <w:r w:rsidR="00F77BF5" w:rsidRPr="00197714">
        <w:rPr>
          <w:lang w:val="en-US"/>
        </w:rPr>
        <w:t>9b SRD)</w:t>
      </w:r>
      <w:r w:rsidRPr="00197714">
        <w:rPr>
          <w:lang w:val="en-US"/>
        </w:rPr>
        <w:t>;</w:t>
      </w:r>
    </w:p>
    <w:p w14:paraId="48987325" w14:textId="0C1D49C4" w:rsidR="00AE7402" w:rsidRPr="00197714" w:rsidRDefault="009B5E7C" w:rsidP="00AB42AA">
      <w:pPr>
        <w:pStyle w:val="Listenabsatz"/>
        <w:numPr>
          <w:ilvl w:val="0"/>
          <w:numId w:val="11"/>
        </w:numPr>
        <w:rPr>
          <w:lang w:val="en-US"/>
        </w:rPr>
      </w:pPr>
      <w:r w:rsidRPr="00197714">
        <w:rPr>
          <w:lang w:val="en-US"/>
        </w:rPr>
        <w:t xml:space="preserve">the right for </w:t>
      </w:r>
      <w:r w:rsidR="00E96BB4" w:rsidRPr="00197714">
        <w:rPr>
          <w:lang w:val="en-US"/>
        </w:rPr>
        <w:t>companies</w:t>
      </w:r>
      <w:r w:rsidR="00AE7402" w:rsidRPr="00197714">
        <w:rPr>
          <w:lang w:val="en-US"/>
        </w:rPr>
        <w:t xml:space="preserve"> to identify their shareholders and obtain information on shareholder </w:t>
      </w:r>
      <w:r w:rsidR="00AE7402" w:rsidRPr="007058DE">
        <w:rPr>
          <w:szCs w:val="23"/>
          <w:lang w:val="en-GB"/>
        </w:rPr>
        <w:t>identity</w:t>
      </w:r>
      <w:r w:rsidR="00AE7402" w:rsidRPr="00197714">
        <w:rPr>
          <w:lang w:val="en-US"/>
        </w:rPr>
        <w:t xml:space="preserve"> from any intermediary who holds that information</w:t>
      </w:r>
      <w:r w:rsidR="006F6CA4" w:rsidRPr="00197714">
        <w:rPr>
          <w:lang w:val="en-US"/>
        </w:rPr>
        <w:t xml:space="preserve"> (</w:t>
      </w:r>
      <w:r w:rsidR="001870C0" w:rsidRPr="00197714">
        <w:rPr>
          <w:lang w:val="en-US"/>
        </w:rPr>
        <w:t>article </w:t>
      </w:r>
      <w:r w:rsidR="006F6CA4" w:rsidRPr="00197714">
        <w:rPr>
          <w:lang w:val="en-US"/>
        </w:rPr>
        <w:t>3a SRD)</w:t>
      </w:r>
      <w:r w:rsidRPr="00197714">
        <w:rPr>
          <w:lang w:val="en-US"/>
        </w:rPr>
        <w:t>;</w:t>
      </w:r>
      <w:r w:rsidR="00AE7402" w:rsidRPr="00197714">
        <w:rPr>
          <w:lang w:val="en-US"/>
        </w:rPr>
        <w:t xml:space="preserve"> </w:t>
      </w:r>
    </w:p>
    <w:p w14:paraId="498D70C0" w14:textId="4B73039B" w:rsidR="009B5E7C" w:rsidRPr="00197714" w:rsidRDefault="009B5E7C" w:rsidP="00AB42AA">
      <w:pPr>
        <w:pStyle w:val="Listenabsatz"/>
        <w:numPr>
          <w:ilvl w:val="0"/>
          <w:numId w:val="11"/>
        </w:numPr>
        <w:rPr>
          <w:lang w:val="en-US"/>
        </w:rPr>
      </w:pPr>
      <w:r w:rsidRPr="00197714">
        <w:rPr>
          <w:lang w:val="en-US"/>
        </w:rPr>
        <w:t>f</w:t>
      </w:r>
      <w:r w:rsidR="00AE7402" w:rsidRPr="00197714">
        <w:rPr>
          <w:lang w:val="en-US"/>
        </w:rPr>
        <w:t>acilitation of shareholder rights</w:t>
      </w:r>
      <w:r w:rsidRPr="00197714">
        <w:rPr>
          <w:lang w:val="en-US"/>
        </w:rPr>
        <w:t xml:space="preserve">, e.g., </w:t>
      </w:r>
      <w:r w:rsidR="00AE7402" w:rsidRPr="00197714">
        <w:rPr>
          <w:lang w:val="en-US"/>
        </w:rPr>
        <w:t xml:space="preserve">rules </w:t>
      </w:r>
      <w:r w:rsidRPr="00197714">
        <w:rPr>
          <w:lang w:val="en-US"/>
        </w:rPr>
        <w:t xml:space="preserve">that </w:t>
      </w:r>
      <w:r w:rsidR="00AE7402" w:rsidRPr="00197714">
        <w:rPr>
          <w:lang w:val="en-US"/>
        </w:rPr>
        <w:t xml:space="preserve">make it easier for shareholders resident in </w:t>
      </w:r>
      <w:r w:rsidRPr="00197714">
        <w:rPr>
          <w:lang w:val="en-US"/>
        </w:rPr>
        <w:t xml:space="preserve">one </w:t>
      </w:r>
      <w:r w:rsidR="00AE7402" w:rsidRPr="00197714">
        <w:rPr>
          <w:lang w:val="en-US"/>
        </w:rPr>
        <w:t xml:space="preserve">EU country to participate </w:t>
      </w:r>
      <w:r w:rsidRPr="00197714">
        <w:rPr>
          <w:lang w:val="en-US"/>
        </w:rPr>
        <w:t xml:space="preserve">and vote </w:t>
      </w:r>
      <w:r w:rsidR="00AE7402" w:rsidRPr="00197714">
        <w:rPr>
          <w:lang w:val="en-US"/>
        </w:rPr>
        <w:t xml:space="preserve">in general meetings </w:t>
      </w:r>
      <w:r w:rsidRPr="00197714">
        <w:rPr>
          <w:lang w:val="en-US"/>
        </w:rPr>
        <w:t>in another EU country</w:t>
      </w:r>
      <w:r w:rsidR="006101B4" w:rsidRPr="00197714">
        <w:rPr>
          <w:lang w:val="en-US"/>
        </w:rPr>
        <w:t xml:space="preserve"> (</w:t>
      </w:r>
      <w:r w:rsidR="001870C0" w:rsidRPr="00197714">
        <w:rPr>
          <w:lang w:val="en-US"/>
        </w:rPr>
        <w:t>article </w:t>
      </w:r>
      <w:r w:rsidR="006101B4" w:rsidRPr="00197714">
        <w:rPr>
          <w:lang w:val="en-US"/>
        </w:rPr>
        <w:t>3c SRD)</w:t>
      </w:r>
      <w:r w:rsidRPr="00197714">
        <w:rPr>
          <w:lang w:val="en-US"/>
        </w:rPr>
        <w:t>;</w:t>
      </w:r>
    </w:p>
    <w:p w14:paraId="244F420D" w14:textId="7E68A1D6" w:rsidR="009B5E7C" w:rsidRPr="00197714" w:rsidRDefault="009B5E7C" w:rsidP="00AB42AA">
      <w:pPr>
        <w:pStyle w:val="Listenabsatz"/>
        <w:numPr>
          <w:ilvl w:val="0"/>
          <w:numId w:val="11"/>
        </w:numPr>
        <w:rPr>
          <w:lang w:val="en-US"/>
        </w:rPr>
      </w:pPr>
      <w:r w:rsidRPr="00197714">
        <w:rPr>
          <w:lang w:val="en-US"/>
        </w:rPr>
        <w:t>r</w:t>
      </w:r>
      <w:r w:rsidR="00AE7402" w:rsidRPr="00197714">
        <w:rPr>
          <w:lang w:val="en-US"/>
        </w:rPr>
        <w:t>elated party transactions</w:t>
      </w:r>
      <w:r w:rsidRPr="00197714">
        <w:rPr>
          <w:lang w:val="en-US"/>
        </w:rPr>
        <w:t xml:space="preserve">: </w:t>
      </w:r>
      <w:r w:rsidR="00AE7402" w:rsidRPr="00197714">
        <w:rPr>
          <w:lang w:val="en-US"/>
        </w:rPr>
        <w:t xml:space="preserve">any material transaction between a listed company and a related party must </w:t>
      </w:r>
      <w:r w:rsidR="00AE7402" w:rsidRPr="007058DE">
        <w:rPr>
          <w:szCs w:val="23"/>
          <w:lang w:val="en-GB"/>
        </w:rPr>
        <w:t>be</w:t>
      </w:r>
      <w:r w:rsidR="00AE7402" w:rsidRPr="00197714">
        <w:rPr>
          <w:lang w:val="en-US"/>
        </w:rPr>
        <w:t xml:space="preserve"> publicly announced</w:t>
      </w:r>
      <w:r w:rsidRPr="00197714">
        <w:rPr>
          <w:lang w:val="en-US"/>
        </w:rPr>
        <w:t xml:space="preserve">, subject of a fairness assessment, </w:t>
      </w:r>
      <w:r w:rsidR="00E96BB4" w:rsidRPr="00197714">
        <w:rPr>
          <w:lang w:val="en-US"/>
        </w:rPr>
        <w:t>and</w:t>
      </w:r>
      <w:r w:rsidRPr="00197714">
        <w:rPr>
          <w:lang w:val="en-US"/>
        </w:rPr>
        <w:t xml:space="preserve"> </w:t>
      </w:r>
      <w:r w:rsidR="00AE7402" w:rsidRPr="00197714">
        <w:rPr>
          <w:lang w:val="en-US"/>
        </w:rPr>
        <w:t>approved by shareholders or the board</w:t>
      </w:r>
      <w:r w:rsidR="002923B3" w:rsidRPr="00197714">
        <w:rPr>
          <w:lang w:val="en-US"/>
        </w:rPr>
        <w:t xml:space="preserve"> (</w:t>
      </w:r>
      <w:r w:rsidR="001870C0" w:rsidRPr="00197714">
        <w:rPr>
          <w:lang w:val="en-US"/>
        </w:rPr>
        <w:t>article </w:t>
      </w:r>
      <w:r w:rsidR="002923B3" w:rsidRPr="00197714">
        <w:rPr>
          <w:lang w:val="en-US"/>
        </w:rPr>
        <w:t>9c SRD)</w:t>
      </w:r>
      <w:r w:rsidR="00A83300" w:rsidRPr="00197714">
        <w:rPr>
          <w:lang w:val="en-US"/>
        </w:rPr>
        <w:t>;</w:t>
      </w:r>
      <w:r w:rsidR="00AE7402" w:rsidRPr="00197714">
        <w:rPr>
          <w:lang w:val="en-US"/>
        </w:rPr>
        <w:t xml:space="preserve"> </w:t>
      </w:r>
    </w:p>
    <w:p w14:paraId="42F7B077" w14:textId="392FA8FD" w:rsidR="00AE7402" w:rsidRPr="00197714" w:rsidRDefault="009B5E7C" w:rsidP="00AB42AA">
      <w:pPr>
        <w:pStyle w:val="Listenabsatz"/>
        <w:numPr>
          <w:ilvl w:val="0"/>
          <w:numId w:val="11"/>
        </w:numPr>
        <w:rPr>
          <w:lang w:val="en-US"/>
        </w:rPr>
      </w:pPr>
      <w:r w:rsidRPr="00197714">
        <w:rPr>
          <w:lang w:val="en-US"/>
        </w:rPr>
        <w:t>t</w:t>
      </w:r>
      <w:r w:rsidR="00AE7402" w:rsidRPr="00197714">
        <w:rPr>
          <w:lang w:val="en-US"/>
        </w:rPr>
        <w:t xml:space="preserve">ransparency </w:t>
      </w:r>
      <w:r w:rsidRPr="007058DE">
        <w:rPr>
          <w:szCs w:val="23"/>
          <w:lang w:val="en-GB"/>
        </w:rPr>
        <w:t>as</w:t>
      </w:r>
      <w:r w:rsidRPr="00197714">
        <w:rPr>
          <w:lang w:val="en-US"/>
        </w:rPr>
        <w:t xml:space="preserve"> regards policies adopted by </w:t>
      </w:r>
      <w:r w:rsidR="00AE7402" w:rsidRPr="00197714">
        <w:rPr>
          <w:lang w:val="en-US"/>
        </w:rPr>
        <w:t>institutional investors, asset managers and proxy advisers</w:t>
      </w:r>
      <w:r w:rsidRPr="00197714">
        <w:rPr>
          <w:lang w:val="en-US"/>
        </w:rPr>
        <w:t xml:space="preserve"> vis-à-vis companies covered by the directive</w:t>
      </w:r>
      <w:r w:rsidR="006101B4" w:rsidRPr="00197714">
        <w:rPr>
          <w:lang w:val="en-US"/>
        </w:rPr>
        <w:t xml:space="preserve"> (</w:t>
      </w:r>
      <w:r w:rsidR="001870C0" w:rsidRPr="00197714">
        <w:rPr>
          <w:lang w:val="en-US"/>
        </w:rPr>
        <w:t>articles </w:t>
      </w:r>
      <w:r w:rsidR="006101B4" w:rsidRPr="00197714">
        <w:rPr>
          <w:lang w:val="en-US"/>
        </w:rPr>
        <w:t>3g ff. SRD)</w:t>
      </w:r>
      <w:r w:rsidRPr="00197714">
        <w:rPr>
          <w:lang w:val="en-US"/>
        </w:rPr>
        <w:t>.</w:t>
      </w:r>
    </w:p>
    <w:p w14:paraId="4E9A743A" w14:textId="182BDADC" w:rsidR="004641DA" w:rsidRPr="002121A4" w:rsidRDefault="004641DA" w:rsidP="0079499C">
      <w:pPr>
        <w:pStyle w:val="berschrift3"/>
        <w:rPr>
          <w:lang w:val="en-GB"/>
        </w:rPr>
      </w:pPr>
      <w:bookmarkStart w:id="52" w:name="_Ref129851799"/>
      <w:r w:rsidRPr="002121A4">
        <w:rPr>
          <w:lang w:val="en-GB"/>
        </w:rPr>
        <w:t>Bonds</w:t>
      </w:r>
      <w:bookmarkEnd w:id="52"/>
    </w:p>
    <w:p w14:paraId="7B03F5E9" w14:textId="49239807" w:rsidR="008F63E1" w:rsidRPr="002121A4" w:rsidRDefault="000E3293" w:rsidP="00096920">
      <w:pPr>
        <w:pStyle w:val="Standardwithparanumbering"/>
      </w:pPr>
      <w:r w:rsidRPr="002121A4">
        <w:t>“Bond</w:t>
      </w:r>
      <w:r w:rsidR="00EE578E" w:rsidRPr="002121A4">
        <w:t>s</w:t>
      </w:r>
      <w:r w:rsidRPr="002121A4">
        <w:t xml:space="preserve">” </w:t>
      </w:r>
      <w:r w:rsidR="00EE578E" w:rsidRPr="002121A4">
        <w:t xml:space="preserve">– </w:t>
      </w:r>
      <w:r w:rsidRPr="002121A4">
        <w:t>also referred to as “notes”</w:t>
      </w:r>
      <w:r w:rsidR="00EE578E" w:rsidRPr="002121A4">
        <w:t xml:space="preserve"> –</w:t>
      </w:r>
      <w:r w:rsidRPr="002121A4">
        <w:t xml:space="preserve"> are the unilateral promise of the issuer to the bondholder to make a certain performance, typically, repayment of the principal and payment of interest.</w:t>
      </w:r>
      <w:r w:rsidR="003E7160" w:rsidRPr="002121A4">
        <w:t xml:space="preserve"> In economic terms, a bond corresponds to a loan agreement</w:t>
      </w:r>
      <w:r w:rsidR="005145FD">
        <w:t>,</w:t>
      </w:r>
      <w:r w:rsidR="00B866CA" w:rsidRPr="002121A4">
        <w:t xml:space="preserve"> but unlike a loan agreement, a bond </w:t>
      </w:r>
      <w:r w:rsidR="00511957" w:rsidRPr="002121A4">
        <w:t xml:space="preserve">will not </w:t>
      </w:r>
      <w:r w:rsidR="00B866CA" w:rsidRPr="002121A4">
        <w:t>create obligations for the bondholder/creditor</w:t>
      </w:r>
      <w:r w:rsidR="003E7160" w:rsidRPr="002121A4">
        <w:t>.</w:t>
      </w:r>
      <w:r w:rsidRPr="002121A4">
        <w:t xml:space="preserve"> </w:t>
      </w:r>
      <w:r w:rsidR="007536CD" w:rsidRPr="002121A4">
        <w:t xml:space="preserve">While the EU legislator deals extensively with shareholder rights, as seen above, substantive rights of bondholders are not subject to </w:t>
      </w:r>
      <w:r w:rsidR="000418E7" w:rsidRPr="002121A4">
        <w:t xml:space="preserve">a </w:t>
      </w:r>
      <w:r w:rsidR="007536CD" w:rsidRPr="002121A4">
        <w:t xml:space="preserve">comparable legal regime at EU level which leaves regulation largely to domestic legislators. </w:t>
      </w:r>
      <w:r w:rsidR="00173A21" w:rsidRPr="002121A4">
        <w:t xml:space="preserve">In German law, the traditional rules </w:t>
      </w:r>
      <w:r w:rsidR="00E50571" w:rsidRPr="002121A4">
        <w:t>for bonds (“</w:t>
      </w:r>
      <w:proofErr w:type="spellStart"/>
      <w:r w:rsidR="00E50571" w:rsidRPr="002121A4">
        <w:rPr>
          <w:i/>
        </w:rPr>
        <w:t>Schuld</w:t>
      </w:r>
      <w:r w:rsidR="000D418E" w:rsidRPr="002121A4">
        <w:rPr>
          <w:i/>
        </w:rPr>
        <w:softHyphen/>
      </w:r>
      <w:r w:rsidR="00E50571" w:rsidRPr="002121A4">
        <w:rPr>
          <w:i/>
        </w:rPr>
        <w:t>verschreibungen</w:t>
      </w:r>
      <w:proofErr w:type="spellEnd"/>
      <w:r w:rsidR="00E50571" w:rsidRPr="002121A4">
        <w:t xml:space="preserve">”) </w:t>
      </w:r>
      <w:r w:rsidR="00173A21" w:rsidRPr="002121A4">
        <w:t>are contained in §</w:t>
      </w:r>
      <w:r w:rsidR="006A727E" w:rsidRPr="002121A4">
        <w:t>§ </w:t>
      </w:r>
      <w:r w:rsidR="00173A21" w:rsidRPr="002121A4">
        <w:t>793–808</w:t>
      </w:r>
      <w:r w:rsidR="009F6817" w:rsidRPr="002121A4">
        <w:t xml:space="preserve"> </w:t>
      </w:r>
      <w:r w:rsidR="00173A21" w:rsidRPr="002121A4">
        <w:t>BGB</w:t>
      </w:r>
      <w:r w:rsidR="003C06DA" w:rsidRPr="002121A4">
        <w:t xml:space="preserve">, with legislative reform </w:t>
      </w:r>
      <w:r w:rsidR="008106E5" w:rsidRPr="002121A4">
        <w:t xml:space="preserve">introducing modern </w:t>
      </w:r>
      <w:r w:rsidR="003C06DA" w:rsidRPr="002121A4">
        <w:t>concepts such as digital securities</w:t>
      </w:r>
      <w:r w:rsidR="00EE578E" w:rsidRPr="002121A4">
        <w:t>.</w:t>
      </w:r>
      <w:r w:rsidR="003C06DA" w:rsidRPr="002121A4">
        <w:rPr>
          <w:rStyle w:val="Funotenzeichen"/>
        </w:rPr>
        <w:footnoteReference w:id="47"/>
      </w:r>
      <w:r w:rsidR="00173A21" w:rsidRPr="002121A4">
        <w:t xml:space="preserve"> </w:t>
      </w:r>
    </w:p>
    <w:p w14:paraId="31F106F1" w14:textId="53BC344B" w:rsidR="008F63E1" w:rsidRPr="002121A4" w:rsidRDefault="008F63E1" w:rsidP="00AB42AA">
      <w:pPr>
        <w:pStyle w:val="Case"/>
        <w:numPr>
          <w:ilvl w:val="0"/>
          <w:numId w:val="14"/>
        </w:numPr>
        <w:ind w:left="567" w:firstLine="0"/>
      </w:pPr>
      <w:bookmarkStart w:id="53" w:name="_Ref130848508"/>
      <w:r w:rsidRPr="002121A4">
        <w:t xml:space="preserve">C, a </w:t>
      </w:r>
      <w:r w:rsidR="00274CFC" w:rsidRPr="002121A4">
        <w:t>German</w:t>
      </w:r>
      <w:r w:rsidRPr="002121A4">
        <w:t xml:space="preserve"> stock company, proposes an investment in “tokens”. These tokens are described as </w:t>
      </w:r>
      <w:r w:rsidRPr="002121A4">
        <w:rPr>
          <w:szCs w:val="23"/>
        </w:rPr>
        <w:t>instruments</w:t>
      </w:r>
      <w:r w:rsidRPr="002121A4">
        <w:t xml:space="preserve"> “using blockchain technology” and “representing a security with features of a </w:t>
      </w:r>
      <w:r w:rsidRPr="002121A4">
        <w:rPr>
          <w:szCs w:val="23"/>
        </w:rPr>
        <w:t>structured</w:t>
      </w:r>
      <w:r w:rsidRPr="002121A4">
        <w:t xml:space="preserve"> bond with a maturity date in 2043”. The purpose of this </w:t>
      </w:r>
      <w:r w:rsidRPr="002121A4">
        <w:rPr>
          <w:szCs w:val="23"/>
        </w:rPr>
        <w:t>Security</w:t>
      </w:r>
      <w:r w:rsidRPr="002121A4">
        <w:t xml:space="preserve"> Token Offering is to raise funds from the public, which will essentially serve as funding the acquisition of a portfolio of commercial and residential real estate objects in European countries. Do the “tokens” qualify as “securities” under article 4(1)(44) MiFID II?</w:t>
      </w:r>
      <w:bookmarkEnd w:id="53"/>
    </w:p>
    <w:p w14:paraId="06A426BE" w14:textId="4D193AB4" w:rsidR="008F63E1" w:rsidRPr="002121A4" w:rsidRDefault="008F63E1" w:rsidP="000418E7">
      <w:pPr>
        <w:pStyle w:val="Case"/>
        <w:rPr>
          <w:b/>
        </w:rPr>
      </w:pPr>
      <w:r w:rsidRPr="002121A4">
        <w:rPr>
          <w:b/>
        </w:rPr>
        <w:t>Notes.</w:t>
      </w:r>
      <w:r w:rsidR="001E78B8" w:rsidRPr="002121A4">
        <w:rPr>
          <w:b/>
        </w:rPr>
        <w:t xml:space="preserve"> </w:t>
      </w:r>
      <w:r w:rsidR="00B361D3" w:rsidRPr="002121A4">
        <w:rPr>
          <w:b/>
        </w:rPr>
        <w:br/>
      </w:r>
      <w:r w:rsidR="00B361D3" w:rsidRPr="002121A4">
        <w:rPr>
          <w:b/>
        </w:rPr>
        <w:br/>
      </w:r>
      <w:r w:rsidR="00B361D3" w:rsidRPr="002121A4">
        <w:rPr>
          <w:b/>
        </w:rPr>
        <w:br/>
      </w:r>
      <w:r w:rsidR="00B361D3" w:rsidRPr="002121A4">
        <w:rPr>
          <w:b/>
        </w:rPr>
        <w:br/>
      </w:r>
      <w:r w:rsidR="00B361D3" w:rsidRPr="002121A4">
        <w:rPr>
          <w:b/>
        </w:rPr>
        <w:br/>
      </w:r>
    </w:p>
    <w:p w14:paraId="6577F646" w14:textId="1A8AB1E1" w:rsidR="004641DA" w:rsidRPr="002121A4" w:rsidRDefault="00D83C38" w:rsidP="00DA611A">
      <w:pPr>
        <w:pStyle w:val="Standardwithparanumbering"/>
      </w:pPr>
      <w:r w:rsidRPr="00F9205E">
        <w:rPr>
          <w:lang w:val="de-DE"/>
        </w:rPr>
        <w:t xml:space="preserve">German </w:t>
      </w:r>
      <w:proofErr w:type="spellStart"/>
      <w:r w:rsidRPr="00F9205E">
        <w:rPr>
          <w:lang w:val="de-DE"/>
        </w:rPr>
        <w:t>law</w:t>
      </w:r>
      <w:proofErr w:type="spellEnd"/>
      <w:r w:rsidRPr="00F9205E">
        <w:rPr>
          <w:lang w:val="de-DE"/>
        </w:rPr>
        <w:t xml:space="preserve"> </w:t>
      </w:r>
      <w:proofErr w:type="spellStart"/>
      <w:r w:rsidRPr="00F9205E">
        <w:rPr>
          <w:lang w:val="de-DE"/>
        </w:rPr>
        <w:t>makes</w:t>
      </w:r>
      <w:proofErr w:type="spellEnd"/>
      <w:r w:rsidRPr="00F9205E">
        <w:rPr>
          <w:lang w:val="de-DE"/>
        </w:rPr>
        <w:t xml:space="preserve"> a </w:t>
      </w:r>
      <w:proofErr w:type="spellStart"/>
      <w:r w:rsidR="000E3293" w:rsidRPr="00F9205E">
        <w:rPr>
          <w:lang w:val="de-DE"/>
        </w:rPr>
        <w:t>distinction</w:t>
      </w:r>
      <w:proofErr w:type="spellEnd"/>
      <w:r w:rsidR="000E3293" w:rsidRPr="00F9205E">
        <w:rPr>
          <w:lang w:val="de-DE"/>
        </w:rPr>
        <w:t xml:space="preserve"> </w:t>
      </w:r>
      <w:proofErr w:type="spellStart"/>
      <w:r w:rsidR="000E3293" w:rsidRPr="00F9205E">
        <w:rPr>
          <w:lang w:val="de-DE"/>
        </w:rPr>
        <w:t>made</w:t>
      </w:r>
      <w:proofErr w:type="spellEnd"/>
      <w:r w:rsidR="000E3293" w:rsidRPr="00F9205E">
        <w:rPr>
          <w:lang w:val="de-DE"/>
        </w:rPr>
        <w:t xml:space="preserve"> </w:t>
      </w:r>
      <w:proofErr w:type="spellStart"/>
      <w:r w:rsidR="000E3293" w:rsidRPr="00F9205E">
        <w:rPr>
          <w:lang w:val="de-DE"/>
        </w:rPr>
        <w:t>between</w:t>
      </w:r>
      <w:proofErr w:type="spellEnd"/>
      <w:r w:rsidR="000E3293" w:rsidRPr="00F9205E">
        <w:rPr>
          <w:lang w:val="de-DE"/>
        </w:rPr>
        <w:t xml:space="preserve"> </w:t>
      </w:r>
      <w:proofErr w:type="spellStart"/>
      <w:r w:rsidR="000E3293" w:rsidRPr="00F9205E">
        <w:rPr>
          <w:lang w:val="de-DE"/>
        </w:rPr>
        <w:t>b</w:t>
      </w:r>
      <w:r w:rsidR="00F602D7" w:rsidRPr="00F9205E">
        <w:rPr>
          <w:lang w:val="de-DE"/>
        </w:rPr>
        <w:t>earer</w:t>
      </w:r>
      <w:proofErr w:type="spellEnd"/>
      <w:r w:rsidR="00F602D7" w:rsidRPr="00F9205E">
        <w:rPr>
          <w:lang w:val="de-DE"/>
        </w:rPr>
        <w:t xml:space="preserve"> </w:t>
      </w:r>
      <w:proofErr w:type="spellStart"/>
      <w:r w:rsidR="00F602D7" w:rsidRPr="00F9205E">
        <w:rPr>
          <w:lang w:val="de-DE"/>
        </w:rPr>
        <w:t>notes</w:t>
      </w:r>
      <w:proofErr w:type="spellEnd"/>
      <w:r w:rsidR="00F602D7" w:rsidRPr="00F9205E">
        <w:rPr>
          <w:lang w:val="de-DE"/>
        </w:rPr>
        <w:t xml:space="preserve"> (</w:t>
      </w:r>
      <w:r w:rsidR="00F602D7" w:rsidRPr="00F9205E">
        <w:rPr>
          <w:i/>
          <w:lang w:val="de-DE"/>
        </w:rPr>
        <w:t>Schuld</w:t>
      </w:r>
      <w:r w:rsidR="00366660" w:rsidRPr="00F9205E">
        <w:rPr>
          <w:i/>
          <w:lang w:val="de-DE"/>
        </w:rPr>
        <w:softHyphen/>
      </w:r>
      <w:r w:rsidR="00F602D7" w:rsidRPr="00F9205E">
        <w:rPr>
          <w:i/>
          <w:lang w:val="de-DE"/>
        </w:rPr>
        <w:t>verschreibung auf den Inhaber</w:t>
      </w:r>
      <w:r w:rsidRPr="00F9205E">
        <w:rPr>
          <w:lang w:val="de-DE"/>
        </w:rPr>
        <w:t>, § 793 BGB</w:t>
      </w:r>
      <w:r w:rsidR="00F602D7" w:rsidRPr="00F9205E">
        <w:rPr>
          <w:lang w:val="de-DE"/>
        </w:rPr>
        <w:t>)</w:t>
      </w:r>
      <w:r w:rsidR="00E50571" w:rsidRPr="00F9205E">
        <w:rPr>
          <w:lang w:val="de-DE"/>
        </w:rPr>
        <w:t xml:space="preserve">, </w:t>
      </w:r>
      <w:r w:rsidR="00753E8F" w:rsidRPr="00F9205E">
        <w:rPr>
          <w:lang w:val="de-DE"/>
        </w:rPr>
        <w:t xml:space="preserve">and </w:t>
      </w:r>
      <w:r w:rsidR="00F602D7" w:rsidRPr="00F9205E">
        <w:rPr>
          <w:lang w:val="de-DE"/>
        </w:rPr>
        <w:t xml:space="preserve">registered </w:t>
      </w:r>
      <w:proofErr w:type="spellStart"/>
      <w:r w:rsidR="00F602D7" w:rsidRPr="00F9205E">
        <w:rPr>
          <w:lang w:val="de-DE"/>
        </w:rPr>
        <w:t>notes</w:t>
      </w:r>
      <w:proofErr w:type="spellEnd"/>
      <w:r w:rsidR="00F602D7" w:rsidRPr="00F9205E">
        <w:rPr>
          <w:lang w:val="de-DE"/>
        </w:rPr>
        <w:t xml:space="preserve"> (</w:t>
      </w:r>
      <w:r w:rsidR="00F602D7" w:rsidRPr="00F9205E">
        <w:rPr>
          <w:i/>
          <w:lang w:val="de-DE"/>
        </w:rPr>
        <w:t>Namensschuld</w:t>
      </w:r>
      <w:r w:rsidR="002B54C5" w:rsidRPr="00F9205E">
        <w:rPr>
          <w:i/>
          <w:lang w:val="de-DE"/>
        </w:rPr>
        <w:softHyphen/>
      </w:r>
      <w:r w:rsidR="00F602D7" w:rsidRPr="00F9205E">
        <w:rPr>
          <w:i/>
          <w:lang w:val="de-DE"/>
        </w:rPr>
        <w:t>verschreibung</w:t>
      </w:r>
      <w:r w:rsidRPr="00F9205E">
        <w:rPr>
          <w:lang w:val="de-DE"/>
        </w:rPr>
        <w:t>, § 806 BGB</w:t>
      </w:r>
      <w:r w:rsidR="00F602D7" w:rsidRPr="00F9205E">
        <w:rPr>
          <w:lang w:val="de-DE"/>
        </w:rPr>
        <w:t>)</w:t>
      </w:r>
      <w:r w:rsidR="00593212" w:rsidRPr="00F9205E">
        <w:rPr>
          <w:lang w:val="de-DE"/>
        </w:rPr>
        <w:t xml:space="preserve">. </w:t>
      </w:r>
      <w:r w:rsidR="00593212" w:rsidRPr="002121A4">
        <w:t>In the case of bearer notes, possession of the certificate is sufficient to claim payment, and payment to the person in possession will liberate the issuer from its obligations.</w:t>
      </w:r>
      <w:r w:rsidR="00593212" w:rsidRPr="002121A4">
        <w:rPr>
          <w:rStyle w:val="Funotenzeichen"/>
        </w:rPr>
        <w:footnoteReference w:id="48"/>
      </w:r>
      <w:r w:rsidR="00593212" w:rsidRPr="002121A4">
        <w:t xml:space="preserve"> By contrast, registered notes</w:t>
      </w:r>
      <w:r w:rsidR="00457D2C" w:rsidRPr="002121A4">
        <w:t xml:space="preserve"> require payment to the person in whose name the notes are registered</w:t>
      </w:r>
      <w:r w:rsidR="00FF7394" w:rsidRPr="002121A4">
        <w:t xml:space="preserve"> or whose name is indicated in the note</w:t>
      </w:r>
      <w:r w:rsidR="009F6817" w:rsidRPr="002121A4">
        <w:t xml:space="preserve">. </w:t>
      </w:r>
      <w:r w:rsidR="00A71125" w:rsidRPr="002121A4">
        <w:t xml:space="preserve">Obligations under a bond depend on the terms and conditions used by the issuer, and accordingly, </w:t>
      </w:r>
      <w:r w:rsidR="00A71125" w:rsidRPr="002121A4">
        <w:lastRenderedPageBreak/>
        <w:t xml:space="preserve">can vary from the typical obligations for an issuer to repay principal at maturity and interest. For example, a </w:t>
      </w:r>
      <w:r w:rsidR="00FD4067" w:rsidRPr="002121A4">
        <w:t>convertible bond (</w:t>
      </w:r>
      <w:proofErr w:type="spellStart"/>
      <w:r w:rsidR="00FD4067" w:rsidRPr="002121A4">
        <w:rPr>
          <w:i/>
        </w:rPr>
        <w:t>Wandelanleihe</w:t>
      </w:r>
      <w:proofErr w:type="spellEnd"/>
      <w:r w:rsidR="00FD4067" w:rsidRPr="002121A4">
        <w:t xml:space="preserve">, </w:t>
      </w:r>
      <w:proofErr w:type="spellStart"/>
      <w:r w:rsidR="00FD4067" w:rsidRPr="002121A4">
        <w:rPr>
          <w:i/>
        </w:rPr>
        <w:t>Wandelschuld</w:t>
      </w:r>
      <w:r w:rsidR="008F63E1" w:rsidRPr="002121A4">
        <w:rPr>
          <w:i/>
        </w:rPr>
        <w:softHyphen/>
      </w:r>
      <w:r w:rsidR="00FD4067" w:rsidRPr="002121A4">
        <w:rPr>
          <w:i/>
        </w:rPr>
        <w:t>ver</w:t>
      </w:r>
      <w:r w:rsidR="008F63E1" w:rsidRPr="002121A4">
        <w:rPr>
          <w:i/>
        </w:rPr>
        <w:softHyphen/>
      </w:r>
      <w:r w:rsidR="00FD4067" w:rsidRPr="002121A4">
        <w:rPr>
          <w:i/>
        </w:rPr>
        <w:t>schreibung</w:t>
      </w:r>
      <w:proofErr w:type="spellEnd"/>
      <w:r w:rsidR="00FD4067" w:rsidRPr="002121A4">
        <w:t xml:space="preserve">) </w:t>
      </w:r>
      <w:r w:rsidR="00A71125" w:rsidRPr="002121A4">
        <w:t xml:space="preserve">entitles </w:t>
      </w:r>
      <w:r w:rsidR="00FD4067" w:rsidRPr="002121A4">
        <w:t xml:space="preserve">the bondholder </w:t>
      </w:r>
      <w:r w:rsidR="00A71125" w:rsidRPr="002121A4">
        <w:t xml:space="preserve">to </w:t>
      </w:r>
      <w:r w:rsidR="00FD4067" w:rsidRPr="002121A4">
        <w:t xml:space="preserve">convert </w:t>
      </w:r>
      <w:r w:rsidR="00A71125" w:rsidRPr="002121A4">
        <w:t xml:space="preserve">the bond </w:t>
      </w:r>
      <w:r w:rsidR="00FD4067" w:rsidRPr="002121A4">
        <w:t>into equity of the issuer</w:t>
      </w:r>
      <w:r w:rsidR="00A71125" w:rsidRPr="002121A4">
        <w:t xml:space="preserve">. Where the exchange right is for equity of another company than that of the issuer, such bonds are referred to as </w:t>
      </w:r>
      <w:r w:rsidR="005C6E47" w:rsidRPr="002121A4">
        <w:t>“</w:t>
      </w:r>
      <w:r w:rsidR="00A71125" w:rsidRPr="002121A4">
        <w:t>exchangeable bonds</w:t>
      </w:r>
      <w:r w:rsidR="005C6E47" w:rsidRPr="002121A4">
        <w:t>”</w:t>
      </w:r>
      <w:r w:rsidR="00A71125" w:rsidRPr="002121A4">
        <w:t xml:space="preserve"> (</w:t>
      </w:r>
      <w:proofErr w:type="spellStart"/>
      <w:r w:rsidR="00A71125" w:rsidRPr="002121A4">
        <w:rPr>
          <w:i/>
        </w:rPr>
        <w:t>Umtauschanleihen</w:t>
      </w:r>
      <w:proofErr w:type="spellEnd"/>
      <w:r w:rsidR="00A71125" w:rsidRPr="002121A4">
        <w:t>). A zero bond (</w:t>
      </w:r>
      <w:proofErr w:type="spellStart"/>
      <w:r w:rsidR="00A71125" w:rsidRPr="002121A4">
        <w:rPr>
          <w:i/>
        </w:rPr>
        <w:t>Null</w:t>
      </w:r>
      <w:r w:rsidR="000A3C97" w:rsidRPr="002121A4">
        <w:rPr>
          <w:i/>
        </w:rPr>
        <w:softHyphen/>
      </w:r>
      <w:r w:rsidR="00A71125" w:rsidRPr="002121A4">
        <w:rPr>
          <w:i/>
        </w:rPr>
        <w:t>kupon</w:t>
      </w:r>
      <w:r w:rsidR="000A3C97" w:rsidRPr="002121A4">
        <w:rPr>
          <w:i/>
        </w:rPr>
        <w:softHyphen/>
      </w:r>
      <w:r w:rsidR="00A71125" w:rsidRPr="002121A4">
        <w:rPr>
          <w:i/>
        </w:rPr>
        <w:t>anleihe</w:t>
      </w:r>
      <w:proofErr w:type="spellEnd"/>
      <w:r w:rsidR="00A71125" w:rsidRPr="002121A4">
        <w:t>) is a bond where the terms and conditions do not provide for interest to be paid.</w:t>
      </w:r>
      <w:r w:rsidR="00A71125" w:rsidRPr="002121A4">
        <w:rPr>
          <w:rStyle w:val="Funotenzeichen"/>
        </w:rPr>
        <w:footnoteReference w:id="49"/>
      </w:r>
      <w:r w:rsidR="00A71125" w:rsidRPr="002121A4">
        <w:t xml:space="preserve"> </w:t>
      </w:r>
      <w:r w:rsidR="005010E4" w:rsidRPr="002121A4">
        <w:t>The</w:t>
      </w:r>
      <w:r w:rsidR="00D577B5" w:rsidRPr="002121A4">
        <w:t xml:space="preserve"> rights of the bondholders are determined by the terms and conditions under which the bond is issued.</w:t>
      </w:r>
    </w:p>
    <w:p w14:paraId="23E6940E" w14:textId="4689AE1B" w:rsidR="00A51A95" w:rsidRPr="002121A4" w:rsidRDefault="00A51A95" w:rsidP="00AB42AA">
      <w:pPr>
        <w:pStyle w:val="Case"/>
        <w:numPr>
          <w:ilvl w:val="0"/>
          <w:numId w:val="14"/>
        </w:numPr>
        <w:ind w:left="567" w:firstLine="0"/>
        <w:rPr>
          <w:szCs w:val="23"/>
        </w:rPr>
      </w:pPr>
      <w:bookmarkStart w:id="54" w:name="_Ref163122256"/>
      <w:r w:rsidRPr="002121A4">
        <w:rPr>
          <w:szCs w:val="23"/>
        </w:rPr>
        <w:t>In 1997, Argentina issued 8% notes due in 2009 with a total principal amount of DEM 1bn. The notes were governed by German law. In 2002, Argentina declared a national emergency due to a general economic crisis in the country and suspended all payments. It later offered bondholders a restructuring arrangement, involving significant “hair-cuts” for the bondholders in return for a lift of the moratorium on payments. 92% of the bondholders accepted the offer. B is a bondholder who turned down the restructuring offer. Can he claim redemption of the bond at maturity at par? (</w:t>
      </w:r>
      <w:proofErr w:type="spellStart"/>
      <w:r w:rsidRPr="002121A4">
        <w:rPr>
          <w:szCs w:val="23"/>
        </w:rPr>
        <w:t>BVerfG</w:t>
      </w:r>
      <w:proofErr w:type="spellEnd"/>
      <w:r w:rsidRPr="002121A4">
        <w:rPr>
          <w:szCs w:val="23"/>
        </w:rPr>
        <w:t xml:space="preserve">, 3 July 2019 – 2 </w:t>
      </w:r>
      <w:proofErr w:type="spellStart"/>
      <w:r w:rsidRPr="002121A4">
        <w:rPr>
          <w:szCs w:val="23"/>
        </w:rPr>
        <w:t>BvR</w:t>
      </w:r>
      <w:proofErr w:type="spellEnd"/>
      <w:r w:rsidRPr="002121A4">
        <w:rPr>
          <w:szCs w:val="23"/>
        </w:rPr>
        <w:t xml:space="preserve"> 824/15, ZIP 2019, 1472 and BGH, 24 February 2015 – XI ZR 193/14, ZIP 2015, 769)</w:t>
      </w:r>
      <w:bookmarkEnd w:id="54"/>
      <w:r w:rsidRPr="002121A4">
        <w:rPr>
          <w:szCs w:val="23"/>
        </w:rPr>
        <w:t xml:space="preserve"> </w:t>
      </w:r>
    </w:p>
    <w:p w14:paraId="12BFAD30" w14:textId="1B8E9548" w:rsidR="00096920" w:rsidRPr="002121A4" w:rsidRDefault="00096920" w:rsidP="00F602D7">
      <w:pPr>
        <w:pStyle w:val="Case"/>
        <w:rPr>
          <w:b/>
        </w:rPr>
      </w:pPr>
      <w:r w:rsidRPr="002121A4">
        <w:rPr>
          <w:b/>
        </w:rPr>
        <w:t>Notes.</w:t>
      </w:r>
      <w:r w:rsidR="00786A2E" w:rsidRPr="002121A4">
        <w:rPr>
          <w:b/>
        </w:rPr>
        <w:t xml:space="preserve"> </w:t>
      </w:r>
      <w:r w:rsidR="00B361D3" w:rsidRPr="002121A4">
        <w:rPr>
          <w:b/>
        </w:rPr>
        <w:br/>
      </w:r>
      <w:r w:rsidR="00B361D3" w:rsidRPr="002121A4">
        <w:rPr>
          <w:b/>
        </w:rPr>
        <w:br/>
      </w:r>
      <w:r w:rsidR="00B361D3" w:rsidRPr="002121A4">
        <w:rPr>
          <w:b/>
        </w:rPr>
        <w:br/>
      </w:r>
      <w:r w:rsidR="00B361D3" w:rsidRPr="002121A4">
        <w:rPr>
          <w:b/>
        </w:rPr>
        <w:br/>
      </w:r>
      <w:r w:rsidR="00B361D3" w:rsidRPr="002121A4">
        <w:rPr>
          <w:b/>
        </w:rPr>
        <w:br/>
      </w:r>
    </w:p>
    <w:p w14:paraId="4A4058C2" w14:textId="49BC1AF0" w:rsidR="005A2142" w:rsidRPr="002121A4" w:rsidRDefault="00B30824" w:rsidP="005A2142">
      <w:pPr>
        <w:pStyle w:val="Standardwithparanumbering"/>
      </w:pPr>
      <w:bookmarkStart w:id="55" w:name="_Ref170400633"/>
      <w:r w:rsidRPr="002121A4">
        <w:t xml:space="preserve">Under certain conditions, a specific German </w:t>
      </w:r>
      <w:r w:rsidR="00E63123">
        <w:t>statute</w:t>
      </w:r>
      <w:r w:rsidRPr="002121A4">
        <w:t xml:space="preserve"> (</w:t>
      </w:r>
      <w:proofErr w:type="spellStart"/>
      <w:r w:rsidRPr="002121A4">
        <w:rPr>
          <w:i/>
        </w:rPr>
        <w:t>Schuldverschreibungsgesetz</w:t>
      </w:r>
      <w:proofErr w:type="spellEnd"/>
      <w:r w:rsidR="00753E8F" w:rsidRPr="002121A4">
        <w:t xml:space="preserve">, </w:t>
      </w:r>
      <w:proofErr w:type="spellStart"/>
      <w:r w:rsidR="00753E8F" w:rsidRPr="002121A4">
        <w:t>SchVG</w:t>
      </w:r>
      <w:proofErr w:type="spellEnd"/>
      <w:r w:rsidRPr="002121A4">
        <w:t xml:space="preserve">) allows for terms and conditions of a bond to be modified by majority resolution. The law </w:t>
      </w:r>
      <w:r w:rsidR="00EA5711" w:rsidRPr="002121A4">
        <w:t>applies to any series of fungible notes issued under German law.</w:t>
      </w:r>
      <w:r w:rsidR="00EA5711" w:rsidRPr="002121A4">
        <w:rPr>
          <w:rStyle w:val="Funotenzeichen"/>
        </w:rPr>
        <w:footnoteReference w:id="50"/>
      </w:r>
      <w:r w:rsidR="00A74189" w:rsidRPr="002121A4">
        <w:t xml:space="preserve"> The terms and conditions of such notes can provide for an option to modify </w:t>
      </w:r>
      <w:r w:rsidR="000A4CE4" w:rsidRPr="002121A4">
        <w:t xml:space="preserve">any of </w:t>
      </w:r>
      <w:r w:rsidR="00A74189" w:rsidRPr="002121A4">
        <w:t>the terms and conditions by majority resolution.</w:t>
      </w:r>
      <w:r w:rsidR="00A74189" w:rsidRPr="002121A4">
        <w:rPr>
          <w:rStyle w:val="Funotenzeichen"/>
        </w:rPr>
        <w:footnoteReference w:id="51"/>
      </w:r>
      <w:r w:rsidR="003244AA" w:rsidRPr="002121A4">
        <w:t xml:space="preserve"> </w:t>
      </w:r>
      <w:r w:rsidR="000A4CE4" w:rsidRPr="002121A4">
        <w:t>Where the resolution aims at a modification of the terms and conditions</w:t>
      </w:r>
      <w:r w:rsidR="00BF6797" w:rsidRPr="002121A4">
        <w:t xml:space="preserve"> that is </w:t>
      </w:r>
      <w:r w:rsidR="00BF6797" w:rsidRPr="002121A4">
        <w:rPr>
          <w:i/>
        </w:rPr>
        <w:t>material</w:t>
      </w:r>
      <w:r w:rsidR="000A4CE4" w:rsidRPr="002121A4">
        <w:t>, it has to be passed by a majority of 75% of the votes.</w:t>
      </w:r>
      <w:r w:rsidR="000A4CE4" w:rsidRPr="002121A4">
        <w:rPr>
          <w:rStyle w:val="Funotenzeichen"/>
        </w:rPr>
        <w:footnoteReference w:id="52"/>
      </w:r>
      <w:r w:rsidR="000A4CE4" w:rsidRPr="002121A4">
        <w:t xml:space="preserve"> </w:t>
      </w:r>
      <w:r w:rsidR="003244AA" w:rsidRPr="002121A4">
        <w:t>A majority resolution will be binding on all noteholders, including those who did not agree to the resolution.</w:t>
      </w:r>
      <w:r w:rsidR="003244AA" w:rsidRPr="002121A4">
        <w:rPr>
          <w:rStyle w:val="Funotenzeichen"/>
        </w:rPr>
        <w:footnoteReference w:id="53"/>
      </w:r>
      <w:bookmarkEnd w:id="55"/>
      <w:r w:rsidR="000A4CE4" w:rsidRPr="002121A4">
        <w:t xml:space="preserve"> </w:t>
      </w:r>
    </w:p>
    <w:p w14:paraId="766C3ED6" w14:textId="7E91EA94" w:rsidR="005A2142" w:rsidRPr="002121A4" w:rsidRDefault="005A2142" w:rsidP="00AB42AA">
      <w:pPr>
        <w:pStyle w:val="Case"/>
        <w:numPr>
          <w:ilvl w:val="0"/>
          <w:numId w:val="14"/>
        </w:numPr>
        <w:ind w:left="567" w:firstLine="0"/>
      </w:pPr>
      <w:bookmarkStart w:id="56" w:name="_Ref163122304"/>
      <w:r w:rsidRPr="002121A4">
        <w:t xml:space="preserve">Issuer I issued </w:t>
      </w:r>
      <w:r w:rsidR="0095426C" w:rsidRPr="002121A4">
        <w:t>“</w:t>
      </w:r>
      <w:r w:rsidRPr="002121A4">
        <w:t>registered notes</w:t>
      </w:r>
      <w:r w:rsidR="0095426C" w:rsidRPr="002121A4">
        <w:t>”</w:t>
      </w:r>
      <w:r w:rsidRPr="002121A4">
        <w:t xml:space="preserve"> without certification through physical notes</w:t>
      </w:r>
      <w:r w:rsidR="0095426C" w:rsidRPr="002121A4">
        <w:t xml:space="preserve"> and without registration under </w:t>
      </w:r>
      <w:proofErr w:type="spellStart"/>
      <w:r w:rsidR="0095426C" w:rsidRPr="002121A4">
        <w:t>eWpG</w:t>
      </w:r>
      <w:proofErr w:type="spellEnd"/>
      <w:r w:rsidRPr="002121A4">
        <w:t xml:space="preserve">. The terms and conditions allow noteholders to modify all terms and conditions of the notes through a resolution by majority. A </w:t>
      </w:r>
      <w:r w:rsidRPr="002121A4">
        <w:rPr>
          <w:szCs w:val="23"/>
        </w:rPr>
        <w:t>noteholder</w:t>
      </w:r>
      <w:r w:rsidRPr="002121A4">
        <w:t xml:space="preserve"> meeting passes a resolution granting I the right to convert the notes into equity instead of redemption at par. Noteholder N wants to claim payment. (BGH, 16 January 2020 – IX ZR 351/18, NJW 2020, 986 – </w:t>
      </w:r>
      <w:r w:rsidRPr="002121A4">
        <w:rPr>
          <w:i/>
        </w:rPr>
        <w:t xml:space="preserve">Deutsche </w:t>
      </w:r>
      <w:proofErr w:type="spellStart"/>
      <w:r w:rsidRPr="002121A4">
        <w:rPr>
          <w:i/>
        </w:rPr>
        <w:t>Oel</w:t>
      </w:r>
      <w:proofErr w:type="spellEnd"/>
      <w:r w:rsidRPr="002121A4">
        <w:rPr>
          <w:i/>
        </w:rPr>
        <w:t xml:space="preserve"> &amp; Gas</w:t>
      </w:r>
      <w:r w:rsidR="00B009A0">
        <w:t>; BGH, 18 January 2024 – III ZR 245/22, NZG 2024, 349</w:t>
      </w:r>
      <w:r w:rsidR="0070500F">
        <w:t xml:space="preserve"> – </w:t>
      </w:r>
      <w:r w:rsidR="0070500F" w:rsidRPr="0070500F">
        <w:rPr>
          <w:i/>
        </w:rPr>
        <w:t xml:space="preserve">US </w:t>
      </w:r>
      <w:proofErr w:type="spellStart"/>
      <w:r w:rsidR="0070500F" w:rsidRPr="0070500F">
        <w:rPr>
          <w:i/>
        </w:rPr>
        <w:t>Öl</w:t>
      </w:r>
      <w:proofErr w:type="spellEnd"/>
      <w:r w:rsidR="0070500F" w:rsidRPr="0070500F">
        <w:rPr>
          <w:i/>
        </w:rPr>
        <w:t xml:space="preserve"> &amp; Gas</w:t>
      </w:r>
      <w:r w:rsidRPr="002121A4">
        <w:t>)</w:t>
      </w:r>
      <w:bookmarkEnd w:id="56"/>
    </w:p>
    <w:p w14:paraId="00C3E671" w14:textId="34783E1A" w:rsidR="005A2142" w:rsidRPr="002121A4" w:rsidRDefault="005A2142" w:rsidP="005A2142">
      <w:pPr>
        <w:pStyle w:val="Case"/>
      </w:pPr>
      <w:r w:rsidRPr="002121A4">
        <w:rPr>
          <w:b/>
        </w:rPr>
        <w:t>Notes.</w:t>
      </w:r>
      <w:r w:rsidR="00042CA1" w:rsidRPr="002121A4">
        <w:rPr>
          <w:b/>
        </w:rPr>
        <w:t xml:space="preserve"> </w:t>
      </w:r>
      <w:r w:rsidR="00B5302F" w:rsidRPr="002121A4">
        <w:rPr>
          <w:b/>
        </w:rPr>
        <w:br/>
      </w:r>
      <w:r w:rsidR="00B5302F" w:rsidRPr="002121A4">
        <w:rPr>
          <w:b/>
        </w:rPr>
        <w:br/>
      </w:r>
      <w:r w:rsidR="00B5302F" w:rsidRPr="002121A4">
        <w:rPr>
          <w:b/>
        </w:rPr>
        <w:br/>
      </w:r>
      <w:r w:rsidR="00B5302F" w:rsidRPr="002121A4">
        <w:rPr>
          <w:b/>
        </w:rPr>
        <w:br/>
      </w:r>
      <w:r w:rsidR="00B5302F" w:rsidRPr="002121A4">
        <w:rPr>
          <w:b/>
        </w:rPr>
        <w:lastRenderedPageBreak/>
        <w:br/>
      </w:r>
    </w:p>
    <w:p w14:paraId="3420C9F8" w14:textId="102F65AC" w:rsidR="007C0FD8" w:rsidRPr="002121A4" w:rsidRDefault="0009453A" w:rsidP="007C0FD8">
      <w:pPr>
        <w:pStyle w:val="Standardwithparanumbering"/>
      </w:pPr>
      <w:r w:rsidRPr="002121A4">
        <w:t xml:space="preserve">Reflecting the general requirement of equal treatment under § 4 </w:t>
      </w:r>
      <w:proofErr w:type="spellStart"/>
      <w:r w:rsidRPr="002121A4">
        <w:t>SchVG</w:t>
      </w:r>
      <w:proofErr w:type="spellEnd"/>
      <w:r w:rsidRPr="002121A4">
        <w:t>, any resolution that does not provide for equal conditions for all creditors is invalid.</w:t>
      </w:r>
      <w:r w:rsidRPr="002121A4">
        <w:rPr>
          <w:rStyle w:val="Funotenzeichen"/>
        </w:rPr>
        <w:footnoteReference w:id="54"/>
      </w:r>
      <w:r w:rsidRPr="002121A4">
        <w:t xml:space="preserve"> </w:t>
      </w:r>
      <w:r w:rsidR="00286480" w:rsidRPr="002121A4">
        <w:t xml:space="preserve">Details of the process for passing resolutions are contained in §§ 6–22 </w:t>
      </w:r>
      <w:proofErr w:type="spellStart"/>
      <w:r w:rsidR="00286480" w:rsidRPr="002121A4">
        <w:t>SchVG</w:t>
      </w:r>
      <w:proofErr w:type="spellEnd"/>
      <w:r w:rsidR="00D948E1" w:rsidRPr="002121A4">
        <w:t xml:space="preserve"> which follow, by and large, the rules for arranging and conducting shareholder meetings</w:t>
      </w:r>
      <w:r w:rsidR="00DD3608" w:rsidRPr="002121A4">
        <w:t xml:space="preserve"> under German stock company law</w:t>
      </w:r>
      <w:r w:rsidR="00286480" w:rsidRPr="002121A4">
        <w:t>.</w:t>
      </w:r>
    </w:p>
    <w:p w14:paraId="7C435183" w14:textId="1564E19F" w:rsidR="00A51A95" w:rsidRPr="002121A4" w:rsidRDefault="00A51A95" w:rsidP="00AB42AA">
      <w:pPr>
        <w:pStyle w:val="Case"/>
        <w:numPr>
          <w:ilvl w:val="0"/>
          <w:numId w:val="14"/>
        </w:numPr>
        <w:ind w:left="567" w:firstLine="0"/>
        <w:rPr>
          <w:szCs w:val="23"/>
        </w:rPr>
      </w:pPr>
      <w:bookmarkStart w:id="57" w:name="_Ref132305726"/>
      <w:r w:rsidRPr="002121A4">
        <w:rPr>
          <w:szCs w:val="23"/>
        </w:rPr>
        <w:t xml:space="preserve">Issuer I issued notes due in 2011, granting investors the option to convert their notes into equity during the two months preceding the </w:t>
      </w:r>
      <w:r w:rsidR="00E96BB4" w:rsidRPr="002121A4">
        <w:rPr>
          <w:szCs w:val="23"/>
        </w:rPr>
        <w:t>redemption</w:t>
      </w:r>
      <w:r w:rsidRPr="002121A4">
        <w:rPr>
          <w:szCs w:val="23"/>
        </w:rPr>
        <w:t xml:space="preserve"> date in 2011. In 2011, a noteholder meeting passes the following resolution: “(</w:t>
      </w:r>
      <w:proofErr w:type="spellStart"/>
      <w:r w:rsidRPr="002121A4">
        <w:rPr>
          <w:szCs w:val="23"/>
        </w:rPr>
        <w:t>i</w:t>
      </w:r>
      <w:proofErr w:type="spellEnd"/>
      <w:r w:rsidRPr="002121A4">
        <w:rPr>
          <w:szCs w:val="23"/>
        </w:rPr>
        <w:t>) The maturity and redemption date is moved to 31 August 2015, and the conversion option is extended until that date. (ii) Noteholders who voted in favour of this resolution are entitled to claim redemption prior to 31 August 2015 if they waive their conversion right.” Noteholder N voted against the resolution. Can he claim redemption of the notes at par in 2011? (BGH, 1 July 2014 – II ZR 381/13, BGHZ 202, 7 = NZG 2014, 1102)</w:t>
      </w:r>
      <w:bookmarkEnd w:id="57"/>
      <w:r w:rsidRPr="002121A4">
        <w:rPr>
          <w:szCs w:val="23"/>
        </w:rPr>
        <w:t xml:space="preserve"> </w:t>
      </w:r>
    </w:p>
    <w:p w14:paraId="008641EA" w14:textId="4233BA53" w:rsidR="004641DA" w:rsidRDefault="00374E00" w:rsidP="00374E00">
      <w:pPr>
        <w:pStyle w:val="Case"/>
      </w:pPr>
      <w:r w:rsidRPr="002121A4">
        <w:rPr>
          <w:b/>
        </w:rPr>
        <w:t>Notes.</w:t>
      </w:r>
      <w:r w:rsidR="00EE41AF" w:rsidRPr="002121A4">
        <w:rPr>
          <w:b/>
        </w:rPr>
        <w:t xml:space="preserve"> </w:t>
      </w:r>
      <w:r w:rsidR="00B5302F" w:rsidRPr="002121A4">
        <w:rPr>
          <w:b/>
        </w:rPr>
        <w:br/>
      </w:r>
      <w:r w:rsidR="00B5302F" w:rsidRPr="002121A4">
        <w:rPr>
          <w:b/>
        </w:rPr>
        <w:br/>
      </w:r>
      <w:r w:rsidR="00B5302F" w:rsidRPr="002121A4">
        <w:rPr>
          <w:b/>
        </w:rPr>
        <w:br/>
      </w:r>
      <w:r w:rsidR="00B5302F" w:rsidRPr="002121A4">
        <w:rPr>
          <w:b/>
        </w:rPr>
        <w:br/>
      </w:r>
      <w:r w:rsidR="00B5302F" w:rsidRPr="002121A4">
        <w:rPr>
          <w:b/>
        </w:rPr>
        <w:br/>
      </w:r>
    </w:p>
    <w:p w14:paraId="2B8B829D" w14:textId="77777777" w:rsidR="0079499C" w:rsidRPr="002121A4" w:rsidRDefault="0079499C" w:rsidP="0079499C">
      <w:pPr>
        <w:pStyle w:val="berschrift3"/>
        <w:rPr>
          <w:lang w:val="en-GB"/>
        </w:rPr>
      </w:pPr>
      <w:r w:rsidRPr="002121A4">
        <w:rPr>
          <w:lang w:val="en-GB"/>
        </w:rPr>
        <w:t>Investment funds</w:t>
      </w:r>
    </w:p>
    <w:p w14:paraId="221E896B" w14:textId="77777777" w:rsidR="0079499C" w:rsidRPr="002121A4" w:rsidRDefault="0079499C" w:rsidP="0079499C">
      <w:pPr>
        <w:pStyle w:val="Standardwithparanumbering"/>
      </w:pPr>
      <w:r w:rsidRPr="002121A4">
        <w:t xml:space="preserve">Investment funds are vehicles that pool funds originating from a number of investors which are then invested collectively for the account of the fund investors under a common investment policy. The fund investors receive “fund units” in return for their cash contribution, and the fund management (“asset manager”) will in turn invest the cash received on behalf of the fund – for example, in shares and/or bonds. The value of the fund units, and pay-outs to the holders of the fund units, will reflect the performance of the investments of the fund. </w:t>
      </w:r>
    </w:p>
    <w:p w14:paraId="03C4619C" w14:textId="0BEC2802" w:rsidR="0079499C" w:rsidRPr="002121A4" w:rsidRDefault="0079499C" w:rsidP="003C2C9A">
      <w:pPr>
        <w:pStyle w:val="Standardwithparanumbering"/>
      </w:pPr>
      <w:r w:rsidRPr="002121A4">
        <w:t xml:space="preserve">A specific type of investment fund is a “UCITS” fund (UCITS stands for “undertaking for the collective investment in transferable securities”). UCITS funds pool investments in “transferable securities” within the meaning of article 4(1)(44) MiFID II. The units of a UCITS fund qualify in turn as financial instruments within the meaning of article 4(1)(15) MiFID II. Also see section </w:t>
      </w:r>
      <w:r w:rsidRPr="002121A4">
        <w:fldChar w:fldCharType="begin"/>
      </w:r>
      <w:r w:rsidRPr="002121A4">
        <w:instrText xml:space="preserve"> REF _Ref163129940 \r \h </w:instrText>
      </w:r>
      <w:r w:rsidRPr="002121A4">
        <w:fldChar w:fldCharType="separate"/>
      </w:r>
      <w:r w:rsidR="00D56145">
        <w:t>2.2.4</w:t>
      </w:r>
      <w:r w:rsidRPr="002121A4">
        <w:fldChar w:fldCharType="end"/>
      </w:r>
      <w:r w:rsidRPr="002121A4">
        <w:t>, p. </w:t>
      </w:r>
      <w:r w:rsidRPr="002121A4">
        <w:fldChar w:fldCharType="begin"/>
      </w:r>
      <w:r w:rsidRPr="002121A4">
        <w:instrText xml:space="preserve"> PAGEREF _Ref163129942 \h </w:instrText>
      </w:r>
      <w:r w:rsidRPr="002121A4">
        <w:fldChar w:fldCharType="separate"/>
      </w:r>
      <w:r w:rsidR="00D56145">
        <w:rPr>
          <w:noProof/>
        </w:rPr>
        <w:t>28</w:t>
      </w:r>
      <w:r w:rsidRPr="002121A4">
        <w:fldChar w:fldCharType="end"/>
      </w:r>
      <w:r w:rsidRPr="002121A4">
        <w:t xml:space="preserve"> below.</w:t>
      </w:r>
    </w:p>
    <w:p w14:paraId="6FFDB0FA" w14:textId="614285F6" w:rsidR="008E724E" w:rsidRPr="002121A4" w:rsidRDefault="008E724E" w:rsidP="008E724E">
      <w:pPr>
        <w:pStyle w:val="berschrift3"/>
        <w:rPr>
          <w:lang w:val="en-GB"/>
        </w:rPr>
      </w:pPr>
      <w:r w:rsidRPr="002121A4">
        <w:rPr>
          <w:lang w:val="en-GB"/>
        </w:rPr>
        <w:t>Derivatives</w:t>
      </w:r>
    </w:p>
    <w:p w14:paraId="726F931B" w14:textId="2453BFD5" w:rsidR="004641DA" w:rsidRPr="002121A4" w:rsidRDefault="00153E82" w:rsidP="00B218FC">
      <w:pPr>
        <w:pStyle w:val="Standardwithparanumbering"/>
        <w:keepNext/>
      </w:pPr>
      <w:r w:rsidRPr="002121A4">
        <w:t xml:space="preserve">Derivatives are arrangements that provide for performance at fixed terms at a future date (as opposed to spot transactions performed immediately). </w:t>
      </w:r>
      <w:r w:rsidR="003F1C47" w:rsidRPr="002121A4">
        <w:t>Examples include:</w:t>
      </w:r>
    </w:p>
    <w:p w14:paraId="34A9396B" w14:textId="0BED263D" w:rsidR="003F1C47" w:rsidRPr="00197714" w:rsidRDefault="008E724E" w:rsidP="00AB42AA">
      <w:pPr>
        <w:pStyle w:val="Listenabsatz"/>
        <w:numPr>
          <w:ilvl w:val="0"/>
          <w:numId w:val="11"/>
        </w:numPr>
        <w:rPr>
          <w:lang w:val="en-US"/>
        </w:rPr>
      </w:pPr>
      <w:r w:rsidRPr="00197714">
        <w:rPr>
          <w:lang w:val="en-US"/>
        </w:rPr>
        <w:t>f</w:t>
      </w:r>
      <w:r w:rsidR="003F1C47" w:rsidRPr="00197714">
        <w:rPr>
          <w:lang w:val="en-US"/>
        </w:rPr>
        <w:t>utures</w:t>
      </w:r>
      <w:r w:rsidRPr="00197714">
        <w:rPr>
          <w:lang w:val="en-US"/>
        </w:rPr>
        <w:t xml:space="preserve"> and forwards</w:t>
      </w:r>
      <w:r w:rsidR="003F1C47" w:rsidRPr="00197714">
        <w:rPr>
          <w:lang w:val="en-US"/>
        </w:rPr>
        <w:t xml:space="preserve">, i.e. an irrevocable sale of a security </w:t>
      </w:r>
      <w:r w:rsidR="00D5665F" w:rsidRPr="00197714">
        <w:rPr>
          <w:lang w:val="en-US"/>
        </w:rPr>
        <w:t xml:space="preserve">(a share or a bond) </w:t>
      </w:r>
      <w:r w:rsidR="003F1C47" w:rsidRPr="00197714">
        <w:rPr>
          <w:lang w:val="en-US"/>
        </w:rPr>
        <w:t xml:space="preserve">at a determined price </w:t>
      </w:r>
      <w:r w:rsidR="00947336" w:rsidRPr="00197714">
        <w:rPr>
          <w:lang w:val="en-US"/>
        </w:rPr>
        <w:t>to be settled at a specific date in the future.</w:t>
      </w:r>
    </w:p>
    <w:p w14:paraId="48DD7BC6" w14:textId="2987E752" w:rsidR="00947336" w:rsidRPr="00197714" w:rsidRDefault="00342BE6" w:rsidP="00AB42AA">
      <w:pPr>
        <w:pStyle w:val="Listenabsatz"/>
        <w:numPr>
          <w:ilvl w:val="0"/>
          <w:numId w:val="11"/>
        </w:numPr>
        <w:rPr>
          <w:lang w:val="en-US"/>
        </w:rPr>
      </w:pPr>
      <w:r w:rsidRPr="00197714">
        <w:rPr>
          <w:lang w:val="en-US"/>
        </w:rPr>
        <w:t>options, i.e.</w:t>
      </w:r>
      <w:r w:rsidR="00D96B1B" w:rsidRPr="00197714">
        <w:rPr>
          <w:lang w:val="en-US"/>
        </w:rPr>
        <w:t>,</w:t>
      </w:r>
      <w:r w:rsidRPr="00197714">
        <w:rPr>
          <w:lang w:val="en-US"/>
        </w:rPr>
        <w:t xml:space="preserve"> a unilateral right to purchase or sell the underlying security (typically, a share) at a specific price at a certain point of time or during a certain period</w:t>
      </w:r>
      <w:r w:rsidR="00AA12AC" w:rsidRPr="00197714">
        <w:rPr>
          <w:lang w:val="en-US"/>
        </w:rPr>
        <w:t>, and</w:t>
      </w:r>
    </w:p>
    <w:p w14:paraId="2CD9BE77" w14:textId="5DC208DB" w:rsidR="00964E73" w:rsidRPr="002121A4" w:rsidRDefault="00255326" w:rsidP="00AB42AA">
      <w:pPr>
        <w:pStyle w:val="Listenabsatz"/>
        <w:numPr>
          <w:ilvl w:val="0"/>
          <w:numId w:val="11"/>
        </w:numPr>
      </w:pPr>
      <w:proofErr w:type="spellStart"/>
      <w:r w:rsidRPr="002121A4">
        <w:t>swaps</w:t>
      </w:r>
      <w:proofErr w:type="spellEnd"/>
      <w:r w:rsidRPr="002121A4">
        <w:t>.</w:t>
      </w:r>
    </w:p>
    <w:p w14:paraId="77DAB21D" w14:textId="38237ECB" w:rsidR="00AB783E" w:rsidRPr="00044BD7" w:rsidRDefault="00AB783E" w:rsidP="00A71267">
      <w:pPr>
        <w:rPr>
          <w:lang w:val="en-US"/>
        </w:rPr>
      </w:pPr>
      <w:r w:rsidRPr="00044BD7">
        <w:rPr>
          <w:lang w:val="en-US"/>
        </w:rPr>
        <w:lastRenderedPageBreak/>
        <w:t>Derivatives are referred to as “physically settled” where there is effective a delivery of the underlying security, and as “cash-settled”, where the transaction is settled by cash payment</w:t>
      </w:r>
      <w:r w:rsidR="00941560" w:rsidRPr="00044BD7">
        <w:rPr>
          <w:lang w:val="en-US"/>
        </w:rPr>
        <w:t>.</w:t>
      </w:r>
    </w:p>
    <w:p w14:paraId="60F397C5" w14:textId="2414CB66" w:rsidR="00964E73" w:rsidRPr="002121A4" w:rsidRDefault="00D96B1B" w:rsidP="00C6630F">
      <w:pPr>
        <w:pStyle w:val="Standardwithparanumbering"/>
      </w:pPr>
      <w:bookmarkStart w:id="58" w:name="_Ref194577788"/>
      <w:r w:rsidRPr="002121A4">
        <w:t xml:space="preserve">Like securities, derivatives can be </w:t>
      </w:r>
      <w:r w:rsidR="00072EE1" w:rsidRPr="002121A4">
        <w:t>traded</w:t>
      </w:r>
      <w:r w:rsidRPr="002121A4">
        <w:t xml:space="preserve"> </w:t>
      </w:r>
      <w:r w:rsidR="00072EE1" w:rsidRPr="002121A4">
        <w:t xml:space="preserve">on </w:t>
      </w:r>
      <w:r w:rsidRPr="002121A4">
        <w:t>a regulated market (</w:t>
      </w:r>
      <w:r w:rsidR="00B84C73" w:rsidRPr="002121A4">
        <w:t xml:space="preserve">a “futures market” </w:t>
      </w:r>
      <w:r w:rsidRPr="002121A4">
        <w:t>such as Eurex in Germany) or off-market, i.e.</w:t>
      </w:r>
      <w:r w:rsidR="00721B18">
        <w:t>,</w:t>
      </w:r>
      <w:r w:rsidRPr="002121A4">
        <w:t xml:space="preserve"> “OTC”. Trading on a regulated market depends on admission of the relevant instrument</w:t>
      </w:r>
      <w:r w:rsidRPr="002121A4">
        <w:rPr>
          <w:rStyle w:val="Funotenzeichen"/>
        </w:rPr>
        <w:footnoteReference w:id="55"/>
      </w:r>
      <w:r w:rsidRPr="002121A4">
        <w:t xml:space="preserve"> which follows the rules of the relevant exchange</w:t>
      </w:r>
      <w:r w:rsidR="00C6630F" w:rsidRPr="002121A4">
        <w:t xml:space="preserve"> (such as the </w:t>
      </w:r>
      <w:r w:rsidR="00C6630F" w:rsidRPr="00D01694">
        <w:rPr>
          <w:i/>
        </w:rPr>
        <w:t xml:space="preserve">Eurex </w:t>
      </w:r>
      <w:proofErr w:type="spellStart"/>
      <w:r w:rsidR="00C6630F" w:rsidRPr="00D01694">
        <w:rPr>
          <w:i/>
        </w:rPr>
        <w:t>Börsenordnung</w:t>
      </w:r>
      <w:proofErr w:type="spellEnd"/>
      <w:r w:rsidR="00C6630F" w:rsidRPr="002121A4">
        <w:t xml:space="preserve">). </w:t>
      </w:r>
      <w:r w:rsidR="00964E73" w:rsidRPr="002121A4">
        <w:t>OTC derivatives</w:t>
      </w:r>
      <w:r w:rsidR="0015271E" w:rsidRPr="002121A4">
        <w:t xml:space="preserve"> are routinely contracted under </w:t>
      </w:r>
      <w:r w:rsidR="00964E73" w:rsidRPr="002121A4">
        <w:t>“master agreements”. Master agreements of particular importance are the “ISDA Master Agreement”, which is provided by the International Securities and Derivatives Association, and the “</w:t>
      </w:r>
      <w:r w:rsidR="00964E73" w:rsidRPr="007E1210">
        <w:rPr>
          <w:i/>
        </w:rPr>
        <w:t xml:space="preserve">Deutscher </w:t>
      </w:r>
      <w:proofErr w:type="spellStart"/>
      <w:r w:rsidR="00964E73" w:rsidRPr="007E1210">
        <w:rPr>
          <w:i/>
        </w:rPr>
        <w:t>Rahmenvertrag</w:t>
      </w:r>
      <w:proofErr w:type="spellEnd"/>
      <w:r w:rsidR="00964E73" w:rsidRPr="002121A4">
        <w:t>”.</w:t>
      </w:r>
      <w:r w:rsidR="00B0131A" w:rsidRPr="002121A4">
        <w:t xml:space="preserve"> The specific risks associated with derivative contracts are regulated at EU level through the European Market Infrastructure Regulation (EMIR).</w:t>
      </w:r>
      <w:bookmarkEnd w:id="58"/>
    </w:p>
    <w:p w14:paraId="41AF754E" w14:textId="1EA753CF" w:rsidR="00C6630F" w:rsidRPr="002121A4" w:rsidRDefault="00B20352" w:rsidP="00C6630F">
      <w:pPr>
        <w:pStyle w:val="Standardwithparanumbering"/>
      </w:pPr>
      <w:r w:rsidRPr="002121A4">
        <w:t xml:space="preserve">There is some overlap between the concept of “derivatives” and “transferable securities”: </w:t>
      </w:r>
      <w:r w:rsidR="00C6630F" w:rsidRPr="002121A4">
        <w:t>In</w:t>
      </w:r>
      <w:r w:rsidRPr="002121A4">
        <w:t xml:space="preserve"> fact, </w:t>
      </w:r>
      <w:r w:rsidR="00C6630F" w:rsidRPr="002121A4">
        <w:t>some derivatives</w:t>
      </w:r>
      <w:r w:rsidRPr="002121A4">
        <w:t xml:space="preserve"> can be </w:t>
      </w:r>
      <w:r w:rsidR="00D86B1A" w:rsidRPr="002121A4">
        <w:t>arrange</w:t>
      </w:r>
      <w:r w:rsidRPr="002121A4">
        <w:t>d</w:t>
      </w:r>
      <w:r w:rsidR="00D86B1A" w:rsidRPr="002121A4">
        <w:t xml:space="preserve"> in such a way that they qualify </w:t>
      </w:r>
      <w:r w:rsidR="00C6630F" w:rsidRPr="002121A4">
        <w:t xml:space="preserve">as </w:t>
      </w:r>
      <w:r w:rsidR="00D86B1A" w:rsidRPr="002121A4">
        <w:t>“</w:t>
      </w:r>
      <w:r w:rsidR="00C6630F" w:rsidRPr="002121A4">
        <w:t>securities</w:t>
      </w:r>
      <w:r w:rsidR="00D86B1A" w:rsidRPr="002121A4">
        <w:t>”</w:t>
      </w:r>
      <w:r w:rsidR="00C6630F" w:rsidRPr="002121A4">
        <w:t xml:space="preserve"> within the meaning of article 4(1)(44) MiFID II</w:t>
      </w:r>
      <w:r w:rsidR="005D2B46">
        <w:t>, e.g., where</w:t>
      </w:r>
      <w:r w:rsidR="00C6630F" w:rsidRPr="002121A4">
        <w:t xml:space="preserve"> </w:t>
      </w:r>
      <w:r w:rsidR="000C3DA8" w:rsidRPr="002121A4">
        <w:t xml:space="preserve">these </w:t>
      </w:r>
      <w:r w:rsidR="00B56DC3" w:rsidRPr="002121A4">
        <w:t xml:space="preserve">derivatives </w:t>
      </w:r>
      <w:r w:rsidR="00C6630F" w:rsidRPr="002121A4">
        <w:t xml:space="preserve">take the form of a bond. </w:t>
      </w:r>
      <w:r w:rsidR="005A7B72" w:rsidRPr="002121A4">
        <w:t xml:space="preserve">Where </w:t>
      </w:r>
      <w:r w:rsidR="00C6630F" w:rsidRPr="002121A4">
        <w:t xml:space="preserve">derivatives </w:t>
      </w:r>
      <w:r w:rsidR="005A7B72" w:rsidRPr="002121A4">
        <w:t xml:space="preserve">qualify as securities, they </w:t>
      </w:r>
      <w:r w:rsidR="00C6630F" w:rsidRPr="002121A4">
        <w:t xml:space="preserve">are subject to the same rules as other transferable securities (e.g., as regards prospectus requirements </w:t>
      </w:r>
      <w:r w:rsidR="008F63EC" w:rsidRPr="002121A4">
        <w:t xml:space="preserve">and </w:t>
      </w:r>
      <w:r w:rsidR="00C6630F" w:rsidRPr="002121A4">
        <w:t>admission to trading).</w:t>
      </w:r>
    </w:p>
    <w:p w14:paraId="6F103BD7" w14:textId="0C78CBA0" w:rsidR="00E51CCF" w:rsidRPr="002121A4" w:rsidRDefault="00A91879" w:rsidP="00EF3983">
      <w:pPr>
        <w:pStyle w:val="berschrift2"/>
        <w:rPr>
          <w:lang w:val="en-GB"/>
        </w:rPr>
      </w:pPr>
      <w:bookmarkStart w:id="59" w:name="_Toc194577767"/>
      <w:r w:rsidRPr="002121A4">
        <w:rPr>
          <w:lang w:val="en-GB"/>
        </w:rPr>
        <w:t xml:space="preserve">Capital Market </w:t>
      </w:r>
      <w:r w:rsidR="00420CC3" w:rsidRPr="002121A4">
        <w:rPr>
          <w:lang w:val="en-GB"/>
        </w:rPr>
        <w:t>Participants</w:t>
      </w:r>
      <w:bookmarkEnd w:id="59"/>
    </w:p>
    <w:p w14:paraId="5CD49FA0" w14:textId="7650F1CC" w:rsidR="00E51CCF" w:rsidRPr="002121A4" w:rsidRDefault="002B798F" w:rsidP="00EF3983">
      <w:pPr>
        <w:pStyle w:val="berschrift3"/>
        <w:rPr>
          <w:lang w:val="en-GB"/>
        </w:rPr>
      </w:pPr>
      <w:r w:rsidRPr="002121A4">
        <w:rPr>
          <w:lang w:val="en-GB"/>
        </w:rPr>
        <w:t>Overview</w:t>
      </w:r>
    </w:p>
    <w:p w14:paraId="2F1CC2F4" w14:textId="3C5FBCB2" w:rsidR="00EF7A35" w:rsidRPr="002121A4" w:rsidRDefault="002441B4" w:rsidP="00A24973">
      <w:pPr>
        <w:pStyle w:val="Standardwithparanumbering"/>
      </w:pPr>
      <w:r w:rsidRPr="002121A4">
        <w:t>This chapter gives an overview on capital market participants</w:t>
      </w:r>
      <w:r w:rsidR="00500E23" w:rsidRPr="002121A4">
        <w:t xml:space="preserve"> and how EU capital market law regulates their activities</w:t>
      </w:r>
      <w:r w:rsidRPr="002121A4">
        <w:t xml:space="preserve">. </w:t>
      </w:r>
      <w:r w:rsidR="00714B94" w:rsidRPr="002121A4">
        <w:t xml:space="preserve">Capital market participants are the </w:t>
      </w:r>
      <w:r w:rsidR="00A45287" w:rsidRPr="002121A4">
        <w:t>market players engaging</w:t>
      </w:r>
      <w:r w:rsidR="00714B94" w:rsidRPr="002121A4">
        <w:t xml:space="preserve"> in primary and secondary market transactions</w:t>
      </w:r>
      <w:r w:rsidR="00D2022C" w:rsidRPr="002121A4">
        <w:t>:</w:t>
      </w:r>
      <w:r w:rsidR="00714B94" w:rsidRPr="002121A4">
        <w:t xml:space="preserve"> Primary </w:t>
      </w:r>
      <w:r w:rsidR="00A62E8D">
        <w:t xml:space="preserve">market </w:t>
      </w:r>
      <w:r w:rsidR="00714B94" w:rsidRPr="002121A4">
        <w:t>transactions typically involve issuers of securities as sellers</w:t>
      </w:r>
      <w:r w:rsidR="007256C8" w:rsidRPr="002121A4">
        <w:t>,</w:t>
      </w:r>
      <w:r w:rsidR="00714B94" w:rsidRPr="002121A4">
        <w:t xml:space="preserve"> and investors as buyers of securities. </w:t>
      </w:r>
      <w:r w:rsidR="003844D8" w:rsidRPr="002121A4">
        <w:t>By contrast, secondary transactions are transactions among investors</w:t>
      </w:r>
      <w:r w:rsidR="00EF7A35" w:rsidRPr="002121A4">
        <w:t xml:space="preserve">, and </w:t>
      </w:r>
      <w:r w:rsidR="003844D8" w:rsidRPr="002121A4">
        <w:t xml:space="preserve">such transactions </w:t>
      </w:r>
      <w:r w:rsidR="00EF7A35" w:rsidRPr="002121A4">
        <w:t xml:space="preserve">typically </w:t>
      </w:r>
      <w:r w:rsidR="003844D8" w:rsidRPr="002121A4">
        <w:t xml:space="preserve">take place on MiFID II </w:t>
      </w:r>
      <w:r w:rsidR="008A49A2" w:rsidRPr="002121A4">
        <w:t xml:space="preserve">trading </w:t>
      </w:r>
      <w:r w:rsidR="003844D8" w:rsidRPr="002121A4">
        <w:t>venues (</w:t>
      </w:r>
      <w:r w:rsidR="00D94AFF" w:rsidRPr="002121A4">
        <w:t>see</w:t>
      </w:r>
      <w:r w:rsidR="003844D8" w:rsidRPr="002121A4">
        <w:t xml:space="preserve"> </w:t>
      </w:r>
      <w:r w:rsidR="007256C8" w:rsidRPr="002121A4">
        <w:t>section</w:t>
      </w:r>
      <w:r w:rsidR="002962ED" w:rsidRPr="002121A4">
        <w:t> </w:t>
      </w:r>
      <w:r w:rsidR="006A50C7" w:rsidRPr="002121A4">
        <w:fldChar w:fldCharType="begin"/>
      </w:r>
      <w:r w:rsidR="006A50C7" w:rsidRPr="002121A4">
        <w:instrText xml:space="preserve"> REF _Ref125366701 \r \h </w:instrText>
      </w:r>
      <w:r w:rsidR="006A50C7" w:rsidRPr="002121A4">
        <w:fldChar w:fldCharType="separate"/>
      </w:r>
      <w:r w:rsidR="00D56145">
        <w:t>1.2.2.1</w:t>
      </w:r>
      <w:r w:rsidR="006A50C7" w:rsidRPr="002121A4">
        <w:fldChar w:fldCharType="end"/>
      </w:r>
      <w:r w:rsidR="002962ED" w:rsidRPr="002121A4">
        <w:t xml:space="preserve"> </w:t>
      </w:r>
      <w:r w:rsidR="00D94AFF" w:rsidRPr="002121A4">
        <w:t>p. </w:t>
      </w:r>
      <w:r w:rsidR="00D94AFF" w:rsidRPr="002121A4">
        <w:fldChar w:fldCharType="begin"/>
      </w:r>
      <w:r w:rsidR="00D94AFF" w:rsidRPr="002121A4">
        <w:instrText xml:space="preserve"> PAGEREF _Ref130828535 \h </w:instrText>
      </w:r>
      <w:r w:rsidR="00D94AFF" w:rsidRPr="002121A4">
        <w:fldChar w:fldCharType="separate"/>
      </w:r>
      <w:r w:rsidR="00D56145">
        <w:rPr>
          <w:noProof/>
        </w:rPr>
        <w:t>6</w:t>
      </w:r>
      <w:r w:rsidR="00D94AFF" w:rsidRPr="002121A4">
        <w:fldChar w:fldCharType="end"/>
      </w:r>
      <w:r w:rsidR="00D94AFF" w:rsidRPr="002121A4">
        <w:t xml:space="preserve"> ff. </w:t>
      </w:r>
      <w:r w:rsidR="002962ED" w:rsidRPr="002121A4">
        <w:t>above</w:t>
      </w:r>
      <w:r w:rsidR="003844D8" w:rsidRPr="002121A4">
        <w:t>)</w:t>
      </w:r>
      <w:r w:rsidR="00EF7A35" w:rsidRPr="002121A4">
        <w:t xml:space="preserve">. Secondary market </w:t>
      </w:r>
      <w:r w:rsidR="00435FE7" w:rsidRPr="002121A4">
        <w:t>transactions can also occur outside such venues</w:t>
      </w:r>
      <w:r w:rsidR="00BF6CB3" w:rsidRPr="002121A4">
        <w:t xml:space="preserve">, </w:t>
      </w:r>
      <w:r w:rsidR="00435FE7" w:rsidRPr="002121A4">
        <w:t xml:space="preserve">e.g., </w:t>
      </w:r>
      <w:r w:rsidR="00336966" w:rsidRPr="002121A4">
        <w:t xml:space="preserve">through bilateral transactions traditionally referred to as </w:t>
      </w:r>
      <w:r w:rsidR="00435FE7" w:rsidRPr="002121A4">
        <w:t>“over the counter”</w:t>
      </w:r>
      <w:r w:rsidR="008A49A2" w:rsidRPr="002121A4">
        <w:t xml:space="preserve"> or “OTC”</w:t>
      </w:r>
      <w:r w:rsidR="003844D8" w:rsidRPr="002121A4">
        <w:t>.</w:t>
      </w:r>
    </w:p>
    <w:p w14:paraId="06DD172B" w14:textId="1652B8B2" w:rsidR="00E00E6B" w:rsidRPr="002121A4" w:rsidRDefault="00EF7A35" w:rsidP="00E00E6B">
      <w:pPr>
        <w:pStyle w:val="Standardwithparanumbering"/>
      </w:pPr>
      <w:r w:rsidRPr="002121A4">
        <w:t xml:space="preserve">In practice, both primary and secondary market transactions involve not only issuers and investors, but </w:t>
      </w:r>
      <w:r w:rsidR="00D2022C" w:rsidRPr="002121A4">
        <w:t>routinely</w:t>
      </w:r>
      <w:r w:rsidRPr="002121A4">
        <w:t xml:space="preserve"> </w:t>
      </w:r>
      <w:r w:rsidR="00D2022C" w:rsidRPr="002121A4">
        <w:t xml:space="preserve">rely </w:t>
      </w:r>
      <w:r w:rsidRPr="002121A4">
        <w:t xml:space="preserve">on </w:t>
      </w:r>
      <w:r w:rsidR="00421543" w:rsidRPr="002121A4">
        <w:t xml:space="preserve">various types of </w:t>
      </w:r>
      <w:r w:rsidRPr="002121A4">
        <w:t xml:space="preserve">financial </w:t>
      </w:r>
      <w:r w:rsidR="00C23023" w:rsidRPr="002121A4">
        <w:t>services</w:t>
      </w:r>
      <w:r w:rsidR="00421543" w:rsidRPr="002121A4">
        <w:t xml:space="preserve"> offered by </w:t>
      </w:r>
      <w:r w:rsidRPr="002121A4">
        <w:t xml:space="preserve">institutions that help matching supply of and demand for capital. </w:t>
      </w:r>
      <w:r w:rsidR="001359FA" w:rsidRPr="002121A4">
        <w:t>T</w:t>
      </w:r>
      <w:r w:rsidRPr="002121A4">
        <w:t>h</w:t>
      </w:r>
      <w:r w:rsidR="006D3801" w:rsidRPr="002121A4">
        <w:t>e</w:t>
      </w:r>
      <w:r w:rsidRPr="002121A4">
        <w:t xml:space="preserve"> category </w:t>
      </w:r>
      <w:r w:rsidR="006D3801" w:rsidRPr="002121A4">
        <w:t xml:space="preserve">of providers of financial services </w:t>
      </w:r>
      <w:r w:rsidR="00E7576D" w:rsidRPr="002121A4">
        <w:t>include</w:t>
      </w:r>
      <w:r w:rsidR="001359FA" w:rsidRPr="002121A4">
        <w:t>s</w:t>
      </w:r>
      <w:r w:rsidR="006D3801" w:rsidRPr="002121A4">
        <w:t>:</w:t>
      </w:r>
    </w:p>
    <w:p w14:paraId="0D0A53BD" w14:textId="1EB94D62" w:rsidR="00012CF0" w:rsidRPr="002121A4" w:rsidRDefault="00012CF0" w:rsidP="00AB42AA">
      <w:pPr>
        <w:pStyle w:val="Listenabsatz"/>
        <w:numPr>
          <w:ilvl w:val="0"/>
          <w:numId w:val="11"/>
        </w:numPr>
        <w:rPr>
          <w:lang w:val="en-GB"/>
        </w:rPr>
      </w:pPr>
      <w:r w:rsidRPr="002121A4">
        <w:rPr>
          <w:lang w:val="en-GB"/>
        </w:rPr>
        <w:t>Service providers operating under MiFID II, i.e.</w:t>
      </w:r>
    </w:p>
    <w:p w14:paraId="4E89360F" w14:textId="1B81EEA4" w:rsidR="00012CF0" w:rsidRPr="002121A4" w:rsidRDefault="00452494" w:rsidP="00AB42AA">
      <w:pPr>
        <w:pStyle w:val="Listenabsatz"/>
        <w:numPr>
          <w:ilvl w:val="1"/>
          <w:numId w:val="11"/>
        </w:numPr>
        <w:rPr>
          <w:lang w:val="en-GB"/>
        </w:rPr>
      </w:pPr>
      <w:r w:rsidRPr="00B2305B">
        <w:t>MiFID</w:t>
      </w:r>
      <w:r w:rsidRPr="002121A4">
        <w:rPr>
          <w:lang w:val="en-GB"/>
        </w:rPr>
        <w:t xml:space="preserve"> II </w:t>
      </w:r>
      <w:r w:rsidR="003844D8" w:rsidRPr="002121A4">
        <w:rPr>
          <w:lang w:val="en-GB"/>
        </w:rPr>
        <w:t>investment firms</w:t>
      </w:r>
      <w:r w:rsidR="00E7576D" w:rsidRPr="002121A4">
        <w:rPr>
          <w:lang w:val="en-GB"/>
        </w:rPr>
        <w:t>; and</w:t>
      </w:r>
    </w:p>
    <w:p w14:paraId="7B14311B" w14:textId="5A006DCB" w:rsidR="00E00E6B" w:rsidRPr="002121A4" w:rsidRDefault="00012CF0" w:rsidP="00AB42AA">
      <w:pPr>
        <w:pStyle w:val="Listenabsatz"/>
        <w:numPr>
          <w:ilvl w:val="1"/>
          <w:numId w:val="11"/>
        </w:numPr>
        <w:rPr>
          <w:lang w:val="en-GB"/>
        </w:rPr>
      </w:pPr>
      <w:r w:rsidRPr="00197714">
        <w:rPr>
          <w:lang w:val="en-US"/>
        </w:rPr>
        <w:t>operators</w:t>
      </w:r>
      <w:r w:rsidRPr="002121A4">
        <w:rPr>
          <w:lang w:val="en-GB"/>
        </w:rPr>
        <w:t xml:space="preserve"> of MiFID II regulated markets</w:t>
      </w:r>
      <w:r w:rsidR="00E00E6B" w:rsidRPr="002121A4">
        <w:rPr>
          <w:lang w:val="en-GB"/>
        </w:rPr>
        <w:t>;</w:t>
      </w:r>
    </w:p>
    <w:p w14:paraId="7E17DBB6" w14:textId="65EE413B" w:rsidR="009B0C79" w:rsidRPr="002121A4" w:rsidRDefault="00E00E6B" w:rsidP="00AB42AA">
      <w:pPr>
        <w:pStyle w:val="Listenabsatz"/>
        <w:numPr>
          <w:ilvl w:val="0"/>
          <w:numId w:val="11"/>
        </w:numPr>
        <w:rPr>
          <w:lang w:val="en-GB"/>
        </w:rPr>
      </w:pPr>
      <w:r w:rsidRPr="002121A4">
        <w:rPr>
          <w:lang w:val="en-GB"/>
        </w:rPr>
        <w:t xml:space="preserve">investment </w:t>
      </w:r>
      <w:r w:rsidRPr="00197714">
        <w:rPr>
          <w:lang w:val="en-US"/>
        </w:rPr>
        <w:t>funds</w:t>
      </w:r>
      <w:r w:rsidR="00D2022C" w:rsidRPr="002121A4">
        <w:rPr>
          <w:lang w:val="en-GB"/>
        </w:rPr>
        <w:t xml:space="preserve"> and </w:t>
      </w:r>
      <w:r w:rsidRPr="002121A4">
        <w:rPr>
          <w:lang w:val="en-GB"/>
        </w:rPr>
        <w:t xml:space="preserve">investment fund managers; </w:t>
      </w:r>
    </w:p>
    <w:p w14:paraId="34A11531" w14:textId="2B5DB1F3" w:rsidR="00E7576D" w:rsidRPr="002121A4" w:rsidRDefault="003844D8" w:rsidP="00AB42AA">
      <w:pPr>
        <w:pStyle w:val="Listenabsatz"/>
        <w:numPr>
          <w:ilvl w:val="0"/>
          <w:numId w:val="11"/>
        </w:numPr>
        <w:rPr>
          <w:lang w:val="en-GB"/>
        </w:rPr>
      </w:pPr>
      <w:r w:rsidRPr="002121A4">
        <w:rPr>
          <w:lang w:val="en-GB"/>
        </w:rPr>
        <w:t xml:space="preserve">credit rating </w:t>
      </w:r>
      <w:r w:rsidRPr="00B2305B">
        <w:t>agencies</w:t>
      </w:r>
      <w:r w:rsidR="00BF35A6" w:rsidRPr="002121A4">
        <w:rPr>
          <w:lang w:val="en-GB"/>
        </w:rPr>
        <w:t>;</w:t>
      </w:r>
    </w:p>
    <w:p w14:paraId="3313D19D" w14:textId="68298CE0" w:rsidR="00BF35A6" w:rsidRPr="002121A4" w:rsidRDefault="00BF35A6" w:rsidP="00AB42AA">
      <w:pPr>
        <w:pStyle w:val="Listenabsatz"/>
        <w:numPr>
          <w:ilvl w:val="0"/>
          <w:numId w:val="11"/>
        </w:numPr>
        <w:rPr>
          <w:lang w:val="en-GB"/>
        </w:rPr>
      </w:pPr>
      <w:r w:rsidRPr="002121A4">
        <w:rPr>
          <w:lang w:val="en-GB"/>
        </w:rPr>
        <w:t xml:space="preserve">central </w:t>
      </w:r>
      <w:r w:rsidRPr="00B2305B">
        <w:t>counterpar</w:t>
      </w:r>
      <w:r w:rsidR="00D2022C" w:rsidRPr="00B2305B">
        <w:t>ti</w:t>
      </w:r>
      <w:r w:rsidRPr="00B2305B">
        <w:t>es</w:t>
      </w:r>
      <w:r w:rsidRPr="002121A4">
        <w:rPr>
          <w:lang w:val="en-GB"/>
        </w:rPr>
        <w:t>;</w:t>
      </w:r>
    </w:p>
    <w:p w14:paraId="4F3409A1" w14:textId="5926C5FF" w:rsidR="00E7576D" w:rsidRPr="002121A4" w:rsidRDefault="00E7576D" w:rsidP="00AB42AA">
      <w:pPr>
        <w:pStyle w:val="Listenabsatz"/>
        <w:numPr>
          <w:ilvl w:val="0"/>
          <w:numId w:val="11"/>
        </w:numPr>
        <w:rPr>
          <w:lang w:val="en-GB"/>
        </w:rPr>
      </w:pPr>
      <w:r w:rsidRPr="002121A4">
        <w:rPr>
          <w:lang w:val="en-GB"/>
        </w:rPr>
        <w:t xml:space="preserve">central </w:t>
      </w:r>
      <w:r w:rsidRPr="00B2305B">
        <w:t>securities</w:t>
      </w:r>
      <w:r w:rsidRPr="002121A4">
        <w:rPr>
          <w:lang w:val="en-GB"/>
        </w:rPr>
        <w:t xml:space="preserve"> depositories</w:t>
      </w:r>
      <w:r w:rsidR="00BF35A6" w:rsidRPr="002121A4">
        <w:rPr>
          <w:lang w:val="en-GB"/>
        </w:rPr>
        <w:t>; and</w:t>
      </w:r>
    </w:p>
    <w:p w14:paraId="5948DEEE" w14:textId="6095DE9F" w:rsidR="00714B94" w:rsidRPr="002121A4" w:rsidRDefault="00E7576D" w:rsidP="00AB42AA">
      <w:pPr>
        <w:pStyle w:val="Listenabsatz"/>
        <w:numPr>
          <w:ilvl w:val="0"/>
          <w:numId w:val="11"/>
        </w:numPr>
        <w:rPr>
          <w:lang w:val="en-GB"/>
        </w:rPr>
      </w:pPr>
      <w:r w:rsidRPr="002121A4">
        <w:rPr>
          <w:lang w:val="en-GB"/>
        </w:rPr>
        <w:t xml:space="preserve">ESG rating </w:t>
      </w:r>
      <w:r w:rsidRPr="00B2305B">
        <w:t>agencies</w:t>
      </w:r>
      <w:r w:rsidR="003844D8" w:rsidRPr="002121A4">
        <w:rPr>
          <w:lang w:val="en-GB"/>
        </w:rPr>
        <w:t>.</w:t>
      </w:r>
    </w:p>
    <w:p w14:paraId="708A5279" w14:textId="07AEFDF0" w:rsidR="00E7576D" w:rsidRPr="002121A4" w:rsidRDefault="00E7576D" w:rsidP="00E7576D">
      <w:pPr>
        <w:rPr>
          <w:lang w:val="en-GB"/>
        </w:rPr>
      </w:pPr>
      <w:r w:rsidRPr="002121A4">
        <w:rPr>
          <w:lang w:val="en-GB"/>
        </w:rPr>
        <w:t xml:space="preserve">This chapter will give an overview on the legal framework applying to issuers, investors, and </w:t>
      </w:r>
      <w:r w:rsidR="003B43B9" w:rsidRPr="002121A4">
        <w:rPr>
          <w:lang w:val="en-GB"/>
        </w:rPr>
        <w:t xml:space="preserve">other </w:t>
      </w:r>
      <w:r w:rsidRPr="002121A4">
        <w:rPr>
          <w:lang w:val="en-GB"/>
        </w:rPr>
        <w:t xml:space="preserve">prominent </w:t>
      </w:r>
      <w:r w:rsidR="003B43B9" w:rsidRPr="002121A4">
        <w:rPr>
          <w:lang w:val="en-GB"/>
        </w:rPr>
        <w:t xml:space="preserve">players on </w:t>
      </w:r>
      <w:r w:rsidRPr="002121A4">
        <w:rPr>
          <w:lang w:val="en-GB"/>
        </w:rPr>
        <w:t xml:space="preserve">capital market </w:t>
      </w:r>
      <w:r w:rsidR="003B43B9" w:rsidRPr="002121A4">
        <w:rPr>
          <w:lang w:val="en-GB"/>
        </w:rPr>
        <w:t>such as investment firms, investment funds and their managers, and credit rating agencies</w:t>
      </w:r>
      <w:r w:rsidRPr="002121A4">
        <w:rPr>
          <w:lang w:val="en-GB"/>
        </w:rPr>
        <w:t>.</w:t>
      </w:r>
      <w:r w:rsidR="00762C44" w:rsidRPr="002121A4">
        <w:rPr>
          <w:lang w:val="en-GB"/>
        </w:rPr>
        <w:t xml:space="preserve"> For regulated markets, see section </w:t>
      </w:r>
      <w:r w:rsidR="00762C44" w:rsidRPr="002121A4">
        <w:rPr>
          <w:lang w:val="en-GB"/>
        </w:rPr>
        <w:fldChar w:fldCharType="begin"/>
      </w:r>
      <w:r w:rsidR="00762C44" w:rsidRPr="002121A4">
        <w:rPr>
          <w:lang w:val="en-GB"/>
        </w:rPr>
        <w:instrText xml:space="preserve"> REF _Ref129889163 \r \h </w:instrText>
      </w:r>
      <w:r w:rsidR="00762C44" w:rsidRPr="002121A4">
        <w:rPr>
          <w:lang w:val="en-GB"/>
        </w:rPr>
      </w:r>
      <w:r w:rsidR="00762C44" w:rsidRPr="002121A4">
        <w:rPr>
          <w:lang w:val="en-GB"/>
        </w:rPr>
        <w:fldChar w:fldCharType="separate"/>
      </w:r>
      <w:r w:rsidR="00D56145">
        <w:rPr>
          <w:lang w:val="en-GB"/>
        </w:rPr>
        <w:t>1.2.2.1.1</w:t>
      </w:r>
      <w:r w:rsidR="00762C44" w:rsidRPr="002121A4">
        <w:rPr>
          <w:lang w:val="en-GB"/>
        </w:rPr>
        <w:fldChar w:fldCharType="end"/>
      </w:r>
      <w:r w:rsidR="00762C44" w:rsidRPr="002121A4">
        <w:rPr>
          <w:lang w:val="en-GB"/>
        </w:rPr>
        <w:t>, p. </w:t>
      </w:r>
      <w:r w:rsidR="00762C44" w:rsidRPr="002121A4">
        <w:rPr>
          <w:lang w:val="en-GB"/>
        </w:rPr>
        <w:fldChar w:fldCharType="begin"/>
      </w:r>
      <w:r w:rsidR="00762C44" w:rsidRPr="002121A4">
        <w:rPr>
          <w:lang w:val="en-GB"/>
        </w:rPr>
        <w:instrText xml:space="preserve"> PAGEREF _Ref129889163 \h </w:instrText>
      </w:r>
      <w:r w:rsidR="00762C44" w:rsidRPr="002121A4">
        <w:rPr>
          <w:lang w:val="en-GB"/>
        </w:rPr>
      </w:r>
      <w:r w:rsidR="00762C44" w:rsidRPr="002121A4">
        <w:rPr>
          <w:lang w:val="en-GB"/>
        </w:rPr>
        <w:fldChar w:fldCharType="separate"/>
      </w:r>
      <w:r w:rsidR="00D56145">
        <w:rPr>
          <w:noProof/>
          <w:lang w:val="en-GB"/>
        </w:rPr>
        <w:t>6</w:t>
      </w:r>
      <w:r w:rsidR="00762C44" w:rsidRPr="002121A4">
        <w:rPr>
          <w:lang w:val="en-GB"/>
        </w:rPr>
        <w:fldChar w:fldCharType="end"/>
      </w:r>
      <w:r w:rsidR="00762C44" w:rsidRPr="002121A4">
        <w:rPr>
          <w:lang w:val="en-GB"/>
        </w:rPr>
        <w:t xml:space="preserve"> above.</w:t>
      </w:r>
    </w:p>
    <w:p w14:paraId="59A43A4D" w14:textId="172E3BA6" w:rsidR="00A91879" w:rsidRPr="002121A4" w:rsidRDefault="00A91879" w:rsidP="00EF3983">
      <w:pPr>
        <w:pStyle w:val="berschrift3"/>
        <w:rPr>
          <w:lang w:val="en-GB"/>
        </w:rPr>
      </w:pPr>
      <w:bookmarkStart w:id="60" w:name="_Hlk126256776"/>
      <w:r w:rsidRPr="002121A4">
        <w:rPr>
          <w:lang w:val="en-GB"/>
        </w:rPr>
        <w:lastRenderedPageBreak/>
        <w:t>Issuers</w:t>
      </w:r>
      <w:r w:rsidR="00125285" w:rsidRPr="002121A4">
        <w:rPr>
          <w:lang w:val="en-GB"/>
        </w:rPr>
        <w:t xml:space="preserve"> and investor</w:t>
      </w:r>
      <w:r w:rsidR="00E7576D" w:rsidRPr="002121A4">
        <w:rPr>
          <w:lang w:val="en-GB"/>
        </w:rPr>
        <w:t>s</w:t>
      </w:r>
    </w:p>
    <w:bookmarkEnd w:id="60"/>
    <w:p w14:paraId="6D34F755" w14:textId="1E3CCCCA" w:rsidR="00A91879" w:rsidRPr="002121A4" w:rsidRDefault="006F64E8" w:rsidP="002C30A8">
      <w:pPr>
        <w:pStyle w:val="Standardwithparanumbering"/>
        <w:keepNext/>
      </w:pPr>
      <w:r w:rsidRPr="002121A4">
        <w:t xml:space="preserve"> “Issuers” of securities are (re-)financing their activities through the issuance process. No particular qualification is necessary for an entity to issue securities, and issuers include both private and public institutions</w:t>
      </w:r>
      <w:r w:rsidR="00E931CE">
        <w:t>,</w:t>
      </w:r>
      <w:r w:rsidRPr="002121A4">
        <w:t xml:space="preserve"> e.g., private companies, public companies, states and local governments</w:t>
      </w:r>
      <w:r w:rsidR="00C16E01" w:rsidRPr="002121A4">
        <w:t>, international institutions such as the European Investment Bank</w:t>
      </w:r>
      <w:r w:rsidRPr="002121A4">
        <w:t>.</w:t>
      </w:r>
      <w:r w:rsidR="00C16E01" w:rsidRPr="002121A4">
        <w:t xml:space="preserve"> However, the process of issuing securities can come with a number of capital marke</w:t>
      </w:r>
      <w:r w:rsidR="001519AD" w:rsidRPr="002121A4">
        <w:t>t</w:t>
      </w:r>
      <w:r w:rsidR="00C16E01" w:rsidRPr="002121A4">
        <w:t xml:space="preserve"> requirements</w:t>
      </w:r>
      <w:r w:rsidR="001519AD" w:rsidRPr="002121A4">
        <w:t xml:space="preserve"> for issuers involved</w:t>
      </w:r>
      <w:r w:rsidR="00C16E01" w:rsidRPr="002121A4">
        <w:t>. The most important ones are the following:</w:t>
      </w:r>
    </w:p>
    <w:p w14:paraId="7E0B5BFE" w14:textId="2ECDEE7F" w:rsidR="00C16E01" w:rsidRPr="002121A4" w:rsidRDefault="00C16E01" w:rsidP="00AB42AA">
      <w:pPr>
        <w:pStyle w:val="Listenabsatz"/>
        <w:numPr>
          <w:ilvl w:val="0"/>
          <w:numId w:val="11"/>
        </w:numPr>
        <w:rPr>
          <w:lang w:val="en-GB"/>
        </w:rPr>
      </w:pPr>
      <w:r w:rsidRPr="002121A4">
        <w:rPr>
          <w:lang w:val="en-GB"/>
        </w:rPr>
        <w:t>securities prospectuses</w:t>
      </w:r>
      <w:r w:rsidR="00E47A04" w:rsidRPr="002121A4">
        <w:rPr>
          <w:lang w:val="en-GB"/>
        </w:rPr>
        <w:t xml:space="preserve"> </w:t>
      </w:r>
      <w:r w:rsidR="000A1B5E" w:rsidRPr="002121A4">
        <w:rPr>
          <w:lang w:val="en-GB"/>
        </w:rPr>
        <w:t xml:space="preserve">for </w:t>
      </w:r>
      <w:r w:rsidR="00D85E70" w:rsidRPr="002121A4">
        <w:rPr>
          <w:lang w:val="en-GB"/>
        </w:rPr>
        <w:t xml:space="preserve">an offer to the public </w:t>
      </w:r>
      <w:r w:rsidR="000A1B5E" w:rsidRPr="002121A4">
        <w:rPr>
          <w:lang w:val="en-GB"/>
        </w:rPr>
        <w:t xml:space="preserve">and </w:t>
      </w:r>
      <w:r w:rsidR="00D85E70" w:rsidRPr="002121A4">
        <w:rPr>
          <w:lang w:val="en-GB"/>
        </w:rPr>
        <w:t xml:space="preserve">for </w:t>
      </w:r>
      <w:r w:rsidR="000A1B5E" w:rsidRPr="002121A4">
        <w:rPr>
          <w:lang w:val="en-GB"/>
        </w:rPr>
        <w:t xml:space="preserve">admissions </w:t>
      </w:r>
      <w:r w:rsidR="00D85E70" w:rsidRPr="002121A4">
        <w:rPr>
          <w:lang w:val="en-GB"/>
        </w:rPr>
        <w:t xml:space="preserve">to trading on </w:t>
      </w:r>
      <w:r w:rsidR="000A1B5E" w:rsidRPr="002121A4">
        <w:rPr>
          <w:lang w:val="en-GB"/>
        </w:rPr>
        <w:t xml:space="preserve">regulated markets </w:t>
      </w:r>
      <w:r w:rsidR="00E47A04" w:rsidRPr="002121A4">
        <w:rPr>
          <w:lang w:val="en-GB"/>
        </w:rPr>
        <w:t xml:space="preserve">(chapter </w:t>
      </w:r>
      <w:r w:rsidR="00E47A04" w:rsidRPr="002121A4">
        <w:rPr>
          <w:lang w:val="en-GB"/>
        </w:rPr>
        <w:fldChar w:fldCharType="begin"/>
      </w:r>
      <w:r w:rsidR="00E47A04" w:rsidRPr="002121A4">
        <w:rPr>
          <w:lang w:val="en-GB"/>
        </w:rPr>
        <w:instrText xml:space="preserve"> REF _Ref125374731 \r \h </w:instrText>
      </w:r>
      <w:r w:rsidR="00E47A04" w:rsidRPr="002121A4">
        <w:rPr>
          <w:lang w:val="en-GB"/>
        </w:rPr>
      </w:r>
      <w:r w:rsidR="00E47A04" w:rsidRPr="002121A4">
        <w:rPr>
          <w:lang w:val="en-GB"/>
        </w:rPr>
        <w:fldChar w:fldCharType="separate"/>
      </w:r>
      <w:r w:rsidR="00D56145">
        <w:rPr>
          <w:lang w:val="en-GB"/>
        </w:rPr>
        <w:t>3</w:t>
      </w:r>
      <w:r w:rsidR="00E47A04" w:rsidRPr="002121A4">
        <w:rPr>
          <w:lang w:val="en-GB"/>
        </w:rPr>
        <w:fldChar w:fldCharType="end"/>
      </w:r>
      <w:r w:rsidR="00E47A04" w:rsidRPr="002121A4">
        <w:rPr>
          <w:lang w:val="en-GB"/>
        </w:rPr>
        <w:t>)</w:t>
      </w:r>
      <w:r w:rsidRPr="002121A4">
        <w:rPr>
          <w:lang w:val="en-GB"/>
        </w:rPr>
        <w:t>;</w:t>
      </w:r>
    </w:p>
    <w:p w14:paraId="5F75F24C" w14:textId="078AF1ED" w:rsidR="00325CDF" w:rsidRPr="002121A4" w:rsidRDefault="00325CDF" w:rsidP="00AB42AA">
      <w:pPr>
        <w:pStyle w:val="Listenabsatz"/>
        <w:numPr>
          <w:ilvl w:val="0"/>
          <w:numId w:val="11"/>
        </w:numPr>
        <w:rPr>
          <w:lang w:val="en-GB"/>
        </w:rPr>
      </w:pPr>
      <w:r w:rsidRPr="002121A4">
        <w:rPr>
          <w:lang w:val="en-GB"/>
        </w:rPr>
        <w:t xml:space="preserve">disclosure of inside information (chapter </w:t>
      </w:r>
      <w:r w:rsidRPr="002121A4">
        <w:rPr>
          <w:lang w:val="en-GB"/>
        </w:rPr>
        <w:fldChar w:fldCharType="begin"/>
      </w:r>
      <w:r w:rsidRPr="002121A4">
        <w:rPr>
          <w:lang w:val="en-GB"/>
        </w:rPr>
        <w:instrText xml:space="preserve"> REF _Ref125374739 \r \h </w:instrText>
      </w:r>
      <w:r w:rsidRPr="002121A4">
        <w:rPr>
          <w:lang w:val="en-GB"/>
        </w:rPr>
      </w:r>
      <w:r w:rsidRPr="002121A4">
        <w:rPr>
          <w:lang w:val="en-GB"/>
        </w:rPr>
        <w:fldChar w:fldCharType="separate"/>
      </w:r>
      <w:r w:rsidR="00D56145">
        <w:rPr>
          <w:lang w:val="en-GB"/>
        </w:rPr>
        <w:t>4</w:t>
      </w:r>
      <w:r w:rsidRPr="002121A4">
        <w:rPr>
          <w:lang w:val="en-GB"/>
        </w:rPr>
        <w:fldChar w:fldCharType="end"/>
      </w:r>
      <w:r w:rsidRPr="002121A4">
        <w:rPr>
          <w:lang w:val="en-GB"/>
        </w:rPr>
        <w:t xml:space="preserve">); </w:t>
      </w:r>
    </w:p>
    <w:p w14:paraId="10EE1D79" w14:textId="7042CAB0" w:rsidR="00C16E01" w:rsidRPr="002121A4" w:rsidRDefault="00C16E01" w:rsidP="00AB42AA">
      <w:pPr>
        <w:pStyle w:val="Listenabsatz"/>
        <w:numPr>
          <w:ilvl w:val="0"/>
          <w:numId w:val="11"/>
        </w:numPr>
        <w:rPr>
          <w:lang w:val="en-GB"/>
        </w:rPr>
      </w:pPr>
      <w:r w:rsidRPr="002121A4">
        <w:rPr>
          <w:lang w:val="en-GB"/>
        </w:rPr>
        <w:t>disclosure of periodic information</w:t>
      </w:r>
      <w:r w:rsidR="00167E96" w:rsidRPr="002121A4">
        <w:rPr>
          <w:lang w:val="en-GB"/>
        </w:rPr>
        <w:t xml:space="preserve">, </w:t>
      </w:r>
      <w:r w:rsidRPr="002121A4">
        <w:rPr>
          <w:lang w:val="en-GB"/>
        </w:rPr>
        <w:t>e.g., annual reports</w:t>
      </w:r>
      <w:r w:rsidR="00167E96" w:rsidRPr="002121A4">
        <w:rPr>
          <w:lang w:val="en-GB"/>
        </w:rPr>
        <w:t>,</w:t>
      </w:r>
      <w:r w:rsidRPr="002121A4">
        <w:rPr>
          <w:lang w:val="en-GB"/>
        </w:rPr>
        <w:t xml:space="preserve"> and ongoing information</w:t>
      </w:r>
      <w:r w:rsidR="00167E96" w:rsidRPr="002121A4">
        <w:rPr>
          <w:lang w:val="en-GB"/>
        </w:rPr>
        <w:t xml:space="preserve">, </w:t>
      </w:r>
      <w:r w:rsidRPr="002121A4">
        <w:rPr>
          <w:lang w:val="en-GB"/>
        </w:rPr>
        <w:t>e.g., information relating to major shareholders</w:t>
      </w:r>
      <w:r w:rsidR="00E47A04" w:rsidRPr="002121A4">
        <w:rPr>
          <w:lang w:val="en-GB"/>
        </w:rPr>
        <w:t xml:space="preserve"> (chapter </w:t>
      </w:r>
      <w:r w:rsidR="00325CDF" w:rsidRPr="002121A4">
        <w:rPr>
          <w:lang w:val="en-GB"/>
        </w:rPr>
        <w:fldChar w:fldCharType="begin"/>
      </w:r>
      <w:r w:rsidR="00325CDF" w:rsidRPr="002121A4">
        <w:rPr>
          <w:lang w:val="en-GB"/>
        </w:rPr>
        <w:instrText xml:space="preserve"> REF _Ref125374746 \r \h </w:instrText>
      </w:r>
      <w:r w:rsidR="00325CDF" w:rsidRPr="002121A4">
        <w:rPr>
          <w:lang w:val="en-GB"/>
        </w:rPr>
      </w:r>
      <w:r w:rsidR="00325CDF" w:rsidRPr="002121A4">
        <w:rPr>
          <w:lang w:val="en-GB"/>
        </w:rPr>
        <w:fldChar w:fldCharType="separate"/>
      </w:r>
      <w:r w:rsidR="00D56145">
        <w:rPr>
          <w:lang w:val="en-GB"/>
        </w:rPr>
        <w:t>5</w:t>
      </w:r>
      <w:r w:rsidR="00325CDF" w:rsidRPr="002121A4">
        <w:rPr>
          <w:lang w:val="en-GB"/>
        </w:rPr>
        <w:fldChar w:fldCharType="end"/>
      </w:r>
      <w:r w:rsidR="00E47A04" w:rsidRPr="002121A4">
        <w:rPr>
          <w:lang w:val="en-GB"/>
        </w:rPr>
        <w:t>)</w:t>
      </w:r>
      <w:r w:rsidRPr="002121A4">
        <w:rPr>
          <w:lang w:val="en-GB"/>
        </w:rPr>
        <w:t>;</w:t>
      </w:r>
      <w:r w:rsidR="00325CDF" w:rsidRPr="002121A4">
        <w:rPr>
          <w:lang w:val="en-GB"/>
        </w:rPr>
        <w:t xml:space="preserve"> </w:t>
      </w:r>
      <w:r w:rsidR="00872782" w:rsidRPr="002121A4">
        <w:rPr>
          <w:lang w:val="en-GB"/>
        </w:rPr>
        <w:t>and</w:t>
      </w:r>
    </w:p>
    <w:p w14:paraId="7FE3253C" w14:textId="77D70BFB" w:rsidR="00C16E01" w:rsidRPr="002121A4" w:rsidRDefault="00872782" w:rsidP="00AB42AA">
      <w:pPr>
        <w:pStyle w:val="Listenabsatz"/>
        <w:numPr>
          <w:ilvl w:val="0"/>
          <w:numId w:val="11"/>
        </w:numPr>
        <w:rPr>
          <w:lang w:val="en-GB"/>
        </w:rPr>
      </w:pPr>
      <w:r w:rsidRPr="002121A4">
        <w:rPr>
          <w:lang w:val="en-GB"/>
        </w:rPr>
        <w:t>duties in the context of takeover bids</w:t>
      </w:r>
      <w:r w:rsidR="00E47A04" w:rsidRPr="002121A4">
        <w:rPr>
          <w:lang w:val="en-GB"/>
        </w:rPr>
        <w:t xml:space="preserve"> </w:t>
      </w:r>
      <w:r w:rsidR="005031F8" w:rsidRPr="002121A4">
        <w:rPr>
          <w:lang w:val="en-GB"/>
        </w:rPr>
        <w:t xml:space="preserve">and </w:t>
      </w:r>
      <w:r w:rsidR="00E96BB4" w:rsidRPr="002121A4">
        <w:rPr>
          <w:lang w:val="en-GB"/>
        </w:rPr>
        <w:t>delisting</w:t>
      </w:r>
      <w:r w:rsidR="005031F8" w:rsidRPr="002121A4">
        <w:rPr>
          <w:lang w:val="en-GB"/>
        </w:rPr>
        <w:t xml:space="preserve"> </w:t>
      </w:r>
      <w:r w:rsidR="00E47A04" w:rsidRPr="002121A4">
        <w:rPr>
          <w:lang w:val="en-GB"/>
        </w:rPr>
        <w:t xml:space="preserve">(chapter </w:t>
      </w:r>
      <w:r w:rsidR="00E47A04" w:rsidRPr="002121A4">
        <w:rPr>
          <w:lang w:val="en-GB"/>
        </w:rPr>
        <w:fldChar w:fldCharType="begin"/>
      </w:r>
      <w:r w:rsidR="00E47A04" w:rsidRPr="002121A4">
        <w:rPr>
          <w:lang w:val="en-GB"/>
        </w:rPr>
        <w:instrText xml:space="preserve"> REF _Ref125374751 \r \h </w:instrText>
      </w:r>
      <w:r w:rsidR="00E47A04" w:rsidRPr="002121A4">
        <w:rPr>
          <w:lang w:val="en-GB"/>
        </w:rPr>
      </w:r>
      <w:r w:rsidR="00E47A04" w:rsidRPr="002121A4">
        <w:rPr>
          <w:lang w:val="en-GB"/>
        </w:rPr>
        <w:fldChar w:fldCharType="separate"/>
      </w:r>
      <w:r w:rsidR="00D56145">
        <w:rPr>
          <w:lang w:val="en-GB"/>
        </w:rPr>
        <w:t>6</w:t>
      </w:r>
      <w:r w:rsidR="00E47A04" w:rsidRPr="002121A4">
        <w:rPr>
          <w:lang w:val="en-GB"/>
        </w:rPr>
        <w:fldChar w:fldCharType="end"/>
      </w:r>
      <w:r w:rsidR="00E47A04" w:rsidRPr="002121A4">
        <w:rPr>
          <w:lang w:val="en-GB"/>
        </w:rPr>
        <w:t>)</w:t>
      </w:r>
      <w:r w:rsidRPr="002121A4">
        <w:rPr>
          <w:lang w:val="en-GB"/>
        </w:rPr>
        <w:t>.</w:t>
      </w:r>
    </w:p>
    <w:p w14:paraId="5D801665" w14:textId="1EAB1581" w:rsidR="00A91879" w:rsidRPr="002121A4" w:rsidRDefault="0074686C" w:rsidP="0074686C">
      <w:pPr>
        <w:pStyle w:val="Standardwithparanumbering"/>
      </w:pPr>
      <w:r w:rsidRPr="002121A4">
        <w:t xml:space="preserve">“Investors” are the </w:t>
      </w:r>
      <w:r w:rsidR="00D85E70" w:rsidRPr="002121A4">
        <w:t xml:space="preserve">persons </w:t>
      </w:r>
      <w:r w:rsidRPr="002121A4">
        <w:t xml:space="preserve">providing financing to issuers </w:t>
      </w:r>
      <w:r w:rsidR="00D85E70" w:rsidRPr="002121A4">
        <w:t xml:space="preserve">by buying their securities, or providing liquidity to other investors by buying the securities </w:t>
      </w:r>
      <w:r w:rsidR="00721B18" w:rsidRPr="002121A4">
        <w:t>in which they are invested</w:t>
      </w:r>
      <w:r w:rsidRPr="002121A4">
        <w:t>. Aspects of capital market regulation relevant for investors include the following:</w:t>
      </w:r>
    </w:p>
    <w:p w14:paraId="09055EDD" w14:textId="0E33C59E" w:rsidR="00CC4663" w:rsidRPr="002121A4" w:rsidRDefault="00CC4663" w:rsidP="00AB42AA">
      <w:pPr>
        <w:pStyle w:val="Listenabsatz"/>
        <w:numPr>
          <w:ilvl w:val="0"/>
          <w:numId w:val="11"/>
        </w:numPr>
        <w:rPr>
          <w:lang w:val="en-GB"/>
        </w:rPr>
      </w:pPr>
      <w:r w:rsidRPr="002121A4">
        <w:rPr>
          <w:lang w:val="en-GB"/>
        </w:rPr>
        <w:t xml:space="preserve">restrictions or prohibitions of certain types of transactions, e.g., the prohibition of insider dealing (chapter </w:t>
      </w:r>
      <w:r w:rsidRPr="002121A4">
        <w:rPr>
          <w:lang w:val="en-GB"/>
        </w:rPr>
        <w:fldChar w:fldCharType="begin"/>
      </w:r>
      <w:r w:rsidRPr="002121A4">
        <w:rPr>
          <w:lang w:val="en-GB"/>
        </w:rPr>
        <w:instrText xml:space="preserve"> REF _Ref125374739 \r \h </w:instrText>
      </w:r>
      <w:r w:rsidRPr="002121A4">
        <w:rPr>
          <w:lang w:val="en-GB"/>
        </w:rPr>
      </w:r>
      <w:r w:rsidRPr="002121A4">
        <w:rPr>
          <w:lang w:val="en-GB"/>
        </w:rPr>
        <w:fldChar w:fldCharType="separate"/>
      </w:r>
      <w:r w:rsidR="00D56145">
        <w:rPr>
          <w:lang w:val="en-GB"/>
        </w:rPr>
        <w:t>4</w:t>
      </w:r>
      <w:r w:rsidRPr="002121A4">
        <w:rPr>
          <w:lang w:val="en-GB"/>
        </w:rPr>
        <w:fldChar w:fldCharType="end"/>
      </w:r>
      <w:r w:rsidRPr="002121A4">
        <w:rPr>
          <w:lang w:val="en-GB"/>
        </w:rPr>
        <w:t xml:space="preserve">); </w:t>
      </w:r>
    </w:p>
    <w:p w14:paraId="187BE17A" w14:textId="3746155A" w:rsidR="0074686C" w:rsidRPr="002121A4" w:rsidRDefault="0074686C" w:rsidP="00AB42AA">
      <w:pPr>
        <w:pStyle w:val="Listenabsatz"/>
        <w:numPr>
          <w:ilvl w:val="0"/>
          <w:numId w:val="11"/>
        </w:numPr>
        <w:rPr>
          <w:lang w:val="en-GB"/>
        </w:rPr>
      </w:pPr>
      <w:r w:rsidRPr="002121A4">
        <w:rPr>
          <w:lang w:val="en-GB"/>
        </w:rPr>
        <w:t xml:space="preserve">notification of major holdings (chapter </w:t>
      </w:r>
      <w:r w:rsidR="0092537F" w:rsidRPr="002121A4">
        <w:rPr>
          <w:lang w:val="en-GB"/>
        </w:rPr>
        <w:fldChar w:fldCharType="begin"/>
      </w:r>
      <w:r w:rsidR="0092537F" w:rsidRPr="002121A4">
        <w:rPr>
          <w:lang w:val="en-GB"/>
        </w:rPr>
        <w:instrText xml:space="preserve"> REF _Ref125374746 \r \h </w:instrText>
      </w:r>
      <w:r w:rsidR="0092537F" w:rsidRPr="002121A4">
        <w:rPr>
          <w:lang w:val="en-GB"/>
        </w:rPr>
      </w:r>
      <w:r w:rsidR="0092537F" w:rsidRPr="002121A4">
        <w:rPr>
          <w:lang w:val="en-GB"/>
        </w:rPr>
        <w:fldChar w:fldCharType="separate"/>
      </w:r>
      <w:r w:rsidR="00D56145">
        <w:rPr>
          <w:lang w:val="en-GB"/>
        </w:rPr>
        <w:t>5</w:t>
      </w:r>
      <w:r w:rsidR="0092537F" w:rsidRPr="002121A4">
        <w:rPr>
          <w:lang w:val="en-GB"/>
        </w:rPr>
        <w:fldChar w:fldCharType="end"/>
      </w:r>
      <w:r w:rsidRPr="002121A4">
        <w:rPr>
          <w:lang w:val="en-GB"/>
        </w:rPr>
        <w:t>); and</w:t>
      </w:r>
    </w:p>
    <w:p w14:paraId="5C03FA51" w14:textId="2782FC89" w:rsidR="00112609" w:rsidRPr="002121A4" w:rsidRDefault="0074686C" w:rsidP="00AB42AA">
      <w:pPr>
        <w:pStyle w:val="Listenabsatz"/>
        <w:numPr>
          <w:ilvl w:val="0"/>
          <w:numId w:val="11"/>
        </w:numPr>
        <w:rPr>
          <w:lang w:val="en-GB"/>
        </w:rPr>
      </w:pPr>
      <w:r w:rsidRPr="002121A4">
        <w:rPr>
          <w:lang w:val="en-GB"/>
        </w:rPr>
        <w:t xml:space="preserve">rights in the context of takeover bids (chapter </w:t>
      </w:r>
      <w:r w:rsidRPr="002121A4">
        <w:rPr>
          <w:lang w:val="en-GB"/>
        </w:rPr>
        <w:fldChar w:fldCharType="begin"/>
      </w:r>
      <w:r w:rsidRPr="002121A4">
        <w:rPr>
          <w:lang w:val="en-GB"/>
        </w:rPr>
        <w:instrText xml:space="preserve"> REF _Ref125374751 \r \h </w:instrText>
      </w:r>
      <w:r w:rsidRPr="002121A4">
        <w:rPr>
          <w:lang w:val="en-GB"/>
        </w:rPr>
      </w:r>
      <w:r w:rsidRPr="002121A4">
        <w:rPr>
          <w:lang w:val="en-GB"/>
        </w:rPr>
        <w:fldChar w:fldCharType="separate"/>
      </w:r>
      <w:r w:rsidR="00D56145">
        <w:rPr>
          <w:lang w:val="en-GB"/>
        </w:rPr>
        <w:t>6</w:t>
      </w:r>
      <w:r w:rsidRPr="002121A4">
        <w:rPr>
          <w:lang w:val="en-GB"/>
        </w:rPr>
        <w:fldChar w:fldCharType="end"/>
      </w:r>
      <w:r w:rsidRPr="002121A4">
        <w:rPr>
          <w:lang w:val="en-GB"/>
        </w:rPr>
        <w:t>).</w:t>
      </w:r>
    </w:p>
    <w:p w14:paraId="652212E7" w14:textId="752639F4" w:rsidR="00B53054" w:rsidRPr="002121A4" w:rsidRDefault="00B53054" w:rsidP="00793F3B">
      <w:pPr>
        <w:pStyle w:val="Standardwithparanumbering"/>
      </w:pPr>
      <w:r w:rsidRPr="002121A4">
        <w:t>Capital market law often differentiates between different categories of investors, depending on the</w:t>
      </w:r>
      <w:r w:rsidR="00B42C86" w:rsidRPr="002121A4">
        <w:t>ir</w:t>
      </w:r>
      <w:r w:rsidRPr="002121A4">
        <w:t xml:space="preserve"> experience. For example, </w:t>
      </w:r>
      <w:r w:rsidR="0096629D" w:rsidRPr="002121A4">
        <w:t xml:space="preserve">under the Prospectus Regulation, </w:t>
      </w:r>
      <w:r w:rsidRPr="002121A4">
        <w:t xml:space="preserve">there are exemptions </w:t>
      </w:r>
      <w:r w:rsidR="0096629D" w:rsidRPr="002121A4">
        <w:t xml:space="preserve">from prospectus requirements </w:t>
      </w:r>
      <w:r w:rsidRPr="002121A4">
        <w:t>for offering securities to “qualified investors”</w:t>
      </w:r>
      <w:r w:rsidR="0096629D" w:rsidRPr="002121A4">
        <w:t>.</w:t>
      </w:r>
      <w:r w:rsidRPr="002121A4">
        <w:t xml:space="preserve"> </w:t>
      </w:r>
      <w:r w:rsidR="0096629D" w:rsidRPr="002121A4">
        <w:t>U</w:t>
      </w:r>
      <w:r w:rsidRPr="002121A4">
        <w:t>nder MiFID II</w:t>
      </w:r>
      <w:r w:rsidR="0096629D" w:rsidRPr="002121A4">
        <w:t xml:space="preserve">, requirements in the context of </w:t>
      </w:r>
      <w:r w:rsidRPr="002121A4">
        <w:t xml:space="preserve">investment services </w:t>
      </w:r>
      <w:r w:rsidR="0096629D" w:rsidRPr="002121A4">
        <w:t>are reduced where the</w:t>
      </w:r>
      <w:r w:rsidR="00901011">
        <w:t>se</w:t>
      </w:r>
      <w:r w:rsidR="0096629D" w:rsidRPr="002121A4">
        <w:t xml:space="preserve"> are </w:t>
      </w:r>
      <w:r w:rsidRPr="002121A4">
        <w:t>provided to “professional clients”.</w:t>
      </w:r>
      <w:r w:rsidRPr="002121A4">
        <w:rPr>
          <w:rStyle w:val="Funotenzeichen"/>
        </w:rPr>
        <w:footnoteReference w:id="56"/>
      </w:r>
      <w:r w:rsidRPr="002121A4">
        <w:t xml:space="preserve"> </w:t>
      </w:r>
    </w:p>
    <w:p w14:paraId="296FAA0D" w14:textId="5EE44B11" w:rsidR="00A0697F" w:rsidRPr="002121A4" w:rsidRDefault="002B798F" w:rsidP="00EF3983">
      <w:pPr>
        <w:pStyle w:val="berschrift3"/>
        <w:rPr>
          <w:lang w:val="en-GB"/>
        </w:rPr>
      </w:pPr>
      <w:r w:rsidRPr="002121A4">
        <w:rPr>
          <w:lang w:val="en-GB"/>
        </w:rPr>
        <w:t>F</w:t>
      </w:r>
      <w:r w:rsidR="00A0697F" w:rsidRPr="002121A4">
        <w:rPr>
          <w:lang w:val="en-GB"/>
        </w:rPr>
        <w:t>inancial service</w:t>
      </w:r>
      <w:r w:rsidRPr="002121A4">
        <w:rPr>
          <w:lang w:val="en-GB"/>
        </w:rPr>
        <w:t xml:space="preserve"> provider</w:t>
      </w:r>
      <w:r w:rsidR="000463F9" w:rsidRPr="002121A4">
        <w:rPr>
          <w:lang w:val="en-GB"/>
        </w:rPr>
        <w:t>s</w:t>
      </w:r>
      <w:r w:rsidRPr="002121A4">
        <w:rPr>
          <w:lang w:val="en-GB"/>
        </w:rPr>
        <w:t xml:space="preserve"> under MiFID II</w:t>
      </w:r>
    </w:p>
    <w:p w14:paraId="7720B6C5" w14:textId="7A7BB5D6" w:rsidR="000463F9" w:rsidRPr="002121A4" w:rsidRDefault="000463F9" w:rsidP="000463F9">
      <w:pPr>
        <w:pStyle w:val="Standardwithparanumbering"/>
      </w:pPr>
      <w:r w:rsidRPr="002121A4">
        <w:t>MiFID II provides the framework for two major types of financial service providers: investment firms (title II) a</w:t>
      </w:r>
      <w:r w:rsidR="007E62DB">
        <w:t>s well as</w:t>
      </w:r>
      <w:r w:rsidRPr="002121A4">
        <w:t xml:space="preserve"> regulated markets </w:t>
      </w:r>
      <w:r w:rsidR="007D27B8" w:rsidRPr="002121A4">
        <w:t xml:space="preserve">and their operators </w:t>
      </w:r>
      <w:r w:rsidRPr="002121A4">
        <w:t>(title III).</w:t>
      </w:r>
      <w:r w:rsidR="005A7B90" w:rsidRPr="002121A4">
        <w:t xml:space="preserve"> See section </w:t>
      </w:r>
      <w:r w:rsidR="005A7B90" w:rsidRPr="002121A4">
        <w:fldChar w:fldCharType="begin"/>
      </w:r>
      <w:r w:rsidR="005A7B90" w:rsidRPr="002121A4">
        <w:instrText xml:space="preserve"> REF _Ref129889163 \r \h </w:instrText>
      </w:r>
      <w:r w:rsidR="005A7B90" w:rsidRPr="002121A4">
        <w:fldChar w:fldCharType="separate"/>
      </w:r>
      <w:r w:rsidR="00D56145">
        <w:t>1.2.2.1.1</w:t>
      </w:r>
      <w:r w:rsidR="005A7B90" w:rsidRPr="002121A4">
        <w:fldChar w:fldCharType="end"/>
      </w:r>
      <w:r w:rsidR="005A7B90" w:rsidRPr="002121A4">
        <w:t xml:space="preserve"> p. </w:t>
      </w:r>
      <w:r w:rsidR="005A7B90" w:rsidRPr="002121A4">
        <w:fldChar w:fldCharType="begin"/>
      </w:r>
      <w:r w:rsidR="005A7B90" w:rsidRPr="002121A4">
        <w:instrText xml:space="preserve"> PAGEREF _Ref129889163 \h </w:instrText>
      </w:r>
      <w:r w:rsidR="005A7B90" w:rsidRPr="002121A4">
        <w:fldChar w:fldCharType="separate"/>
      </w:r>
      <w:r w:rsidR="00D56145">
        <w:rPr>
          <w:noProof/>
        </w:rPr>
        <w:t>6</w:t>
      </w:r>
      <w:r w:rsidR="005A7B90" w:rsidRPr="002121A4">
        <w:fldChar w:fldCharType="end"/>
      </w:r>
      <w:r w:rsidR="005A7B90" w:rsidRPr="002121A4">
        <w:t xml:space="preserve"> above.</w:t>
      </w:r>
      <w:r w:rsidRPr="002121A4">
        <w:t xml:space="preserve"> </w:t>
      </w:r>
    </w:p>
    <w:p w14:paraId="63B2D87F" w14:textId="2B2563F8" w:rsidR="00D53DF3" w:rsidRPr="002121A4" w:rsidRDefault="0042253C" w:rsidP="00EF3983">
      <w:pPr>
        <w:pStyle w:val="berschrift4"/>
        <w:rPr>
          <w:lang w:val="en-GB"/>
        </w:rPr>
      </w:pPr>
      <w:r w:rsidRPr="002121A4">
        <w:rPr>
          <w:lang w:val="en-GB"/>
        </w:rPr>
        <w:lastRenderedPageBreak/>
        <w:t>I</w:t>
      </w:r>
      <w:r w:rsidR="00D53DF3" w:rsidRPr="002121A4">
        <w:rPr>
          <w:lang w:val="en-GB"/>
        </w:rPr>
        <w:t xml:space="preserve">nvestment </w:t>
      </w:r>
      <w:r w:rsidR="007C08C0" w:rsidRPr="002121A4">
        <w:rPr>
          <w:lang w:val="en-GB"/>
        </w:rPr>
        <w:t>f</w:t>
      </w:r>
      <w:r w:rsidR="00D53DF3" w:rsidRPr="002121A4">
        <w:rPr>
          <w:lang w:val="en-GB"/>
        </w:rPr>
        <w:t xml:space="preserve">irms </w:t>
      </w:r>
      <w:r w:rsidR="00CE6847" w:rsidRPr="002121A4">
        <w:rPr>
          <w:lang w:val="en-GB"/>
        </w:rPr>
        <w:t>and investment services</w:t>
      </w:r>
    </w:p>
    <w:p w14:paraId="3D6E277F" w14:textId="7C453070" w:rsidR="00321C58" w:rsidRPr="002121A4" w:rsidRDefault="00580B5B" w:rsidP="00EF3983">
      <w:pPr>
        <w:pStyle w:val="berschrift5"/>
        <w:rPr>
          <w:lang w:val="en-GB"/>
        </w:rPr>
      </w:pPr>
      <w:r w:rsidRPr="002121A4">
        <w:rPr>
          <w:noProof/>
        </w:rPr>
        <mc:AlternateContent>
          <mc:Choice Requires="wps">
            <w:drawing>
              <wp:anchor distT="0" distB="0" distL="114300" distR="114300" simplePos="0" relativeHeight="251657728" behindDoc="0" locked="0" layoutInCell="1" allowOverlap="1" wp14:anchorId="5F868D0D" wp14:editId="74AB3471">
                <wp:simplePos x="0" y="0"/>
                <wp:positionH relativeFrom="column">
                  <wp:posOffset>3256280</wp:posOffset>
                </wp:positionH>
                <wp:positionV relativeFrom="paragraph">
                  <wp:posOffset>112708</wp:posOffset>
                </wp:positionV>
                <wp:extent cx="2798445" cy="2425065"/>
                <wp:effectExtent l="0" t="0" r="20955" b="1333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425065"/>
                        </a:xfrm>
                        <a:prstGeom prst="rect">
                          <a:avLst/>
                        </a:prstGeom>
                        <a:solidFill>
                          <a:srgbClr val="FFFFFF"/>
                        </a:solidFill>
                        <a:ln w="9525">
                          <a:solidFill>
                            <a:schemeClr val="bg1">
                              <a:lumMod val="65000"/>
                            </a:schemeClr>
                          </a:solidFill>
                          <a:miter lim="800000"/>
                          <a:headEnd/>
                          <a:tailEnd/>
                        </a:ln>
                      </wps:spPr>
                      <wps:txbx>
                        <w:txbxContent>
                          <w:p w14:paraId="39419178" w14:textId="65433E5D" w:rsidR="0049581C" w:rsidRPr="0049581C" w:rsidRDefault="0049581C" w:rsidP="0049581C">
                            <w:pPr>
                              <w:spacing w:before="0"/>
                              <w:ind w:left="714" w:hanging="357"/>
                              <w:jc w:val="center"/>
                              <w:rPr>
                                <w:b/>
                                <w:sz w:val="19"/>
                                <w:szCs w:val="19"/>
                                <w:lang w:val="en-US"/>
                              </w:rPr>
                            </w:pPr>
                            <w:r w:rsidRPr="0049581C">
                              <w:rPr>
                                <w:b/>
                                <w:sz w:val="19"/>
                                <w:szCs w:val="19"/>
                                <w:lang w:val="en-US"/>
                              </w:rPr>
                              <w:t>MiFID II</w:t>
                            </w:r>
                            <w:r w:rsidR="00CC4663">
                              <w:rPr>
                                <w:b/>
                                <w:sz w:val="19"/>
                                <w:szCs w:val="19"/>
                                <w:lang w:val="en-US"/>
                              </w:rPr>
                              <w:t xml:space="preserve"> Investment Services</w:t>
                            </w:r>
                          </w:p>
                          <w:p w14:paraId="27D789BB" w14:textId="1580866D" w:rsidR="0049581C" w:rsidRPr="0049581C" w:rsidRDefault="0049581C" w:rsidP="00AB42AA">
                            <w:pPr>
                              <w:pStyle w:val="Standardwithparanumbering"/>
                              <w:numPr>
                                <w:ilvl w:val="0"/>
                                <w:numId w:val="8"/>
                              </w:numPr>
                              <w:spacing w:before="0"/>
                              <w:rPr>
                                <w:sz w:val="19"/>
                                <w:szCs w:val="19"/>
                              </w:rPr>
                            </w:pPr>
                            <w:r w:rsidRPr="0049581C">
                              <w:rPr>
                                <w:sz w:val="19"/>
                                <w:szCs w:val="19"/>
                              </w:rPr>
                              <w:t>Reception and transmission of orders in relation to one or more financial instruments;</w:t>
                            </w:r>
                          </w:p>
                          <w:p w14:paraId="12CB9664"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Execution of orders on behalf of clients;</w:t>
                            </w:r>
                          </w:p>
                          <w:p w14:paraId="27552A6F"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Dealing on own account;</w:t>
                            </w:r>
                          </w:p>
                          <w:p w14:paraId="0949AF55"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Portfolio management;</w:t>
                            </w:r>
                          </w:p>
                          <w:p w14:paraId="6AD7FC89"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Investment advice;</w:t>
                            </w:r>
                          </w:p>
                          <w:p w14:paraId="7AFFF77F"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Underwriting of financial instruments and/or placing of financial instruments on a firm commitment basis;</w:t>
                            </w:r>
                          </w:p>
                          <w:p w14:paraId="48C6BA59"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Placing of financial instruments without a firm commitment basis;</w:t>
                            </w:r>
                          </w:p>
                          <w:p w14:paraId="0AE7C1E0"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Operation of an MTF;</w:t>
                            </w:r>
                          </w:p>
                          <w:p w14:paraId="7805642C"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Operation of an OTF.</w:t>
                            </w:r>
                          </w:p>
                          <w:p w14:paraId="1EDBF6AD" w14:textId="1B187D02" w:rsidR="0049581C" w:rsidRPr="0049581C" w:rsidRDefault="0049581C" w:rsidP="0049581C">
                            <w:pPr>
                              <w:rPr>
                                <w:lang w:val="en-US"/>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F868D0D" id="_x0000_s1028" type="#_x0000_t202" style="position:absolute;left:0;text-align:left;margin-left:256.4pt;margin-top:8.85pt;width:220.35pt;height:19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" strokecolor="#a5a5a5 [2092]">
                <v:textbox>
                  <w:txbxContent>
                    <w:p w14:paraId="39419178" w14:textId="65433E5D" w:rsidR="0049581C" w:rsidRPr="0049581C" w:rsidRDefault="0049581C" w:rsidP="0049581C">
                      <w:pPr>
                        <w:spacing w:before="0"/>
                        <w:ind w:left="714" w:hanging="357"/>
                        <w:jc w:val="center"/>
                        <w:rPr>
                          <w:b/>
                          <w:sz w:val="19"/>
                          <w:szCs w:val="19"/>
                          <w:lang w:val="en-US"/>
                        </w:rPr>
                      </w:pPr>
                      <w:r w:rsidRPr="0049581C">
                        <w:rPr>
                          <w:b/>
                          <w:sz w:val="19"/>
                          <w:szCs w:val="19"/>
                          <w:lang w:val="en-US"/>
                        </w:rPr>
                        <w:t>MiFID II</w:t>
                      </w:r>
                      <w:r w:rsidR="00CC4663">
                        <w:rPr>
                          <w:b/>
                          <w:sz w:val="19"/>
                          <w:szCs w:val="19"/>
                          <w:lang w:val="en-US"/>
                        </w:rPr>
                        <w:t xml:space="preserve"> Investment Services</w:t>
                      </w:r>
                    </w:p>
                    <w:p w14:paraId="27D789BB" w14:textId="1580866D" w:rsidR="0049581C" w:rsidRPr="0049581C" w:rsidRDefault="0049581C" w:rsidP="00AB42AA">
                      <w:pPr>
                        <w:pStyle w:val="Standardwithparanumbering"/>
                        <w:numPr>
                          <w:ilvl w:val="0"/>
                          <w:numId w:val="8"/>
                        </w:numPr>
                        <w:spacing w:before="0"/>
                        <w:rPr>
                          <w:sz w:val="19"/>
                          <w:szCs w:val="19"/>
                        </w:rPr>
                      </w:pPr>
                      <w:r w:rsidRPr="0049581C">
                        <w:rPr>
                          <w:sz w:val="19"/>
                          <w:szCs w:val="19"/>
                        </w:rPr>
                        <w:t>Reception and transmission of orders in relation to one or more financial instruments;</w:t>
                      </w:r>
                    </w:p>
                    <w:p w14:paraId="12CB9664"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Execution of orders on behalf of clients;</w:t>
                      </w:r>
                    </w:p>
                    <w:p w14:paraId="27552A6F"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Dealing on own account;</w:t>
                      </w:r>
                    </w:p>
                    <w:p w14:paraId="0949AF55"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Portfolio management;</w:t>
                      </w:r>
                    </w:p>
                    <w:p w14:paraId="6AD7FC89"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Investment advice;</w:t>
                      </w:r>
                    </w:p>
                    <w:p w14:paraId="7AFFF77F"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Underwriting of financial instruments and/or placing of financial instruments on a firm commitment basis;</w:t>
                      </w:r>
                    </w:p>
                    <w:p w14:paraId="48C6BA59"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Placing of financial instruments without a firm commitment basis;</w:t>
                      </w:r>
                    </w:p>
                    <w:p w14:paraId="0AE7C1E0"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Operation of an MTF;</w:t>
                      </w:r>
                    </w:p>
                    <w:p w14:paraId="7805642C" w14:textId="77777777" w:rsidR="0049581C" w:rsidRPr="0049581C" w:rsidRDefault="0049581C" w:rsidP="00AB42AA">
                      <w:pPr>
                        <w:pStyle w:val="Standardwithparanumbering"/>
                        <w:numPr>
                          <w:ilvl w:val="0"/>
                          <w:numId w:val="8"/>
                        </w:numPr>
                        <w:spacing w:before="0"/>
                        <w:rPr>
                          <w:sz w:val="19"/>
                          <w:szCs w:val="19"/>
                        </w:rPr>
                      </w:pPr>
                      <w:r w:rsidRPr="0049581C">
                        <w:rPr>
                          <w:sz w:val="19"/>
                          <w:szCs w:val="19"/>
                        </w:rPr>
                        <w:t>Operation of an OTF.</w:t>
                      </w:r>
                    </w:p>
                    <w:p w14:paraId="1EDBF6AD" w14:textId="1B187D02" w:rsidR="0049581C" w:rsidRPr="0049581C" w:rsidRDefault="0049581C" w:rsidP="0049581C">
                      <w:pPr>
                        <w:rPr>
                          <w:lang w:val="en-US"/>
                        </w:rPr>
                      </w:pPr>
                    </w:p>
                  </w:txbxContent>
                </v:textbox>
                <w10:wrap type="square"/>
              </v:shape>
            </w:pict>
          </mc:Fallback>
        </mc:AlternateContent>
      </w:r>
      <w:r w:rsidR="00321C58" w:rsidRPr="002121A4">
        <w:rPr>
          <w:lang w:val="en-GB"/>
        </w:rPr>
        <w:t>Definition</w:t>
      </w:r>
      <w:r w:rsidR="00AB3F87" w:rsidRPr="002121A4">
        <w:rPr>
          <w:lang w:val="en-GB"/>
        </w:rPr>
        <w:t xml:space="preserve"> of investment firm and investment services</w:t>
      </w:r>
    </w:p>
    <w:p w14:paraId="2B7C37B9" w14:textId="19EEE147" w:rsidR="005D79CE" w:rsidRPr="002121A4" w:rsidRDefault="001870C0" w:rsidP="00B81FD9">
      <w:pPr>
        <w:pStyle w:val="Standardwithparanumbering"/>
      </w:pPr>
      <w:bookmarkStart w:id="61" w:name="_Ref129769361"/>
      <w:r w:rsidRPr="002121A4">
        <w:t>Article </w:t>
      </w:r>
      <w:r w:rsidR="00163FBE" w:rsidRPr="002121A4">
        <w:t xml:space="preserve">4(1)(1) MiFID II defines investment firms as “any legal person whose regular occupation or business is the provision of one or more investment services to third parties and/or the performance of one or more investment activities on a professional basis.” These investment services and activities </w:t>
      </w:r>
      <w:r w:rsidR="00155A6B" w:rsidRPr="002121A4">
        <w:t>are</w:t>
      </w:r>
      <w:r w:rsidR="005D79CE" w:rsidRPr="002121A4">
        <w:t xml:space="preserve"> listed in Annex I Section A of MiFID</w:t>
      </w:r>
      <w:r w:rsidR="008A08CE" w:rsidRPr="002121A4">
        <w:t> </w:t>
      </w:r>
      <w:r w:rsidR="005D79CE" w:rsidRPr="002121A4">
        <w:t>II</w:t>
      </w:r>
      <w:r w:rsidR="008A08CE" w:rsidRPr="002121A4">
        <w:t xml:space="preserve"> and are linked to virtually any imaginable type of capital market transactions (see box on the right)</w:t>
      </w:r>
      <w:r w:rsidR="0049581C" w:rsidRPr="002121A4">
        <w:t xml:space="preserve">. </w:t>
      </w:r>
      <w:r w:rsidR="005D79CE" w:rsidRPr="002121A4">
        <w:t>Section B of Annex</w:t>
      </w:r>
      <w:r w:rsidR="005E6895" w:rsidRPr="002121A4">
        <w:t xml:space="preserve"> I</w:t>
      </w:r>
      <w:r w:rsidR="005D79CE" w:rsidRPr="002121A4">
        <w:t xml:space="preserve"> defines the scope of “ancillary services”.</w:t>
      </w:r>
      <w:bookmarkEnd w:id="61"/>
    </w:p>
    <w:p w14:paraId="699E8D18" w14:textId="13707F5D" w:rsidR="000552CE" w:rsidRPr="002121A4" w:rsidRDefault="000552CE" w:rsidP="00EF3983">
      <w:pPr>
        <w:pStyle w:val="berschrift5"/>
        <w:rPr>
          <w:lang w:val="en-GB"/>
        </w:rPr>
      </w:pPr>
      <w:r w:rsidRPr="002121A4">
        <w:rPr>
          <w:lang w:val="en-GB"/>
        </w:rPr>
        <w:t>Prudential framework</w:t>
      </w:r>
      <w:r w:rsidR="005B52CB" w:rsidRPr="002121A4">
        <w:rPr>
          <w:lang w:val="en-GB"/>
        </w:rPr>
        <w:t xml:space="preserve"> for investment firms</w:t>
      </w:r>
    </w:p>
    <w:p w14:paraId="450248CE" w14:textId="78B130CE" w:rsidR="000552CE" w:rsidRPr="002121A4" w:rsidRDefault="00BF4D56" w:rsidP="00043FBA">
      <w:pPr>
        <w:pStyle w:val="Standardwithparanumbering"/>
      </w:pPr>
      <w:r w:rsidRPr="002121A4">
        <w:t xml:space="preserve">Due to the importance of investment firms for the functioning of the capital markets, particular attention is paid by EU regulators </w:t>
      </w:r>
      <w:r w:rsidR="00580B5B">
        <w:t xml:space="preserve">to </w:t>
      </w:r>
      <w:r w:rsidRPr="002121A4">
        <w:t xml:space="preserve">the framework for financial safety and stability of institutions and the broader financial system, also referred to as the “prudential framework”. </w:t>
      </w:r>
      <w:r w:rsidR="004124E4" w:rsidRPr="002121A4">
        <w:t>The prudential framework for investment firms depends on their categorization: large investment firms (class 1 firms) are treated as credit institutions and are subject to the prudential requirements of the banking sector under the CRD IV and CRR. Other investment firms (class 2 and class</w:t>
      </w:r>
      <w:r w:rsidR="00572727" w:rsidRPr="002121A4">
        <w:t> </w:t>
      </w:r>
      <w:r w:rsidR="004124E4" w:rsidRPr="002121A4">
        <w:t xml:space="preserve">3 firms) fall under the prudential regime of the </w:t>
      </w:r>
      <w:r w:rsidR="000552CE" w:rsidRPr="002121A4">
        <w:t>Investment Firms Regulation (IFR)</w:t>
      </w:r>
      <w:r w:rsidR="004124E4" w:rsidRPr="002121A4">
        <w:t xml:space="preserve"> and the</w:t>
      </w:r>
      <w:r w:rsidR="000552CE" w:rsidRPr="002121A4">
        <w:t xml:space="preserve"> Investment Firms Directive (IFD)</w:t>
      </w:r>
      <w:r w:rsidR="004124E4" w:rsidRPr="002121A4">
        <w:t xml:space="preserve">. These requirements are implemented in Germany through the </w:t>
      </w:r>
      <w:proofErr w:type="spellStart"/>
      <w:r w:rsidR="004124E4" w:rsidRPr="002121A4">
        <w:rPr>
          <w:i/>
        </w:rPr>
        <w:t>Kreditwesengesetz</w:t>
      </w:r>
      <w:proofErr w:type="spellEnd"/>
      <w:r w:rsidR="004124E4" w:rsidRPr="002121A4">
        <w:t xml:space="preserve"> (KWG) and the </w:t>
      </w:r>
      <w:proofErr w:type="spellStart"/>
      <w:r w:rsidR="000552CE" w:rsidRPr="002121A4">
        <w:rPr>
          <w:i/>
        </w:rPr>
        <w:t>Wertpapierinstitutsgesetz</w:t>
      </w:r>
      <w:proofErr w:type="spellEnd"/>
      <w:r w:rsidR="000552CE" w:rsidRPr="002121A4">
        <w:t xml:space="preserve"> (</w:t>
      </w:r>
      <w:proofErr w:type="spellStart"/>
      <w:r w:rsidR="000552CE" w:rsidRPr="002121A4">
        <w:t>WpIG</w:t>
      </w:r>
      <w:proofErr w:type="spellEnd"/>
      <w:r w:rsidR="000552CE" w:rsidRPr="002121A4">
        <w:t>)</w:t>
      </w:r>
      <w:r w:rsidR="004124E4" w:rsidRPr="002121A4">
        <w:t>.</w:t>
      </w:r>
    </w:p>
    <w:p w14:paraId="461182C4" w14:textId="3959A02E" w:rsidR="007E063D" w:rsidRPr="002121A4" w:rsidRDefault="002F5360" w:rsidP="00EF3983">
      <w:pPr>
        <w:pStyle w:val="berschrift5"/>
        <w:rPr>
          <w:lang w:val="en-GB"/>
        </w:rPr>
      </w:pPr>
      <w:bookmarkStart w:id="62" w:name="_Ref142408978"/>
      <w:r w:rsidRPr="002121A4">
        <w:rPr>
          <w:lang w:val="en-GB"/>
        </w:rPr>
        <w:t xml:space="preserve">Operating conditions </w:t>
      </w:r>
      <w:r w:rsidR="007E063D" w:rsidRPr="002121A4">
        <w:rPr>
          <w:lang w:val="en-GB"/>
        </w:rPr>
        <w:t>for investment firms under MiFID II</w:t>
      </w:r>
      <w:bookmarkEnd w:id="62"/>
    </w:p>
    <w:p w14:paraId="56EDA8A9" w14:textId="4B177A5E" w:rsidR="009A3275" w:rsidRPr="008A581B" w:rsidRDefault="00030D25" w:rsidP="00030D25">
      <w:pPr>
        <w:pStyle w:val="Standardwithparanumbering"/>
        <w:rPr>
          <w:lang w:val="de-DE"/>
        </w:rPr>
      </w:pPr>
      <w:bookmarkStart w:id="63" w:name="_Ref129706531"/>
      <w:r w:rsidRPr="002121A4">
        <w:t xml:space="preserve">The provision of investment services is regulated at </w:t>
      </w:r>
      <w:r w:rsidR="009A3275" w:rsidRPr="002121A4">
        <w:t xml:space="preserve">EU </w:t>
      </w:r>
      <w:r w:rsidRPr="002121A4">
        <w:t>level through the level 1 texts MiFID</w:t>
      </w:r>
      <w:r w:rsidR="00905B1E" w:rsidRPr="002121A4">
        <w:t> </w:t>
      </w:r>
      <w:r w:rsidRPr="002121A4">
        <w:t xml:space="preserve">II and </w:t>
      </w:r>
      <w:proofErr w:type="spellStart"/>
      <w:r w:rsidRPr="002121A4">
        <w:t>MiFIR</w:t>
      </w:r>
      <w:proofErr w:type="spellEnd"/>
      <w:r w:rsidRPr="002121A4">
        <w:t xml:space="preserve"> and the level 2 </w:t>
      </w:r>
      <w:r w:rsidR="009A3275" w:rsidRPr="002121A4">
        <w:t>technical standards</w:t>
      </w:r>
      <w:r w:rsidRPr="002121A4">
        <w:t>.</w:t>
      </w:r>
      <w:r w:rsidR="00C26114" w:rsidRPr="002121A4">
        <w:t xml:space="preserve"> The core framework is title II of MiFID</w:t>
      </w:r>
      <w:r w:rsidR="00986982" w:rsidRPr="002121A4">
        <w:t xml:space="preserve"> II</w:t>
      </w:r>
      <w:r w:rsidR="00C26114" w:rsidRPr="002121A4">
        <w:t>, dealing with the author</w:t>
      </w:r>
      <w:r w:rsidR="00706D6F" w:rsidRPr="002121A4">
        <w:t>ization</w:t>
      </w:r>
      <w:r w:rsidR="00C26114" w:rsidRPr="002121A4">
        <w:t xml:space="preserve"> and the operating conditions for investment firms (</w:t>
      </w:r>
      <w:r w:rsidR="001870C0" w:rsidRPr="002121A4">
        <w:t>articles </w:t>
      </w:r>
      <w:r w:rsidR="00C26114" w:rsidRPr="002121A4">
        <w:t>5 – 43 MiFID II).</w:t>
      </w:r>
      <w:r w:rsidRPr="002121A4">
        <w:t xml:space="preserve"> </w:t>
      </w:r>
      <w:r w:rsidRPr="008A581B">
        <w:rPr>
          <w:lang w:val="de-DE"/>
        </w:rPr>
        <w:t xml:space="preserve">This </w:t>
      </w:r>
      <w:proofErr w:type="spellStart"/>
      <w:r w:rsidRPr="008A581B">
        <w:rPr>
          <w:lang w:val="de-DE"/>
        </w:rPr>
        <w:t>framework</w:t>
      </w:r>
      <w:proofErr w:type="spellEnd"/>
      <w:r w:rsidRPr="008A581B">
        <w:rPr>
          <w:lang w:val="de-DE"/>
        </w:rPr>
        <w:t xml:space="preserve"> </w:t>
      </w:r>
      <w:proofErr w:type="spellStart"/>
      <w:r w:rsidRPr="008A581B">
        <w:rPr>
          <w:lang w:val="de-DE"/>
        </w:rPr>
        <w:t>is</w:t>
      </w:r>
      <w:proofErr w:type="spellEnd"/>
      <w:r w:rsidRPr="008A581B">
        <w:rPr>
          <w:lang w:val="de-DE"/>
        </w:rPr>
        <w:t xml:space="preserve"> </w:t>
      </w:r>
      <w:proofErr w:type="spellStart"/>
      <w:r w:rsidR="006753E5" w:rsidRPr="008A581B">
        <w:rPr>
          <w:lang w:val="de-DE"/>
        </w:rPr>
        <w:t>i</w:t>
      </w:r>
      <w:r w:rsidRPr="008A581B">
        <w:rPr>
          <w:lang w:val="de-DE"/>
        </w:rPr>
        <w:t>mplemented</w:t>
      </w:r>
      <w:proofErr w:type="spellEnd"/>
      <w:r w:rsidRPr="008A581B">
        <w:rPr>
          <w:lang w:val="de-DE"/>
        </w:rPr>
        <w:t xml:space="preserve"> in Germany </w:t>
      </w:r>
      <w:proofErr w:type="spellStart"/>
      <w:r w:rsidRPr="008A581B">
        <w:rPr>
          <w:lang w:val="de-DE"/>
        </w:rPr>
        <w:t>by</w:t>
      </w:r>
      <w:proofErr w:type="spellEnd"/>
      <w:r w:rsidRPr="008A581B">
        <w:rPr>
          <w:lang w:val="de-DE"/>
        </w:rPr>
        <w:t xml:space="preserve"> </w:t>
      </w:r>
      <w:proofErr w:type="spellStart"/>
      <w:r w:rsidRPr="008A581B">
        <w:rPr>
          <w:lang w:val="de-DE"/>
        </w:rPr>
        <w:t>the</w:t>
      </w:r>
      <w:proofErr w:type="spellEnd"/>
      <w:r w:rsidRPr="008A581B">
        <w:rPr>
          <w:lang w:val="de-DE"/>
        </w:rPr>
        <w:t xml:space="preserve"> </w:t>
      </w:r>
      <w:r w:rsidRPr="008A581B">
        <w:rPr>
          <w:i/>
          <w:lang w:val="de-DE"/>
        </w:rPr>
        <w:t>Wertpapierhandelsgesetz</w:t>
      </w:r>
      <w:r w:rsidRPr="008A581B">
        <w:rPr>
          <w:lang w:val="de-DE"/>
        </w:rPr>
        <w:t xml:space="preserve"> (WpHG), </w:t>
      </w:r>
      <w:proofErr w:type="spellStart"/>
      <w:r w:rsidRPr="008A581B">
        <w:rPr>
          <w:lang w:val="de-DE"/>
        </w:rPr>
        <w:t>the</w:t>
      </w:r>
      <w:proofErr w:type="spellEnd"/>
      <w:r w:rsidRPr="008A581B">
        <w:rPr>
          <w:lang w:val="de-DE"/>
        </w:rPr>
        <w:t xml:space="preserve"> </w:t>
      </w:r>
      <w:r w:rsidR="00AA6224" w:rsidRPr="008A581B">
        <w:rPr>
          <w:i/>
          <w:lang w:val="de-DE"/>
        </w:rPr>
        <w:t>Wertpapierdienstleistungs-Verhaltens- und -Organisationsverordnung</w:t>
      </w:r>
      <w:r w:rsidRPr="008A581B">
        <w:rPr>
          <w:lang w:val="de-DE"/>
        </w:rPr>
        <w:t xml:space="preserve"> (</w:t>
      </w:r>
      <w:proofErr w:type="spellStart"/>
      <w:r w:rsidRPr="008A581B">
        <w:rPr>
          <w:lang w:val="de-DE"/>
        </w:rPr>
        <w:t>WpDVerOV</w:t>
      </w:r>
      <w:proofErr w:type="spellEnd"/>
      <w:r w:rsidRPr="008A581B">
        <w:rPr>
          <w:lang w:val="de-DE"/>
        </w:rPr>
        <w:t xml:space="preserve">), and </w:t>
      </w:r>
      <w:proofErr w:type="spellStart"/>
      <w:r w:rsidR="00E96BB4" w:rsidRPr="008A581B">
        <w:rPr>
          <w:lang w:val="de-DE"/>
        </w:rPr>
        <w:t>BaFin’s</w:t>
      </w:r>
      <w:proofErr w:type="spellEnd"/>
      <w:r w:rsidR="009F77A0" w:rsidRPr="008A581B">
        <w:rPr>
          <w:lang w:val="de-DE"/>
        </w:rPr>
        <w:t xml:space="preserve"> </w:t>
      </w:r>
      <w:r w:rsidRPr="008A581B">
        <w:rPr>
          <w:lang w:val="de-DE"/>
        </w:rPr>
        <w:t>“</w:t>
      </w:r>
      <w:r w:rsidRPr="008A581B">
        <w:rPr>
          <w:i/>
          <w:lang w:val="de-DE"/>
        </w:rPr>
        <w:t>Rundschreiben zu den Mindestanforderungen an die Compliance-Funktion und die weiteren Verhaltens-, Organ</w:t>
      </w:r>
      <w:r w:rsidR="00706D6F" w:rsidRPr="008A581B">
        <w:rPr>
          <w:i/>
          <w:lang w:val="de-DE"/>
        </w:rPr>
        <w:t>i</w:t>
      </w:r>
      <w:r w:rsidR="00AA6224" w:rsidRPr="008A581B">
        <w:rPr>
          <w:i/>
          <w:lang w:val="de-DE"/>
        </w:rPr>
        <w:t>s</w:t>
      </w:r>
      <w:r w:rsidR="00706D6F" w:rsidRPr="008A581B">
        <w:rPr>
          <w:i/>
          <w:lang w:val="de-DE"/>
        </w:rPr>
        <w:t>ation</w:t>
      </w:r>
      <w:r w:rsidRPr="008A581B">
        <w:rPr>
          <w:i/>
          <w:lang w:val="de-DE"/>
        </w:rPr>
        <w:t>s- und Transparenzpflichten für Wertpapierdienstleistungsunternehmen</w:t>
      </w:r>
      <w:r w:rsidR="00F733D7" w:rsidRPr="008A581B">
        <w:rPr>
          <w:lang w:val="de-DE"/>
        </w:rPr>
        <w:t>”</w:t>
      </w:r>
      <w:r w:rsidRPr="008A581B">
        <w:rPr>
          <w:lang w:val="de-DE"/>
        </w:rPr>
        <w:t xml:space="preserve"> (</w:t>
      </w:r>
      <w:proofErr w:type="spellStart"/>
      <w:r w:rsidRPr="008A581B">
        <w:rPr>
          <w:lang w:val="de-DE"/>
        </w:rPr>
        <w:t>MaComp</w:t>
      </w:r>
      <w:proofErr w:type="spellEnd"/>
      <w:r w:rsidRPr="008A581B">
        <w:rPr>
          <w:lang w:val="de-DE"/>
        </w:rPr>
        <w:t>)</w:t>
      </w:r>
      <w:r w:rsidR="00F733D7" w:rsidRPr="008A581B">
        <w:rPr>
          <w:lang w:val="de-DE"/>
        </w:rPr>
        <w:t>.</w:t>
      </w:r>
      <w:bookmarkEnd w:id="63"/>
    </w:p>
    <w:p w14:paraId="08A5D31A" w14:textId="1131EB85" w:rsidR="00E36FE5" w:rsidRPr="002121A4" w:rsidRDefault="00E36FE5" w:rsidP="00EF3983">
      <w:pPr>
        <w:pStyle w:val="berschrift6"/>
        <w:rPr>
          <w:lang w:val="en-GB"/>
        </w:rPr>
      </w:pPr>
      <w:r w:rsidRPr="002121A4">
        <w:rPr>
          <w:lang w:val="en-GB"/>
        </w:rPr>
        <w:t>Conditions and procedures for author</w:t>
      </w:r>
      <w:r w:rsidR="00706D6F" w:rsidRPr="002121A4">
        <w:rPr>
          <w:lang w:val="en-GB"/>
        </w:rPr>
        <w:t>ization</w:t>
      </w:r>
      <w:r w:rsidR="00FA1F1F" w:rsidRPr="002121A4">
        <w:rPr>
          <w:lang w:val="en-GB"/>
        </w:rPr>
        <w:t xml:space="preserve"> (title II, chapter I MiFID II)</w:t>
      </w:r>
    </w:p>
    <w:p w14:paraId="1305C46F" w14:textId="244FB4D7" w:rsidR="00DC64BA" w:rsidRPr="002121A4" w:rsidRDefault="00892C35" w:rsidP="00D77D22">
      <w:pPr>
        <w:pStyle w:val="Standardwithparanumbering"/>
      </w:pPr>
      <w:bookmarkStart w:id="64" w:name="_Ref129706460"/>
      <w:bookmarkStart w:id="65" w:name="_Ref194500513"/>
      <w:r w:rsidRPr="002121A4">
        <w:t>The c</w:t>
      </w:r>
      <w:r w:rsidR="00BD14D0" w:rsidRPr="002121A4">
        <w:t>onditions and procedures for the author</w:t>
      </w:r>
      <w:r w:rsidR="00706D6F" w:rsidRPr="002121A4">
        <w:t>ization</w:t>
      </w:r>
      <w:r w:rsidR="00BD14D0" w:rsidRPr="002121A4">
        <w:t xml:space="preserve"> of investment firms</w:t>
      </w:r>
      <w:r w:rsidRPr="002121A4">
        <w:t xml:space="preserve"> are dealt with by chapter</w:t>
      </w:r>
      <w:r w:rsidR="009E24CD">
        <w:t> </w:t>
      </w:r>
      <w:r w:rsidRPr="002121A4">
        <w:t>I of title II MiFID II (</w:t>
      </w:r>
      <w:r w:rsidR="001870C0" w:rsidRPr="002121A4">
        <w:t>articles </w:t>
      </w:r>
      <w:r w:rsidRPr="002121A4">
        <w:t>5 – 2</w:t>
      </w:r>
      <w:r w:rsidR="00391AEF">
        <w:t>0</w:t>
      </w:r>
      <w:r w:rsidRPr="002121A4">
        <w:t xml:space="preserve"> MiFID II)</w:t>
      </w:r>
      <w:r w:rsidR="00BD14D0" w:rsidRPr="002121A4">
        <w:t xml:space="preserve">. </w:t>
      </w:r>
      <w:r w:rsidR="009E1D54" w:rsidRPr="002121A4">
        <w:t>The provision of investment services and the performance of investment activities as a regular occupation or business on a professional basis is subject to prior author</w:t>
      </w:r>
      <w:r w:rsidR="00706D6F" w:rsidRPr="002121A4">
        <w:t>ization</w:t>
      </w:r>
      <w:r w:rsidR="009E1D54" w:rsidRPr="002121A4">
        <w:t xml:space="preserve"> by the competent authority of the home member State.</w:t>
      </w:r>
      <w:r w:rsidR="009E1D54" w:rsidRPr="002121A4">
        <w:rPr>
          <w:rStyle w:val="Funotenzeichen"/>
        </w:rPr>
        <w:footnoteReference w:id="57"/>
      </w:r>
      <w:r w:rsidR="00D579DC" w:rsidRPr="002121A4">
        <w:t xml:space="preserve"> </w:t>
      </w:r>
      <w:r w:rsidR="00705D7F" w:rsidRPr="002121A4">
        <w:t xml:space="preserve">Subject to the </w:t>
      </w:r>
      <w:r w:rsidR="00705D7F" w:rsidRPr="002121A4">
        <w:lastRenderedPageBreak/>
        <w:t xml:space="preserve">requirements of </w:t>
      </w:r>
      <w:r w:rsidR="001870C0" w:rsidRPr="002121A4">
        <w:t>articles </w:t>
      </w:r>
      <w:r w:rsidR="00705D7F" w:rsidRPr="002121A4">
        <w:t>34ff. MiFID II, investment firms and credit institutions author</w:t>
      </w:r>
      <w:r w:rsidR="00706D6F" w:rsidRPr="002121A4">
        <w:t>ized</w:t>
      </w:r>
      <w:r w:rsidR="00705D7F" w:rsidRPr="002121A4">
        <w:t xml:space="preserve"> in an EU Member State may provide investment services and/or perform investment activities as well as ancillary services throughout the EU, provided that such services and activities are covered by their author</w:t>
      </w:r>
      <w:r w:rsidR="00706D6F" w:rsidRPr="002121A4">
        <w:t>ization</w:t>
      </w:r>
      <w:r w:rsidR="00705D7F" w:rsidRPr="002121A4">
        <w:t>.</w:t>
      </w:r>
      <w:bookmarkEnd w:id="64"/>
      <w:r w:rsidR="0053614A" w:rsidRPr="002121A4">
        <w:rPr>
          <w:rStyle w:val="Funotenzeichen"/>
        </w:rPr>
        <w:footnoteReference w:id="58"/>
      </w:r>
      <w:r w:rsidR="0053614A" w:rsidRPr="002121A4">
        <w:t xml:space="preserve"> The cross-border effect of author</w:t>
      </w:r>
      <w:r w:rsidR="00706D6F" w:rsidRPr="002121A4">
        <w:t>ization</w:t>
      </w:r>
      <w:r w:rsidR="0053614A" w:rsidRPr="002121A4">
        <w:t>s or approvals of NCAs across the EU is often referred to as “</w:t>
      </w:r>
      <w:bookmarkStart w:id="66" w:name="_Hlk130829485"/>
      <w:r w:rsidR="0053614A" w:rsidRPr="002121A4">
        <w:t>passporting”.</w:t>
      </w:r>
      <w:bookmarkEnd w:id="65"/>
      <w:bookmarkEnd w:id="66"/>
    </w:p>
    <w:p w14:paraId="713E7179" w14:textId="0E6A805D" w:rsidR="009E1D54" w:rsidRPr="002121A4" w:rsidRDefault="00AA35A1" w:rsidP="00D77D22">
      <w:pPr>
        <w:pStyle w:val="Standardwithparanumbering"/>
      </w:pPr>
      <w:r w:rsidRPr="002121A4">
        <w:t>Home Member States shall require that investment firms comply with the organ</w:t>
      </w:r>
      <w:r w:rsidR="00706D6F" w:rsidRPr="002121A4">
        <w:t>ization</w:t>
      </w:r>
      <w:r w:rsidRPr="002121A4">
        <w:t xml:space="preserve">al requirements laid down in </w:t>
      </w:r>
      <w:r w:rsidR="001870C0" w:rsidRPr="002121A4">
        <w:t>articles </w:t>
      </w:r>
      <w:r w:rsidRPr="002121A4">
        <w:t>16 and 17 MiFID II (</w:t>
      </w:r>
      <w:r w:rsidR="001870C0" w:rsidRPr="002121A4">
        <w:t>article </w:t>
      </w:r>
      <w:r w:rsidRPr="002121A4">
        <w:t>16(1) MiFID II). These requirements include a system of adequate policies and procedures to ensure that an investment firm’s managers, employees and tied agents comply with MiFID II requirements.</w:t>
      </w:r>
      <w:r w:rsidRPr="002121A4">
        <w:rPr>
          <w:rStyle w:val="Funotenzeichen"/>
        </w:rPr>
        <w:footnoteReference w:id="59"/>
      </w:r>
      <w:r w:rsidRPr="002121A4">
        <w:t xml:space="preserve"> </w:t>
      </w:r>
      <w:r w:rsidR="00D965F7" w:rsidRPr="002121A4">
        <w:t>In particular, a firm has to maintain and operate organ</w:t>
      </w:r>
      <w:r w:rsidR="00706D6F" w:rsidRPr="002121A4">
        <w:t>ization</w:t>
      </w:r>
      <w:r w:rsidR="00D965F7" w:rsidRPr="002121A4">
        <w:t>al and administrative arrangements that prevent conflicts of interests from affecting the interests of the firm’s clients.</w:t>
      </w:r>
      <w:r w:rsidR="00D965F7" w:rsidRPr="002121A4">
        <w:rPr>
          <w:rStyle w:val="Funotenzeichen"/>
        </w:rPr>
        <w:footnoteReference w:id="60"/>
      </w:r>
      <w:r w:rsidR="00F82D10" w:rsidRPr="002121A4">
        <w:t xml:space="preserve"> </w:t>
      </w:r>
      <w:r w:rsidR="00A24EDA" w:rsidRPr="002121A4">
        <w:t>It has to take reasonable steps to ensure business continuity and regularity,</w:t>
      </w:r>
      <w:r w:rsidR="00A24EDA" w:rsidRPr="002121A4">
        <w:rPr>
          <w:rStyle w:val="Funotenzeichen"/>
        </w:rPr>
        <w:footnoteReference w:id="61"/>
      </w:r>
      <w:r w:rsidR="00A24EDA" w:rsidRPr="002121A4">
        <w:t xml:space="preserve"> avoid undue operational risks when outsourcing critical operational functions to third parties, and keep records of all services, activities and transactions undertaken by it in a way sufficient to ascertain compliance with obligations with respect to potential </w:t>
      </w:r>
      <w:r w:rsidR="00FA1F1F" w:rsidRPr="002121A4">
        <w:t xml:space="preserve">and existing </w:t>
      </w:r>
      <w:r w:rsidR="00A24EDA" w:rsidRPr="002121A4">
        <w:t>clients and the integrity of the market.</w:t>
      </w:r>
      <w:r w:rsidR="00A24EDA" w:rsidRPr="002121A4">
        <w:rPr>
          <w:rStyle w:val="Funotenzeichen"/>
        </w:rPr>
        <w:footnoteReference w:id="62"/>
      </w:r>
    </w:p>
    <w:p w14:paraId="2C12CF96" w14:textId="25269D7A" w:rsidR="00F82D10" w:rsidRPr="002121A4" w:rsidRDefault="00F82D10" w:rsidP="000F7A99">
      <w:pPr>
        <w:pStyle w:val="Standardwithparanumbering"/>
      </w:pPr>
      <w:bookmarkStart w:id="67" w:name="_Ref125447863"/>
      <w:r w:rsidRPr="002121A4">
        <w:t>Specific requirements apply to investment firms that “manufacture financial instruments for sale to clients”</w:t>
      </w:r>
      <w:r w:rsidR="00DC64BA" w:rsidRPr="002121A4">
        <w:t>. M</w:t>
      </w:r>
      <w:r w:rsidRPr="002121A4">
        <w:t>anufacturers have to maintain, operate and review a “process for the approval” of financial instruments</w:t>
      </w:r>
      <w:r w:rsidR="00DC64BA" w:rsidRPr="002121A4">
        <w:t>,</w:t>
      </w:r>
      <w:r w:rsidRPr="002121A4">
        <w:rPr>
          <w:rStyle w:val="Funotenzeichen"/>
        </w:rPr>
        <w:footnoteReference w:id="63"/>
      </w:r>
      <w:r w:rsidR="00DC64BA" w:rsidRPr="002121A4">
        <w:t xml:space="preserve"> a requirement often referred to as “product governance”.</w:t>
      </w:r>
      <w:r w:rsidRPr="002121A4">
        <w:t xml:space="preserve"> </w:t>
      </w:r>
      <w:r w:rsidR="00DC64BA" w:rsidRPr="002121A4">
        <w:t>For the purpose of product governance, manufacturers include “investment firms that create, develop, issue and/or design financial instruments, including when advising corporate issuers on the launch of new financial instruments”.</w:t>
      </w:r>
      <w:r w:rsidR="00DC64BA" w:rsidRPr="002121A4">
        <w:rPr>
          <w:rStyle w:val="Funotenzeichen"/>
        </w:rPr>
        <w:footnoteReference w:id="64"/>
      </w:r>
      <w:r w:rsidR="004E4C45" w:rsidRPr="002121A4">
        <w:t xml:space="preserve"> In their </w:t>
      </w:r>
      <w:r w:rsidR="00A0302B" w:rsidRPr="002121A4">
        <w:t>product approval process</w:t>
      </w:r>
      <w:r w:rsidR="004E4C45" w:rsidRPr="002121A4">
        <w:t>, manufacturers</w:t>
      </w:r>
      <w:r w:rsidR="00A0302B" w:rsidRPr="002121A4">
        <w:t xml:space="preserve"> shall specify an “identified target market of end clients” for each financial instrument, identify relevant risks for the target market, and make sure the distribution strategy is consistent with the identified target market.</w:t>
      </w:r>
      <w:r w:rsidR="00A0302B" w:rsidRPr="002121A4">
        <w:rPr>
          <w:rStyle w:val="Funotenzeichen"/>
        </w:rPr>
        <w:footnoteReference w:id="65"/>
      </w:r>
      <w:r w:rsidR="003227F0" w:rsidRPr="002121A4">
        <w:t xml:space="preserve"> Manufacturers must make available information on the product approval process to distributors, and distributors must make sure they obtain product approval process information.</w:t>
      </w:r>
      <w:r w:rsidR="003227F0" w:rsidRPr="002121A4">
        <w:rPr>
          <w:rStyle w:val="Funotenzeichen"/>
        </w:rPr>
        <w:footnoteReference w:id="66"/>
      </w:r>
      <w:bookmarkEnd w:id="67"/>
      <w:r w:rsidR="000519A9" w:rsidRPr="002121A4">
        <w:t xml:space="preserve"> </w:t>
      </w:r>
    </w:p>
    <w:p w14:paraId="67B80DD7" w14:textId="2499C520" w:rsidR="00E36FE5" w:rsidRPr="002121A4" w:rsidRDefault="00E36FE5" w:rsidP="00EF3983">
      <w:pPr>
        <w:pStyle w:val="berschrift6"/>
        <w:rPr>
          <w:lang w:val="en-GB"/>
        </w:rPr>
      </w:pPr>
      <w:r w:rsidRPr="002121A4">
        <w:rPr>
          <w:lang w:val="en-GB"/>
        </w:rPr>
        <w:t>Operating conditions</w:t>
      </w:r>
      <w:r w:rsidR="00B8163E" w:rsidRPr="002121A4">
        <w:rPr>
          <w:lang w:val="en-GB"/>
        </w:rPr>
        <w:t xml:space="preserve"> (title II, chapter II MiFID II)</w:t>
      </w:r>
    </w:p>
    <w:p w14:paraId="28728C64" w14:textId="361D5C8F" w:rsidR="00525B1C" w:rsidRPr="002121A4" w:rsidRDefault="0076498F" w:rsidP="00525B1C">
      <w:pPr>
        <w:pStyle w:val="Standardwithparanumbering"/>
      </w:pPr>
      <w:bookmarkStart w:id="68" w:name="_Ref125449957"/>
      <w:r w:rsidRPr="002121A4">
        <w:t xml:space="preserve">The </w:t>
      </w:r>
      <w:r w:rsidR="003C5268" w:rsidRPr="002121A4">
        <w:t xml:space="preserve">operating conditions for the </w:t>
      </w:r>
      <w:r w:rsidRPr="002121A4">
        <w:t>provision of</w:t>
      </w:r>
      <w:r w:rsidR="0056507B" w:rsidRPr="002121A4">
        <w:t xml:space="preserve"> i</w:t>
      </w:r>
      <w:r w:rsidR="00D840A3" w:rsidRPr="002121A4">
        <w:t>nvestment services</w:t>
      </w:r>
      <w:r w:rsidR="00CC5D42" w:rsidRPr="002121A4">
        <w:t xml:space="preserve"> </w:t>
      </w:r>
      <w:r w:rsidR="003C5268" w:rsidRPr="002121A4">
        <w:t xml:space="preserve">are </w:t>
      </w:r>
      <w:r w:rsidR="00CC5D42" w:rsidRPr="002121A4">
        <w:t>dealt with by title II, chapter</w:t>
      </w:r>
      <w:r w:rsidR="007D309B" w:rsidRPr="002121A4">
        <w:t> </w:t>
      </w:r>
      <w:r w:rsidR="00CC5D42" w:rsidRPr="002121A4">
        <w:t>II of MiFID II (</w:t>
      </w:r>
      <w:r w:rsidR="001870C0" w:rsidRPr="002121A4">
        <w:t>articles </w:t>
      </w:r>
      <w:r w:rsidR="00CC5D42" w:rsidRPr="002121A4">
        <w:t>2</w:t>
      </w:r>
      <w:r w:rsidR="00391AEF">
        <w:t>1</w:t>
      </w:r>
      <w:r w:rsidR="00CC5D42" w:rsidRPr="002121A4">
        <w:t xml:space="preserve">–33 MiFID II). </w:t>
      </w:r>
      <w:r w:rsidR="0056507B" w:rsidRPr="002121A4">
        <w:t>The general provisions of this chapter require that an investment firm complies at all times with the conditions for initial author</w:t>
      </w:r>
      <w:r w:rsidR="00706D6F" w:rsidRPr="002121A4">
        <w:t>ization</w:t>
      </w:r>
      <w:r w:rsidR="00BF3EC8" w:rsidRPr="002121A4">
        <w:t xml:space="preserve"> as described </w:t>
      </w:r>
      <w:r w:rsidR="00587E90" w:rsidRPr="002121A4">
        <w:t>in</w:t>
      </w:r>
      <w:r w:rsidR="00BF3EC8" w:rsidRPr="002121A4">
        <w:t xml:space="preserve"> </w:t>
      </w:r>
      <w:r w:rsidR="00BF3EC8" w:rsidRPr="002121A4">
        <w:lastRenderedPageBreak/>
        <w:t>paras </w:t>
      </w:r>
      <w:r w:rsidR="00BF3EC8" w:rsidRPr="002121A4">
        <w:fldChar w:fldCharType="begin"/>
      </w:r>
      <w:r w:rsidR="00BF3EC8" w:rsidRPr="002121A4">
        <w:instrText xml:space="preserve"> REF _Ref129706460 \r \h </w:instrText>
      </w:r>
      <w:r w:rsidR="00BF3EC8" w:rsidRPr="002121A4">
        <w:fldChar w:fldCharType="separate"/>
      </w:r>
      <w:r w:rsidR="00D56145">
        <w:t>56</w:t>
      </w:r>
      <w:r w:rsidR="00BF3EC8" w:rsidRPr="002121A4">
        <w:fldChar w:fldCharType="end"/>
      </w:r>
      <w:r w:rsidR="00587E90" w:rsidRPr="002121A4">
        <w:t> </w:t>
      </w:r>
      <w:r w:rsidR="00BF3EC8" w:rsidRPr="002121A4">
        <w:t>ff</w:t>
      </w:r>
      <w:r w:rsidR="0056507B" w:rsidRPr="002121A4">
        <w:t>.</w:t>
      </w:r>
      <w:r w:rsidR="00587E90" w:rsidRPr="002121A4">
        <w:t xml:space="preserve"> above.</w:t>
      </w:r>
      <w:r w:rsidR="0056507B" w:rsidRPr="002121A4">
        <w:rPr>
          <w:rStyle w:val="Funotenzeichen"/>
        </w:rPr>
        <w:footnoteReference w:id="67"/>
      </w:r>
      <w:r w:rsidR="0056507B" w:rsidRPr="002121A4">
        <w:t xml:space="preserve"> Compliance with these conditions and the operating conditions under MiFID</w:t>
      </w:r>
      <w:r w:rsidR="007D309B" w:rsidRPr="002121A4">
        <w:t> </w:t>
      </w:r>
      <w:r w:rsidR="0056507B" w:rsidRPr="002121A4">
        <w:t>II is monitored by the national competent authorities.</w:t>
      </w:r>
      <w:r w:rsidR="0056507B" w:rsidRPr="002121A4">
        <w:rPr>
          <w:rStyle w:val="Funotenzeichen"/>
        </w:rPr>
        <w:footnoteReference w:id="68"/>
      </w:r>
      <w:bookmarkEnd w:id="68"/>
      <w:r w:rsidR="0056507B" w:rsidRPr="002121A4">
        <w:t xml:space="preserve"> </w:t>
      </w:r>
    </w:p>
    <w:p w14:paraId="23F6F03D" w14:textId="01A8399D" w:rsidR="00244593" w:rsidRPr="002121A4" w:rsidRDefault="00525B1C" w:rsidP="00525B1C">
      <w:pPr>
        <w:pStyle w:val="Standardwithparanumbering"/>
      </w:pPr>
      <w:r w:rsidRPr="002121A4">
        <w:t xml:space="preserve">The operating conditions deal extensively with </w:t>
      </w:r>
      <w:r w:rsidR="009F4394" w:rsidRPr="002121A4">
        <w:t xml:space="preserve">conflicts of interests and other </w:t>
      </w:r>
      <w:r w:rsidRPr="002121A4">
        <w:t>issues of investor protection</w:t>
      </w:r>
      <w:r w:rsidR="00EB40CE" w:rsidRPr="002121A4">
        <w:t>:</w:t>
      </w:r>
      <w:r w:rsidRPr="002121A4">
        <w:t xml:space="preserve"> </w:t>
      </w:r>
      <w:r w:rsidR="001870C0" w:rsidRPr="002121A4">
        <w:t>Article </w:t>
      </w:r>
      <w:r w:rsidR="00612164" w:rsidRPr="002121A4">
        <w:t xml:space="preserve">23(1) </w:t>
      </w:r>
      <w:r w:rsidR="00C911A6" w:rsidRPr="002121A4">
        <w:t>M</w:t>
      </w:r>
      <w:r w:rsidR="00612164" w:rsidRPr="002121A4">
        <w:t>iFID II requires firms to take all appropr</w:t>
      </w:r>
      <w:r w:rsidR="00C911A6" w:rsidRPr="002121A4">
        <w:t>ia</w:t>
      </w:r>
      <w:r w:rsidR="00612164" w:rsidRPr="002121A4">
        <w:t>te steps to identify, and prevent or manage conflicts of interests between themselves and their staff or associated persons on the one hand and their clients</w:t>
      </w:r>
      <w:r w:rsidR="00035259" w:rsidRPr="002121A4">
        <w:t xml:space="preserve"> on the other</w:t>
      </w:r>
      <w:r w:rsidR="00612164" w:rsidRPr="002121A4">
        <w:t>, or between clients. Where</w:t>
      </w:r>
      <w:r w:rsidR="00C911A6" w:rsidRPr="002121A4">
        <w:t xml:space="preserve"> </w:t>
      </w:r>
      <w:r w:rsidR="00612164" w:rsidRPr="002121A4">
        <w:t xml:space="preserve">risks of damage to client interests cannot be prevented with reasonable confidence, this has to be clearly disclosed to clients (general nature of conflicts of interest, mitigation steps taken), </w:t>
      </w:r>
      <w:r w:rsidR="001870C0" w:rsidRPr="002121A4">
        <w:t>article </w:t>
      </w:r>
      <w:r w:rsidR="00612164" w:rsidRPr="002121A4">
        <w:t xml:space="preserve">23(2) MiFID II. </w:t>
      </w:r>
    </w:p>
    <w:p w14:paraId="33B8856A" w14:textId="127CD9F9" w:rsidR="00612164" w:rsidRPr="002121A4" w:rsidRDefault="00244593" w:rsidP="00525B1C">
      <w:pPr>
        <w:pStyle w:val="Standardwithparanumbering"/>
      </w:pPr>
      <w:r w:rsidRPr="002121A4">
        <w:t xml:space="preserve">General principles of investor protection are contained in </w:t>
      </w:r>
      <w:r w:rsidR="001870C0" w:rsidRPr="002121A4">
        <w:t>article </w:t>
      </w:r>
      <w:r w:rsidRPr="002121A4">
        <w:t xml:space="preserve">24 MiFID II (implemented in German law in § 63 </w:t>
      </w:r>
      <w:proofErr w:type="spellStart"/>
      <w:r w:rsidRPr="002121A4">
        <w:t>WpHG</w:t>
      </w:r>
      <w:proofErr w:type="spellEnd"/>
      <w:r w:rsidRPr="002121A4">
        <w:t>). As a general rule, a</w:t>
      </w:r>
      <w:r w:rsidR="00EB40CE" w:rsidRPr="002121A4">
        <w:t>n investment firm must act honestly, fairly and professionally in accordance with the best interests of its clients.</w:t>
      </w:r>
      <w:r w:rsidR="00EB40CE" w:rsidRPr="002121A4">
        <w:rPr>
          <w:rStyle w:val="Funotenzeichen"/>
        </w:rPr>
        <w:footnoteReference w:id="69"/>
      </w:r>
      <w:r w:rsidR="004F75CF" w:rsidRPr="002121A4">
        <w:t xml:space="preserve"> </w:t>
      </w:r>
      <w:r w:rsidR="00DB63BC" w:rsidRPr="002121A4">
        <w:t xml:space="preserve">An investment firm shall assess the compatibility of the financial instruments with the needs of </w:t>
      </w:r>
      <w:r w:rsidR="0040548D" w:rsidRPr="002121A4">
        <w:t xml:space="preserve">its </w:t>
      </w:r>
      <w:r w:rsidR="00DB63BC" w:rsidRPr="002121A4">
        <w:t xml:space="preserve">clients, taking account of the target market </w:t>
      </w:r>
      <w:r w:rsidR="0040548D" w:rsidRPr="002121A4">
        <w:t>identified in the product approval process (</w:t>
      </w:r>
      <w:r w:rsidR="00BA05A1" w:rsidRPr="002121A4">
        <w:t>see</w:t>
      </w:r>
      <w:r w:rsidR="0040548D" w:rsidRPr="002121A4">
        <w:t xml:space="preserve"> para. </w:t>
      </w:r>
      <w:r w:rsidR="0040548D" w:rsidRPr="002121A4">
        <w:fldChar w:fldCharType="begin"/>
      </w:r>
      <w:r w:rsidR="0040548D" w:rsidRPr="002121A4">
        <w:instrText xml:space="preserve"> REF _Ref125447863 \r \h </w:instrText>
      </w:r>
      <w:r w:rsidR="0040548D" w:rsidRPr="002121A4">
        <w:fldChar w:fldCharType="separate"/>
      </w:r>
      <w:r w:rsidR="00D56145">
        <w:t>58</w:t>
      </w:r>
      <w:r w:rsidR="0040548D" w:rsidRPr="002121A4">
        <w:fldChar w:fldCharType="end"/>
      </w:r>
      <w:r w:rsidR="00BA05A1" w:rsidRPr="002121A4">
        <w:t xml:space="preserve"> above</w:t>
      </w:r>
      <w:r w:rsidR="00DB63BC" w:rsidRPr="002121A4">
        <w:t>), and ensure that financial instruments are offered or recommended only when this is in the interest of the client.</w:t>
      </w:r>
      <w:r w:rsidR="00DB63BC" w:rsidRPr="002121A4">
        <w:rPr>
          <w:rStyle w:val="Funotenzeichen"/>
        </w:rPr>
        <w:footnoteReference w:id="70"/>
      </w:r>
      <w:r w:rsidR="00DB63BC" w:rsidRPr="002121A4">
        <w:t xml:space="preserve"> </w:t>
      </w:r>
      <w:r w:rsidR="004F75CF" w:rsidRPr="002121A4">
        <w:t>All information that an investment firm addresses to clients or potential clients shall be fair, clear and not misleading.</w:t>
      </w:r>
      <w:r w:rsidR="004F75CF" w:rsidRPr="002121A4">
        <w:rPr>
          <w:rStyle w:val="Funotenzeichen"/>
        </w:rPr>
        <w:footnoteReference w:id="71"/>
      </w:r>
      <w:r w:rsidR="008014D6" w:rsidRPr="002121A4">
        <w:t xml:space="preserve"> It must include specific details relating to investment advice provided, financial instruments and proposed investment strategies, as well as costs and associated charges.</w:t>
      </w:r>
      <w:r w:rsidR="008014D6" w:rsidRPr="002121A4">
        <w:rPr>
          <w:rStyle w:val="Funotenzeichen"/>
        </w:rPr>
        <w:footnoteReference w:id="72"/>
      </w:r>
      <w:r w:rsidR="004F75CF" w:rsidRPr="002121A4">
        <w:t xml:space="preserve"> </w:t>
      </w:r>
      <w:r w:rsidR="000202CD" w:rsidRPr="002121A4">
        <w:t>Such information must be comprehensible so that recipients are reasonably able to understand the nature and risks of the investment service and the specific type of financial instrument offered.</w:t>
      </w:r>
      <w:r w:rsidR="000202CD" w:rsidRPr="002121A4">
        <w:rPr>
          <w:rStyle w:val="Funotenzeichen"/>
        </w:rPr>
        <w:footnoteReference w:id="73"/>
      </w:r>
    </w:p>
    <w:p w14:paraId="55A40227" w14:textId="276B833A" w:rsidR="00215B48" w:rsidRPr="002121A4" w:rsidRDefault="009971FB" w:rsidP="00C91F9E">
      <w:pPr>
        <w:pStyle w:val="Standardwithparanumbering"/>
      </w:pPr>
      <w:r w:rsidRPr="002121A4">
        <w:t>Under MiFID II, investment firms must assess the suitability of products and appropriateness of services (</w:t>
      </w:r>
      <w:r w:rsidR="001870C0" w:rsidRPr="002121A4">
        <w:t>article </w:t>
      </w:r>
      <w:r w:rsidRPr="002121A4">
        <w:t>25 MiFID II</w:t>
      </w:r>
      <w:r w:rsidR="00E00D20" w:rsidRPr="002121A4">
        <w:t xml:space="preserve">, § 64 </w:t>
      </w:r>
      <w:proofErr w:type="spellStart"/>
      <w:r w:rsidR="00E00D20" w:rsidRPr="002121A4">
        <w:t>WpHG</w:t>
      </w:r>
      <w:proofErr w:type="spellEnd"/>
      <w:r w:rsidRPr="002121A4">
        <w:t>). To that end, firms must make sure that natural persons involved have the necessary knowledge and competence.</w:t>
      </w:r>
      <w:r w:rsidRPr="002121A4">
        <w:rPr>
          <w:rStyle w:val="Funotenzeichen"/>
        </w:rPr>
        <w:footnoteReference w:id="74"/>
      </w:r>
      <w:r w:rsidRPr="002121A4">
        <w:t xml:space="preserve"> </w:t>
      </w:r>
      <w:r w:rsidR="00E00D20" w:rsidRPr="002121A4">
        <w:t xml:space="preserve">When providing investment advice or portfolio management, a firm must obtain information on the client’s knowledge and experience that enables it to recommend services and instruments </w:t>
      </w:r>
      <w:r w:rsidR="00AA7C4B" w:rsidRPr="002121A4">
        <w:t>“</w:t>
      </w:r>
      <w:r w:rsidR="00E00D20" w:rsidRPr="002121A4">
        <w:t>suitable</w:t>
      </w:r>
      <w:r w:rsidR="00AA7C4B" w:rsidRPr="002121A4">
        <w:t>”</w:t>
      </w:r>
      <w:r w:rsidR="00E00D20" w:rsidRPr="002121A4">
        <w:t xml:space="preserve"> to the particular client (in particular, as regards risk tolerance and loss bearing ability).</w:t>
      </w:r>
      <w:r w:rsidR="0015567B" w:rsidRPr="002121A4">
        <w:rPr>
          <w:rStyle w:val="Funotenzeichen"/>
        </w:rPr>
        <w:footnoteReference w:id="75"/>
      </w:r>
      <w:r w:rsidR="00E00D20" w:rsidRPr="002121A4">
        <w:t xml:space="preserve"> </w:t>
      </w:r>
      <w:r w:rsidR="00AA7C4B" w:rsidRPr="002121A4">
        <w:t>In the context of services other than advice and portfolio management, firms must obtain information enabling it to assess whether the service is “appropriate” for the client.</w:t>
      </w:r>
      <w:r w:rsidR="00AA7C4B" w:rsidRPr="002121A4">
        <w:rPr>
          <w:rStyle w:val="Funotenzeichen"/>
        </w:rPr>
        <w:footnoteReference w:id="76"/>
      </w:r>
      <w:r w:rsidR="00AA7C4B" w:rsidRPr="002121A4">
        <w:t xml:space="preserve"> </w:t>
      </w:r>
    </w:p>
    <w:p w14:paraId="264F0107" w14:textId="78D57C86" w:rsidR="002E29B6" w:rsidRPr="002121A4" w:rsidRDefault="00D36D88" w:rsidP="00E43DD7">
      <w:pPr>
        <w:pStyle w:val="Standardwithparanumbering"/>
      </w:pPr>
      <w:bookmarkStart w:id="69" w:name="_Ref130829903"/>
      <w:r w:rsidRPr="002121A4">
        <w:t xml:space="preserve">The operating conditions are somewhat attenuated where an investment firm provides services to professional clients as defined in Annex II MiFID II. Most importantly, the suitability assessment required under </w:t>
      </w:r>
      <w:r w:rsidR="001870C0" w:rsidRPr="002121A4">
        <w:t>article </w:t>
      </w:r>
      <w:r w:rsidRPr="002121A4">
        <w:t>25(2) MiFID II does not apply to services provided to professional clients, unless they inform the investment firm that they wish to benefit from the rights provided for in those provisions.</w:t>
      </w:r>
      <w:r w:rsidRPr="002121A4">
        <w:rPr>
          <w:rStyle w:val="Funotenzeichen"/>
        </w:rPr>
        <w:footnoteReference w:id="77"/>
      </w:r>
      <w:r w:rsidR="00581CF1" w:rsidRPr="002121A4">
        <w:t xml:space="preserve"> </w:t>
      </w:r>
      <w:r w:rsidR="00FA4B01" w:rsidRPr="002121A4">
        <w:t xml:space="preserve">Even less stringent conditions </w:t>
      </w:r>
      <w:r w:rsidR="000C03F5" w:rsidRPr="002121A4">
        <w:t xml:space="preserve">apply </w:t>
      </w:r>
      <w:r w:rsidR="00FA4B01" w:rsidRPr="002121A4">
        <w:t xml:space="preserve">to eligible counterparties, in particular </w:t>
      </w:r>
      <w:r w:rsidR="00FA4B01" w:rsidRPr="002121A4">
        <w:lastRenderedPageBreak/>
        <w:t>investment firms, credit institutions, insurance companies as well as UCITS and their management companies.</w:t>
      </w:r>
      <w:r w:rsidR="00FA4B01" w:rsidRPr="002121A4">
        <w:rPr>
          <w:rStyle w:val="Funotenzeichen"/>
        </w:rPr>
        <w:footnoteReference w:id="78"/>
      </w:r>
      <w:r w:rsidR="00FA4B01" w:rsidRPr="002121A4">
        <w:t xml:space="preserve"> Investment firms </w:t>
      </w:r>
      <w:r w:rsidRPr="002121A4">
        <w:t>author</w:t>
      </w:r>
      <w:r w:rsidR="00706D6F" w:rsidRPr="002121A4">
        <w:t>ized</w:t>
      </w:r>
      <w:r w:rsidRPr="002121A4">
        <w:t xml:space="preserve"> to execute </w:t>
      </w:r>
      <w:r w:rsidR="00FA4B01" w:rsidRPr="002121A4">
        <w:t xml:space="preserve">client </w:t>
      </w:r>
      <w:r w:rsidRPr="002121A4">
        <w:t xml:space="preserve">orders, to deal on own account, and/or to receive and transmit orders </w:t>
      </w:r>
      <w:r w:rsidR="00FA4B01" w:rsidRPr="002121A4">
        <w:t xml:space="preserve">may enter </w:t>
      </w:r>
      <w:r w:rsidRPr="002121A4">
        <w:t xml:space="preserve">into transactions with eligible counterparties without being obliged to comply with </w:t>
      </w:r>
      <w:r w:rsidR="00FA4B01" w:rsidRPr="002121A4">
        <w:t xml:space="preserve">most of the operating conditions under </w:t>
      </w:r>
      <w:r w:rsidR="001870C0" w:rsidRPr="002121A4">
        <w:t>articles </w:t>
      </w:r>
      <w:r w:rsidRPr="002121A4">
        <w:t>24</w:t>
      </w:r>
      <w:r w:rsidR="00FA4B01" w:rsidRPr="002121A4">
        <w:t xml:space="preserve"> and </w:t>
      </w:r>
      <w:r w:rsidRPr="002121A4">
        <w:t>25</w:t>
      </w:r>
      <w:r w:rsidR="006E47F9" w:rsidRPr="002121A4">
        <w:t xml:space="preserve"> MiFID II</w:t>
      </w:r>
      <w:r w:rsidRPr="002121A4">
        <w:t>.</w:t>
      </w:r>
      <w:r w:rsidR="00FA4B01" w:rsidRPr="002121A4">
        <w:rPr>
          <w:rStyle w:val="Funotenzeichen"/>
        </w:rPr>
        <w:footnoteReference w:id="79"/>
      </w:r>
      <w:bookmarkEnd w:id="69"/>
    </w:p>
    <w:p w14:paraId="04F9001E" w14:textId="77777777" w:rsidR="00A24F76" w:rsidRPr="002121A4" w:rsidRDefault="00A24F76" w:rsidP="00EF3983">
      <w:pPr>
        <w:pStyle w:val="berschrift4"/>
        <w:rPr>
          <w:lang w:val="en-GB"/>
        </w:rPr>
      </w:pPr>
      <w:r w:rsidRPr="002121A4">
        <w:rPr>
          <w:lang w:val="en-GB"/>
        </w:rPr>
        <w:t>Enforcement regime</w:t>
      </w:r>
    </w:p>
    <w:p w14:paraId="48833A8E" w14:textId="01280A3F" w:rsidR="00D2022C" w:rsidRPr="002121A4" w:rsidRDefault="00A24F76" w:rsidP="006C265A">
      <w:pPr>
        <w:pStyle w:val="Standardwithparanumbering"/>
      </w:pPr>
      <w:bookmarkStart w:id="70" w:name="_Ref130830109"/>
      <w:r w:rsidRPr="002121A4">
        <w:t>Public enforcement of MiFID II requirements takes place primarily through NCAs monitor</w:t>
      </w:r>
      <w:r w:rsidR="000C03F5" w:rsidRPr="002121A4">
        <w:t>ing</w:t>
      </w:r>
      <w:r w:rsidRPr="002121A4">
        <w:t xml:space="preserve"> investment firms’ compliance with conditions for initial author</w:t>
      </w:r>
      <w:r w:rsidR="00706D6F" w:rsidRPr="002121A4">
        <w:t>ization</w:t>
      </w:r>
      <w:r w:rsidRPr="002121A4">
        <w:t xml:space="preserve"> and with operating conditions (</w:t>
      </w:r>
      <w:r w:rsidR="00BA05A1" w:rsidRPr="002121A4">
        <w:t xml:space="preserve">see </w:t>
      </w:r>
      <w:r w:rsidRPr="002121A4">
        <w:t>para</w:t>
      </w:r>
      <w:r w:rsidR="00B64D41">
        <w:t>s</w:t>
      </w:r>
      <w:r w:rsidRPr="002121A4">
        <w:t> </w:t>
      </w:r>
      <w:r w:rsidR="00B64D41">
        <w:fldChar w:fldCharType="begin"/>
      </w:r>
      <w:r w:rsidR="00B64D41">
        <w:instrText xml:space="preserve"> REF _Ref194500513 \r \h </w:instrText>
      </w:r>
      <w:r w:rsidR="00B64D41">
        <w:fldChar w:fldCharType="separate"/>
      </w:r>
      <w:r w:rsidR="00D56145">
        <w:t>56</w:t>
      </w:r>
      <w:r w:rsidR="00B64D41">
        <w:fldChar w:fldCharType="end"/>
      </w:r>
      <w:r w:rsidR="00B64D41">
        <w:t xml:space="preserve">ff. and </w:t>
      </w:r>
      <w:r w:rsidRPr="002121A4">
        <w:fldChar w:fldCharType="begin"/>
      </w:r>
      <w:r w:rsidRPr="002121A4">
        <w:instrText xml:space="preserve"> REF _Ref125449957 \r \h </w:instrText>
      </w:r>
      <w:r w:rsidRPr="002121A4">
        <w:fldChar w:fldCharType="separate"/>
      </w:r>
      <w:r w:rsidR="00D56145">
        <w:t>59</w:t>
      </w:r>
      <w:r w:rsidRPr="002121A4">
        <w:fldChar w:fldCharType="end"/>
      </w:r>
      <w:r w:rsidR="00B64D41">
        <w:t>ff.</w:t>
      </w:r>
      <w:r w:rsidR="00BA05A1" w:rsidRPr="002121A4">
        <w:t xml:space="preserve"> above</w:t>
      </w:r>
      <w:r w:rsidRPr="002121A4">
        <w:t xml:space="preserve">). </w:t>
      </w:r>
      <w:r w:rsidR="00D2022C" w:rsidRPr="002121A4">
        <w:t>A</w:t>
      </w:r>
      <w:r w:rsidR="00315D85" w:rsidRPr="002121A4">
        <w:t>s regards supervisory powers, a</w:t>
      </w:r>
      <w:r w:rsidR="00D2022C" w:rsidRPr="002121A4">
        <w:t>rticle 69(2) MiFID</w:t>
      </w:r>
      <w:r w:rsidR="007D309B" w:rsidRPr="002121A4">
        <w:t xml:space="preserve"> II</w:t>
      </w:r>
      <w:r w:rsidR="00D2022C" w:rsidRPr="002121A4">
        <w:t xml:space="preserve"> requires domestic legislation to confer a vast array of powers to NCAs, including access to documents and data, on-site inspections or investigations, auditor or expert investigations, orders for the temporary or permanent cessation of practice or conduct in breach of </w:t>
      </w:r>
      <w:proofErr w:type="spellStart"/>
      <w:r w:rsidR="00D2022C" w:rsidRPr="002121A4">
        <w:t>MiFIR</w:t>
      </w:r>
      <w:proofErr w:type="spellEnd"/>
      <w:r w:rsidR="00D2022C" w:rsidRPr="002121A4">
        <w:t xml:space="preserve"> or legislation implementing MiFID II, measures to ensure compliance with legal requirements, suspend trading in a financial instrument. Similar provisions exist under other major EU legislative acts in the area of capital markets law.</w:t>
      </w:r>
      <w:r w:rsidR="00D2022C" w:rsidRPr="002121A4">
        <w:rPr>
          <w:rStyle w:val="Funotenzeichen"/>
        </w:rPr>
        <w:footnoteReference w:id="80"/>
      </w:r>
      <w:r w:rsidR="00D2022C" w:rsidRPr="002121A4">
        <w:t xml:space="preserve"> </w:t>
      </w:r>
    </w:p>
    <w:p w14:paraId="76C5D205" w14:textId="38B380D6" w:rsidR="00315D85" w:rsidRPr="002121A4" w:rsidRDefault="00315D85" w:rsidP="006C265A">
      <w:pPr>
        <w:pStyle w:val="Standardwithparanumbering"/>
      </w:pPr>
      <w:r w:rsidRPr="002121A4">
        <w:t>Sanctions for infringements are dealt with by article 70 MiFID II. Typical sanctions include public statements as regards infringements, cease and desist orders as well as administrative fines</w:t>
      </w:r>
      <w:r w:rsidR="007D309B" w:rsidRPr="002121A4">
        <w:t>.</w:t>
      </w:r>
      <w:r w:rsidR="007C0222" w:rsidRPr="002121A4">
        <w:rPr>
          <w:rStyle w:val="Funotenzeichen"/>
        </w:rPr>
        <w:footnoteReference w:id="81"/>
      </w:r>
      <w:r w:rsidR="007D309B" w:rsidRPr="002121A4">
        <w:t xml:space="preserve"> In case of </w:t>
      </w:r>
      <w:r w:rsidRPr="002121A4">
        <w:t>legal persons</w:t>
      </w:r>
      <w:r w:rsidR="007D309B" w:rsidRPr="002121A4">
        <w:t>, the maximum amount of fines is</w:t>
      </w:r>
      <w:r w:rsidRPr="002121A4">
        <w:t xml:space="preserve"> turn-over related.</w:t>
      </w:r>
      <w:r w:rsidRPr="002121A4">
        <w:rPr>
          <w:rStyle w:val="Funotenzeichen"/>
        </w:rPr>
        <w:footnoteReference w:id="82"/>
      </w:r>
      <w:r w:rsidR="000E7885" w:rsidRPr="002121A4">
        <w:t xml:space="preserve"> Just like for supervisory powers, the MiFID II sanction regime corresponds to those available under similar capital markets law instruments.</w:t>
      </w:r>
      <w:r w:rsidR="000E7885" w:rsidRPr="002121A4">
        <w:rPr>
          <w:rStyle w:val="Funotenzeichen"/>
        </w:rPr>
        <w:footnoteReference w:id="83"/>
      </w:r>
    </w:p>
    <w:p w14:paraId="038C1A50" w14:textId="6B51DE17" w:rsidR="00603706" w:rsidRPr="002121A4" w:rsidRDefault="002C30A8" w:rsidP="00C26ACD">
      <w:pPr>
        <w:pStyle w:val="Standardwithparanumbering"/>
      </w:pPr>
      <w:r w:rsidRPr="002121A4">
        <w:rPr>
          <w:noProof/>
        </w:rPr>
        <w:lastRenderedPageBreak/>
        <mc:AlternateContent>
          <mc:Choice Requires="wps">
            <w:drawing>
              <wp:anchor distT="45720" distB="45720" distL="114300" distR="114300" simplePos="0" relativeHeight="251654656" behindDoc="0" locked="0" layoutInCell="1" allowOverlap="1" wp14:anchorId="609901F7" wp14:editId="681F2EF1">
                <wp:simplePos x="0" y="0"/>
                <wp:positionH relativeFrom="page">
                  <wp:posOffset>3460115</wp:posOffset>
                </wp:positionH>
                <wp:positionV relativeFrom="paragraph">
                  <wp:posOffset>690549</wp:posOffset>
                </wp:positionV>
                <wp:extent cx="3668395" cy="3892550"/>
                <wp:effectExtent l="0" t="0" r="2730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8395" cy="3892550"/>
                        </a:xfrm>
                        <a:prstGeom prst="rect">
                          <a:avLst/>
                        </a:prstGeom>
                        <a:solidFill>
                          <a:srgbClr val="FFFFFF"/>
                        </a:solidFill>
                        <a:ln w="9525">
                          <a:solidFill>
                            <a:schemeClr val="bg1">
                              <a:lumMod val="65000"/>
                            </a:schemeClr>
                          </a:solidFill>
                          <a:miter lim="800000"/>
                          <a:headEnd/>
                          <a:tailEnd/>
                        </a:ln>
                      </wps:spPr>
                      <wps:txbx>
                        <w:txbxContent>
                          <w:p w14:paraId="7C64993B" w14:textId="0C98FEEA" w:rsidR="00A24F76" w:rsidRPr="00C321F2" w:rsidRDefault="00A24F76" w:rsidP="00A24F76">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w:t>
                            </w:r>
                            <w:r w:rsidR="000C03F5">
                              <w:rPr>
                                <w:sz w:val="19"/>
                                <w:szCs w:val="19"/>
                                <w:lang w:val="en-GB"/>
                              </w:rPr>
                              <w:t xml:space="preserve"> substantive</w:t>
                            </w:r>
                            <w:r w:rsidRPr="00C321F2">
                              <w:rPr>
                                <w:sz w:val="19"/>
                                <w:szCs w:val="19"/>
                                <w:lang w:val="en-GB"/>
                              </w:rPr>
                              <w:t xml:space="preserv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w:t>
                            </w:r>
                            <w:r w:rsidRPr="00C321F2">
                              <w:rPr>
                                <w:sz w:val="19"/>
                                <w:szCs w:val="19"/>
                                <w:lang w:val="en-GB"/>
                              </w:rPr>
                              <w:t xml:space="preserve">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3A5768F7" w14:textId="0526DD70" w:rsidR="00A24F76" w:rsidRPr="00C321F2" w:rsidRDefault="00A24F76" w:rsidP="00AB42AA">
                            <w:pPr>
                              <w:pStyle w:val="Listenabsatz"/>
                              <w:numPr>
                                <w:ilvl w:val="0"/>
                                <w:numId w:val="9"/>
                              </w:numPr>
                              <w:contextualSpacing w:val="0"/>
                              <w:rPr>
                                <w:b/>
                                <w:sz w:val="19"/>
                                <w:szCs w:val="19"/>
                                <w:lang w:val="en-GB"/>
                              </w:rPr>
                            </w:pPr>
                            <w:r>
                              <w:rPr>
                                <w:b/>
                                <w:sz w:val="19"/>
                                <w:szCs w:val="19"/>
                                <w:lang w:val="en-GB"/>
                              </w:rPr>
                              <w:t>Contractual l</w:t>
                            </w:r>
                            <w:r w:rsidRPr="00C321F2">
                              <w:rPr>
                                <w:b/>
                                <w:sz w:val="19"/>
                                <w:szCs w:val="19"/>
                                <w:lang w:val="en-GB"/>
                              </w:rPr>
                              <w:t xml:space="preserve">iability </w:t>
                            </w:r>
                            <w:r>
                              <w:rPr>
                                <w:b/>
                                <w:sz w:val="19"/>
                                <w:szCs w:val="19"/>
                                <w:lang w:val="en-GB"/>
                              </w:rPr>
                              <w:t>for mis</w:t>
                            </w:r>
                            <w:r w:rsidR="00343DDA">
                              <w:rPr>
                                <w:b/>
                                <w:sz w:val="19"/>
                                <w:szCs w:val="19"/>
                                <w:lang w:val="en-GB"/>
                              </w:rPr>
                              <w:t>-</w:t>
                            </w:r>
                            <w:r>
                              <w:rPr>
                                <w:b/>
                                <w:sz w:val="19"/>
                                <w:szCs w:val="19"/>
                                <w:lang w:val="en-GB"/>
                              </w:rPr>
                              <w:t>selling/investment services</w:t>
                            </w:r>
                          </w:p>
                          <w:p w14:paraId="4662A160" w14:textId="77777777" w:rsidR="00A24F76" w:rsidRPr="00C321F2" w:rsidRDefault="00A24F76" w:rsidP="00AB42AA">
                            <w:pPr>
                              <w:pStyle w:val="Listenabsatz"/>
                              <w:numPr>
                                <w:ilvl w:val="1"/>
                                <w:numId w:val="9"/>
                              </w:numPr>
                              <w:contextualSpacing w:val="0"/>
                              <w:rPr>
                                <w:sz w:val="19"/>
                                <w:szCs w:val="19"/>
                                <w:lang w:val="en-GB"/>
                              </w:rPr>
                            </w:pPr>
                            <w:r>
                              <w:rPr>
                                <w:sz w:val="19"/>
                                <w:szCs w:val="19"/>
                                <w:lang w:val="en-GB"/>
                              </w:rPr>
                              <w:t>Contract for investment services (e.g., investment advice, or provision of information on financial instruments)</w:t>
                            </w:r>
                          </w:p>
                          <w:p w14:paraId="50D5AAF4" w14:textId="77777777" w:rsidR="00A24F76" w:rsidRDefault="00A24F76" w:rsidP="00AB42AA">
                            <w:pPr>
                              <w:pStyle w:val="Listenabsatz"/>
                              <w:numPr>
                                <w:ilvl w:val="1"/>
                                <w:numId w:val="9"/>
                              </w:numPr>
                              <w:contextualSpacing w:val="0"/>
                              <w:rPr>
                                <w:sz w:val="19"/>
                                <w:szCs w:val="19"/>
                                <w:lang w:val="en-GB"/>
                              </w:rPr>
                            </w:pPr>
                            <w:r>
                              <w:rPr>
                                <w:sz w:val="19"/>
                                <w:szCs w:val="19"/>
                                <w:lang w:val="en-GB"/>
                              </w:rPr>
                              <w:t>Breach of contractual duties</w:t>
                            </w:r>
                          </w:p>
                          <w:p w14:paraId="300C2CA1" w14:textId="77777777" w:rsidR="00A24F76" w:rsidRDefault="00A24F76" w:rsidP="00AB42AA">
                            <w:pPr>
                              <w:pStyle w:val="Listenabsatz"/>
                              <w:numPr>
                                <w:ilvl w:val="2"/>
                                <w:numId w:val="9"/>
                              </w:numPr>
                              <w:contextualSpacing w:val="0"/>
                              <w:rPr>
                                <w:sz w:val="19"/>
                                <w:szCs w:val="19"/>
                                <w:lang w:val="en-GB"/>
                              </w:rPr>
                            </w:pPr>
                            <w:r>
                              <w:rPr>
                                <w:sz w:val="19"/>
                                <w:szCs w:val="19"/>
                                <w:lang w:val="en-GB"/>
                              </w:rPr>
                              <w:t>MiFID requirements (e.g., articles 16, 23</w:t>
                            </w:r>
                            <w:r>
                              <w:rPr>
                                <w:sz w:val="19"/>
                                <w:szCs w:val="19"/>
                                <w:lang w:val="en-GB"/>
                              </w:rPr>
                              <w:softHyphen/>
                              <w:t>–25 MiFID II, §§ 63ff. WpHG)</w:t>
                            </w:r>
                          </w:p>
                          <w:p w14:paraId="5E18FC18" w14:textId="77777777" w:rsidR="00A24F76" w:rsidRDefault="00A24F76" w:rsidP="00AB42AA">
                            <w:pPr>
                              <w:pStyle w:val="Listenabsatz"/>
                              <w:numPr>
                                <w:ilvl w:val="3"/>
                                <w:numId w:val="9"/>
                              </w:numPr>
                              <w:contextualSpacing w:val="0"/>
                              <w:rPr>
                                <w:sz w:val="19"/>
                                <w:szCs w:val="19"/>
                                <w:lang w:val="en-GB"/>
                              </w:rPr>
                            </w:pPr>
                            <w:r>
                              <w:rPr>
                                <w:sz w:val="19"/>
                                <w:szCs w:val="19"/>
                                <w:lang w:val="en-GB"/>
                              </w:rPr>
                              <w:t>Breach of MiFID II requirements</w:t>
                            </w:r>
                          </w:p>
                          <w:p w14:paraId="7F8C1C3A" w14:textId="0F9C57C1" w:rsidR="00A24F76" w:rsidRPr="00C321F2" w:rsidRDefault="00A85006" w:rsidP="00AB42AA">
                            <w:pPr>
                              <w:pStyle w:val="Listenabsatz"/>
                              <w:numPr>
                                <w:ilvl w:val="3"/>
                                <w:numId w:val="9"/>
                              </w:numPr>
                              <w:contextualSpacing w:val="0"/>
                              <w:rPr>
                                <w:sz w:val="19"/>
                                <w:szCs w:val="19"/>
                                <w:lang w:val="en-GB"/>
                              </w:rPr>
                            </w:pPr>
                            <w:r>
                              <w:rPr>
                                <w:sz w:val="19"/>
                                <w:szCs w:val="19"/>
                                <w:lang w:val="en-GB"/>
                              </w:rPr>
                              <w:t>Is a breach of</w:t>
                            </w:r>
                            <w:r w:rsidR="00A24F76">
                              <w:rPr>
                                <w:sz w:val="19"/>
                                <w:szCs w:val="19"/>
                                <w:lang w:val="en-GB"/>
                              </w:rPr>
                              <w:t xml:space="preserve"> MiFID II </w:t>
                            </w:r>
                            <w:r>
                              <w:rPr>
                                <w:sz w:val="19"/>
                                <w:szCs w:val="19"/>
                                <w:lang w:val="en-GB"/>
                              </w:rPr>
                              <w:t xml:space="preserve">a </w:t>
                            </w:r>
                            <w:r w:rsidR="00A24F76">
                              <w:rPr>
                                <w:sz w:val="19"/>
                                <w:szCs w:val="19"/>
                                <w:lang w:val="en-GB"/>
                              </w:rPr>
                              <w:t>breach of contract</w:t>
                            </w:r>
                            <w:r>
                              <w:rPr>
                                <w:sz w:val="19"/>
                                <w:szCs w:val="19"/>
                                <w:lang w:val="en-GB"/>
                              </w:rPr>
                              <w:t>?</w:t>
                            </w:r>
                            <w:r w:rsidR="00A24F76">
                              <w:rPr>
                                <w:sz w:val="19"/>
                                <w:szCs w:val="19"/>
                                <w:lang w:val="en-GB"/>
                              </w:rPr>
                              <w:t xml:space="preserve"> </w:t>
                            </w:r>
                            <w:r>
                              <w:rPr>
                                <w:sz w:val="19"/>
                                <w:szCs w:val="19"/>
                                <w:lang w:val="en-GB"/>
                              </w:rPr>
                              <w:t>I</w:t>
                            </w:r>
                            <w:r w:rsidR="00A24F76">
                              <w:rPr>
                                <w:sz w:val="19"/>
                                <w:szCs w:val="19"/>
                                <w:lang w:val="en-GB"/>
                              </w:rPr>
                              <w:t xml:space="preserve">mplications of EU law principles of equivalence and effectiveness (cf. </w:t>
                            </w:r>
                            <w:r w:rsidR="00A24F76" w:rsidRPr="00F63E7F">
                              <w:rPr>
                                <w:i/>
                                <w:sz w:val="19"/>
                                <w:szCs w:val="19"/>
                                <w:lang w:val="en-GB"/>
                              </w:rPr>
                              <w:t xml:space="preserve">Genil </w:t>
                            </w:r>
                            <w:r w:rsidR="00A24F76">
                              <w:rPr>
                                <w:i/>
                                <w:sz w:val="19"/>
                                <w:szCs w:val="19"/>
                                <w:lang w:val="en-GB"/>
                              </w:rPr>
                              <w:t>48</w:t>
                            </w:r>
                            <w:r w:rsidR="00A24F76">
                              <w:rPr>
                                <w:sz w:val="19"/>
                                <w:szCs w:val="19"/>
                                <w:lang w:val="en-GB"/>
                              </w:rPr>
                              <w:t xml:space="preserve"> and BGH, BKR 2014, 32)</w:t>
                            </w:r>
                          </w:p>
                          <w:p w14:paraId="3D23D269" w14:textId="77777777" w:rsidR="00A24F76" w:rsidRPr="00C321F2" w:rsidRDefault="00A24F76" w:rsidP="00AB42AA">
                            <w:pPr>
                              <w:pStyle w:val="Listenabsatz"/>
                              <w:numPr>
                                <w:ilvl w:val="2"/>
                                <w:numId w:val="9"/>
                              </w:numPr>
                              <w:contextualSpacing w:val="0"/>
                              <w:rPr>
                                <w:sz w:val="19"/>
                                <w:szCs w:val="19"/>
                                <w:lang w:val="en-GB"/>
                              </w:rPr>
                            </w:pPr>
                            <w:r>
                              <w:rPr>
                                <w:sz w:val="19"/>
                                <w:szCs w:val="19"/>
                                <w:lang w:val="en-GB"/>
                              </w:rPr>
                              <w:t>Breach of implied duties</w:t>
                            </w:r>
                          </w:p>
                          <w:p w14:paraId="224BCB01" w14:textId="77777777" w:rsidR="00A24F76" w:rsidRDefault="00A24F76" w:rsidP="00AB42AA">
                            <w:pPr>
                              <w:pStyle w:val="Listenabsatz"/>
                              <w:numPr>
                                <w:ilvl w:val="1"/>
                                <w:numId w:val="9"/>
                              </w:numPr>
                              <w:contextualSpacing w:val="0"/>
                              <w:rPr>
                                <w:sz w:val="19"/>
                                <w:szCs w:val="19"/>
                                <w:lang w:val="en-GB"/>
                              </w:rPr>
                            </w:pPr>
                            <w:r>
                              <w:rPr>
                                <w:sz w:val="19"/>
                                <w:szCs w:val="19"/>
                                <w:lang w:val="en-GB"/>
                              </w:rPr>
                              <w:t>Negligence</w:t>
                            </w:r>
                          </w:p>
                          <w:p w14:paraId="50B7BC6E" w14:textId="77777777" w:rsidR="00A24F76" w:rsidRDefault="00A24F76" w:rsidP="00AB42AA">
                            <w:pPr>
                              <w:pStyle w:val="Listenabsatz"/>
                              <w:numPr>
                                <w:ilvl w:val="1"/>
                                <w:numId w:val="9"/>
                              </w:numPr>
                              <w:contextualSpacing w:val="0"/>
                              <w:rPr>
                                <w:sz w:val="19"/>
                                <w:szCs w:val="19"/>
                                <w:lang w:val="en-GB"/>
                              </w:rPr>
                            </w:pPr>
                            <w:r>
                              <w:rPr>
                                <w:sz w:val="19"/>
                                <w:szCs w:val="19"/>
                                <w:lang w:val="en-GB"/>
                              </w:rPr>
                              <w:t>Causal link and burden of proof</w:t>
                            </w:r>
                          </w:p>
                          <w:p w14:paraId="33C4A459" w14:textId="77777777" w:rsidR="00A24F76" w:rsidRDefault="00A24F76" w:rsidP="00AB42AA">
                            <w:pPr>
                              <w:pStyle w:val="Listenabsatz"/>
                              <w:numPr>
                                <w:ilvl w:val="1"/>
                                <w:numId w:val="9"/>
                              </w:numPr>
                              <w:contextualSpacing w:val="0"/>
                              <w:rPr>
                                <w:sz w:val="19"/>
                                <w:szCs w:val="19"/>
                                <w:lang w:val="en-GB"/>
                              </w:rPr>
                            </w:pPr>
                            <w:r>
                              <w:rPr>
                                <w:sz w:val="19"/>
                                <w:szCs w:val="19"/>
                                <w:lang w:val="en-GB"/>
                              </w:rPr>
                              <w:t>Damages, §§ 249ff. BGB</w:t>
                            </w:r>
                          </w:p>
                          <w:p w14:paraId="19E1C2C0" w14:textId="77777777" w:rsidR="00A24F76" w:rsidRPr="00341902" w:rsidRDefault="00A24F76" w:rsidP="00AB42AA">
                            <w:pPr>
                              <w:pStyle w:val="Listenabsatz"/>
                              <w:numPr>
                                <w:ilvl w:val="0"/>
                                <w:numId w:val="9"/>
                              </w:numPr>
                              <w:contextualSpacing w:val="0"/>
                              <w:rPr>
                                <w:b/>
                                <w:sz w:val="19"/>
                                <w:szCs w:val="19"/>
                                <w:lang w:val="en-GB"/>
                              </w:rPr>
                            </w:pPr>
                            <w:r w:rsidRPr="00E7266D">
                              <w:rPr>
                                <w:b/>
                                <w:sz w:val="19"/>
                                <w:szCs w:val="19"/>
                                <w:lang w:val="en-GB"/>
                              </w:rPr>
                              <w:t>Tort claims (e.g., § 823(2), § 826 BGB)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901F7" id="_x0000_s1029" type="#_x0000_t202" style="position:absolute;left:0;text-align:left;margin-left:272.45pt;margin-top:54.35pt;width:288.85pt;height:306.5pt;z-index:251654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" strokecolor="#a5a5a5 [2092]">
                <v:textbox>
                  <w:txbxContent>
                    <w:p w14:paraId="7C64993B" w14:textId="0C98FEEA" w:rsidR="00A24F76" w:rsidRPr="00C321F2" w:rsidRDefault="00A24F76" w:rsidP="00A24F76">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w:t>
                      </w:r>
                      <w:r w:rsidR="000C03F5">
                        <w:rPr>
                          <w:sz w:val="19"/>
                          <w:szCs w:val="19"/>
                          <w:lang w:val="en-GB"/>
                        </w:rPr>
                        <w:t xml:space="preserve"> substantive</w:t>
                      </w:r>
                      <w:r w:rsidRPr="00C321F2">
                        <w:rPr>
                          <w:sz w:val="19"/>
                          <w:szCs w:val="19"/>
                          <w:lang w:val="en-GB"/>
                        </w:rPr>
                        <w:t xml:space="preserv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w:t>
                      </w:r>
                      <w:r w:rsidRPr="00C321F2">
                        <w:rPr>
                          <w:sz w:val="19"/>
                          <w:szCs w:val="19"/>
                          <w:lang w:val="en-GB"/>
                        </w:rPr>
                        <w:t xml:space="preserve">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3A5768F7" w14:textId="0526DD70" w:rsidR="00A24F76" w:rsidRPr="00C321F2" w:rsidRDefault="00A24F76" w:rsidP="00AB42AA">
                      <w:pPr>
                        <w:pStyle w:val="Listenabsatz"/>
                        <w:numPr>
                          <w:ilvl w:val="0"/>
                          <w:numId w:val="9"/>
                        </w:numPr>
                        <w:contextualSpacing w:val="0"/>
                        <w:rPr>
                          <w:b/>
                          <w:sz w:val="19"/>
                          <w:szCs w:val="19"/>
                          <w:lang w:val="en-GB"/>
                        </w:rPr>
                      </w:pPr>
                      <w:r>
                        <w:rPr>
                          <w:b/>
                          <w:sz w:val="19"/>
                          <w:szCs w:val="19"/>
                          <w:lang w:val="en-GB"/>
                        </w:rPr>
                        <w:t>Contractual l</w:t>
                      </w:r>
                      <w:r w:rsidRPr="00C321F2">
                        <w:rPr>
                          <w:b/>
                          <w:sz w:val="19"/>
                          <w:szCs w:val="19"/>
                          <w:lang w:val="en-GB"/>
                        </w:rPr>
                        <w:t xml:space="preserve">iability </w:t>
                      </w:r>
                      <w:r>
                        <w:rPr>
                          <w:b/>
                          <w:sz w:val="19"/>
                          <w:szCs w:val="19"/>
                          <w:lang w:val="en-GB"/>
                        </w:rPr>
                        <w:t>for mis</w:t>
                      </w:r>
                      <w:r w:rsidR="00343DDA">
                        <w:rPr>
                          <w:b/>
                          <w:sz w:val="19"/>
                          <w:szCs w:val="19"/>
                          <w:lang w:val="en-GB"/>
                        </w:rPr>
                        <w:t>-</w:t>
                      </w:r>
                      <w:r>
                        <w:rPr>
                          <w:b/>
                          <w:sz w:val="19"/>
                          <w:szCs w:val="19"/>
                          <w:lang w:val="en-GB"/>
                        </w:rPr>
                        <w:t>selling/investment services</w:t>
                      </w:r>
                    </w:p>
                    <w:p w14:paraId="4662A160" w14:textId="77777777" w:rsidR="00A24F76" w:rsidRPr="00C321F2" w:rsidRDefault="00A24F76" w:rsidP="00AB42AA">
                      <w:pPr>
                        <w:pStyle w:val="Listenabsatz"/>
                        <w:numPr>
                          <w:ilvl w:val="1"/>
                          <w:numId w:val="9"/>
                        </w:numPr>
                        <w:contextualSpacing w:val="0"/>
                        <w:rPr>
                          <w:sz w:val="19"/>
                          <w:szCs w:val="19"/>
                          <w:lang w:val="en-GB"/>
                        </w:rPr>
                      </w:pPr>
                      <w:r>
                        <w:rPr>
                          <w:sz w:val="19"/>
                          <w:szCs w:val="19"/>
                          <w:lang w:val="en-GB"/>
                        </w:rPr>
                        <w:t>Contract for investment services (e.g., investment advice, or provision of information on financial instruments)</w:t>
                      </w:r>
                    </w:p>
                    <w:p w14:paraId="50D5AAF4" w14:textId="77777777" w:rsidR="00A24F76" w:rsidRDefault="00A24F76" w:rsidP="00AB42AA">
                      <w:pPr>
                        <w:pStyle w:val="Listenabsatz"/>
                        <w:numPr>
                          <w:ilvl w:val="1"/>
                          <w:numId w:val="9"/>
                        </w:numPr>
                        <w:contextualSpacing w:val="0"/>
                        <w:rPr>
                          <w:sz w:val="19"/>
                          <w:szCs w:val="19"/>
                          <w:lang w:val="en-GB"/>
                        </w:rPr>
                      </w:pPr>
                      <w:r>
                        <w:rPr>
                          <w:sz w:val="19"/>
                          <w:szCs w:val="19"/>
                          <w:lang w:val="en-GB"/>
                        </w:rPr>
                        <w:t>Breach of contractual duties</w:t>
                      </w:r>
                    </w:p>
                    <w:p w14:paraId="300C2CA1" w14:textId="77777777" w:rsidR="00A24F76" w:rsidRDefault="00A24F76" w:rsidP="00AB42AA">
                      <w:pPr>
                        <w:pStyle w:val="Listenabsatz"/>
                        <w:numPr>
                          <w:ilvl w:val="2"/>
                          <w:numId w:val="9"/>
                        </w:numPr>
                        <w:contextualSpacing w:val="0"/>
                        <w:rPr>
                          <w:sz w:val="19"/>
                          <w:szCs w:val="19"/>
                          <w:lang w:val="en-GB"/>
                        </w:rPr>
                      </w:pPr>
                      <w:r>
                        <w:rPr>
                          <w:sz w:val="19"/>
                          <w:szCs w:val="19"/>
                          <w:lang w:val="en-GB"/>
                        </w:rPr>
                        <w:t>MiFID requirements (e.g., articles 16, 23</w:t>
                      </w:r>
                      <w:r>
                        <w:rPr>
                          <w:sz w:val="19"/>
                          <w:szCs w:val="19"/>
                          <w:lang w:val="en-GB"/>
                        </w:rPr>
                        <w:softHyphen/>
                        <w:t>–25 MiFID II, §§ 63ff. WpHG)</w:t>
                      </w:r>
                    </w:p>
                    <w:p w14:paraId="5E18FC18" w14:textId="77777777" w:rsidR="00A24F76" w:rsidRDefault="00A24F76" w:rsidP="00AB42AA">
                      <w:pPr>
                        <w:pStyle w:val="Listenabsatz"/>
                        <w:numPr>
                          <w:ilvl w:val="3"/>
                          <w:numId w:val="9"/>
                        </w:numPr>
                        <w:contextualSpacing w:val="0"/>
                        <w:rPr>
                          <w:sz w:val="19"/>
                          <w:szCs w:val="19"/>
                          <w:lang w:val="en-GB"/>
                        </w:rPr>
                      </w:pPr>
                      <w:r>
                        <w:rPr>
                          <w:sz w:val="19"/>
                          <w:szCs w:val="19"/>
                          <w:lang w:val="en-GB"/>
                        </w:rPr>
                        <w:t>Breach of MiFID II requirements</w:t>
                      </w:r>
                    </w:p>
                    <w:p w14:paraId="7F8C1C3A" w14:textId="0F9C57C1" w:rsidR="00A24F76" w:rsidRPr="00C321F2" w:rsidRDefault="00A85006" w:rsidP="00AB42AA">
                      <w:pPr>
                        <w:pStyle w:val="Listenabsatz"/>
                        <w:numPr>
                          <w:ilvl w:val="3"/>
                          <w:numId w:val="9"/>
                        </w:numPr>
                        <w:contextualSpacing w:val="0"/>
                        <w:rPr>
                          <w:sz w:val="19"/>
                          <w:szCs w:val="19"/>
                          <w:lang w:val="en-GB"/>
                        </w:rPr>
                      </w:pPr>
                      <w:r>
                        <w:rPr>
                          <w:sz w:val="19"/>
                          <w:szCs w:val="19"/>
                          <w:lang w:val="en-GB"/>
                        </w:rPr>
                        <w:t>Is a breach of</w:t>
                      </w:r>
                      <w:r w:rsidR="00A24F76">
                        <w:rPr>
                          <w:sz w:val="19"/>
                          <w:szCs w:val="19"/>
                          <w:lang w:val="en-GB"/>
                        </w:rPr>
                        <w:t xml:space="preserve"> MiFID II </w:t>
                      </w:r>
                      <w:r>
                        <w:rPr>
                          <w:sz w:val="19"/>
                          <w:szCs w:val="19"/>
                          <w:lang w:val="en-GB"/>
                        </w:rPr>
                        <w:t xml:space="preserve">a </w:t>
                      </w:r>
                      <w:r w:rsidR="00A24F76">
                        <w:rPr>
                          <w:sz w:val="19"/>
                          <w:szCs w:val="19"/>
                          <w:lang w:val="en-GB"/>
                        </w:rPr>
                        <w:t>breach of contract</w:t>
                      </w:r>
                      <w:r>
                        <w:rPr>
                          <w:sz w:val="19"/>
                          <w:szCs w:val="19"/>
                          <w:lang w:val="en-GB"/>
                        </w:rPr>
                        <w:t>?</w:t>
                      </w:r>
                      <w:r w:rsidR="00A24F76">
                        <w:rPr>
                          <w:sz w:val="19"/>
                          <w:szCs w:val="19"/>
                          <w:lang w:val="en-GB"/>
                        </w:rPr>
                        <w:t xml:space="preserve"> </w:t>
                      </w:r>
                      <w:r>
                        <w:rPr>
                          <w:sz w:val="19"/>
                          <w:szCs w:val="19"/>
                          <w:lang w:val="en-GB"/>
                        </w:rPr>
                        <w:t>I</w:t>
                      </w:r>
                      <w:r w:rsidR="00A24F76">
                        <w:rPr>
                          <w:sz w:val="19"/>
                          <w:szCs w:val="19"/>
                          <w:lang w:val="en-GB"/>
                        </w:rPr>
                        <w:t xml:space="preserve">mplications of EU law principles of equivalence and effectiveness (cf. </w:t>
                      </w:r>
                      <w:r w:rsidR="00A24F76" w:rsidRPr="00F63E7F">
                        <w:rPr>
                          <w:i/>
                          <w:sz w:val="19"/>
                          <w:szCs w:val="19"/>
                          <w:lang w:val="en-GB"/>
                        </w:rPr>
                        <w:t xml:space="preserve">Genil </w:t>
                      </w:r>
                      <w:r w:rsidR="00A24F76">
                        <w:rPr>
                          <w:i/>
                          <w:sz w:val="19"/>
                          <w:szCs w:val="19"/>
                          <w:lang w:val="en-GB"/>
                        </w:rPr>
                        <w:t>48</w:t>
                      </w:r>
                      <w:r w:rsidR="00A24F76">
                        <w:rPr>
                          <w:sz w:val="19"/>
                          <w:szCs w:val="19"/>
                          <w:lang w:val="en-GB"/>
                        </w:rPr>
                        <w:t xml:space="preserve"> and BGH, BKR 2014, 32)</w:t>
                      </w:r>
                    </w:p>
                    <w:p w14:paraId="3D23D269" w14:textId="77777777" w:rsidR="00A24F76" w:rsidRPr="00C321F2" w:rsidRDefault="00A24F76" w:rsidP="00AB42AA">
                      <w:pPr>
                        <w:pStyle w:val="Listenabsatz"/>
                        <w:numPr>
                          <w:ilvl w:val="2"/>
                          <w:numId w:val="9"/>
                        </w:numPr>
                        <w:contextualSpacing w:val="0"/>
                        <w:rPr>
                          <w:sz w:val="19"/>
                          <w:szCs w:val="19"/>
                          <w:lang w:val="en-GB"/>
                        </w:rPr>
                      </w:pPr>
                      <w:r>
                        <w:rPr>
                          <w:sz w:val="19"/>
                          <w:szCs w:val="19"/>
                          <w:lang w:val="en-GB"/>
                        </w:rPr>
                        <w:t>Breach of implied duties</w:t>
                      </w:r>
                    </w:p>
                    <w:p w14:paraId="224BCB01" w14:textId="77777777" w:rsidR="00A24F76" w:rsidRDefault="00A24F76" w:rsidP="00AB42AA">
                      <w:pPr>
                        <w:pStyle w:val="Listenabsatz"/>
                        <w:numPr>
                          <w:ilvl w:val="1"/>
                          <w:numId w:val="9"/>
                        </w:numPr>
                        <w:contextualSpacing w:val="0"/>
                        <w:rPr>
                          <w:sz w:val="19"/>
                          <w:szCs w:val="19"/>
                          <w:lang w:val="en-GB"/>
                        </w:rPr>
                      </w:pPr>
                      <w:r>
                        <w:rPr>
                          <w:sz w:val="19"/>
                          <w:szCs w:val="19"/>
                          <w:lang w:val="en-GB"/>
                        </w:rPr>
                        <w:t>Negligence</w:t>
                      </w:r>
                    </w:p>
                    <w:p w14:paraId="50B7BC6E" w14:textId="77777777" w:rsidR="00A24F76" w:rsidRDefault="00A24F76" w:rsidP="00AB42AA">
                      <w:pPr>
                        <w:pStyle w:val="Listenabsatz"/>
                        <w:numPr>
                          <w:ilvl w:val="1"/>
                          <w:numId w:val="9"/>
                        </w:numPr>
                        <w:contextualSpacing w:val="0"/>
                        <w:rPr>
                          <w:sz w:val="19"/>
                          <w:szCs w:val="19"/>
                          <w:lang w:val="en-GB"/>
                        </w:rPr>
                      </w:pPr>
                      <w:r>
                        <w:rPr>
                          <w:sz w:val="19"/>
                          <w:szCs w:val="19"/>
                          <w:lang w:val="en-GB"/>
                        </w:rPr>
                        <w:t>Causal link and burden of proof</w:t>
                      </w:r>
                    </w:p>
                    <w:p w14:paraId="33C4A459" w14:textId="77777777" w:rsidR="00A24F76" w:rsidRDefault="00A24F76" w:rsidP="00AB42AA">
                      <w:pPr>
                        <w:pStyle w:val="Listenabsatz"/>
                        <w:numPr>
                          <w:ilvl w:val="1"/>
                          <w:numId w:val="9"/>
                        </w:numPr>
                        <w:contextualSpacing w:val="0"/>
                        <w:rPr>
                          <w:sz w:val="19"/>
                          <w:szCs w:val="19"/>
                          <w:lang w:val="en-GB"/>
                        </w:rPr>
                      </w:pPr>
                      <w:r>
                        <w:rPr>
                          <w:sz w:val="19"/>
                          <w:szCs w:val="19"/>
                          <w:lang w:val="en-GB"/>
                        </w:rPr>
                        <w:t>Damages, §§ 249ff. BGB</w:t>
                      </w:r>
                    </w:p>
                    <w:p w14:paraId="19E1C2C0" w14:textId="77777777" w:rsidR="00A24F76" w:rsidRPr="00341902" w:rsidRDefault="00A24F76" w:rsidP="00AB42AA">
                      <w:pPr>
                        <w:pStyle w:val="Listenabsatz"/>
                        <w:numPr>
                          <w:ilvl w:val="0"/>
                          <w:numId w:val="9"/>
                        </w:numPr>
                        <w:contextualSpacing w:val="0"/>
                        <w:rPr>
                          <w:b/>
                          <w:sz w:val="19"/>
                          <w:szCs w:val="19"/>
                          <w:lang w:val="en-GB"/>
                        </w:rPr>
                      </w:pPr>
                      <w:r w:rsidRPr="00E7266D">
                        <w:rPr>
                          <w:b/>
                          <w:sz w:val="19"/>
                          <w:szCs w:val="19"/>
                          <w:lang w:val="en-GB"/>
                        </w:rPr>
                        <w:t>Tort claims (e.g., § 823(2), § 826 BGB)</w:t>
                      </w:r>
                    </w:p>
                  </w:txbxContent>
                </v:textbox>
                <w10:wrap type="square" anchorx="page"/>
              </v:shape>
            </w:pict>
          </mc:Fallback>
        </mc:AlternateContent>
      </w:r>
      <w:r w:rsidR="00A24F76" w:rsidRPr="002121A4">
        <w:t xml:space="preserve">In addition, </w:t>
      </w:r>
      <w:proofErr w:type="spellStart"/>
      <w:r w:rsidR="00A24F76" w:rsidRPr="002121A4">
        <w:t>MiFIR</w:t>
      </w:r>
      <w:proofErr w:type="spellEnd"/>
      <w:r w:rsidR="00A24F76" w:rsidRPr="002121A4">
        <w:t xml:space="preserve"> provides a basis for product intervention in favour of NCAs and ESMA. Under </w:t>
      </w:r>
      <w:r w:rsidR="001870C0" w:rsidRPr="002121A4">
        <w:t>article </w:t>
      </w:r>
      <w:r w:rsidR="00A24F76" w:rsidRPr="002121A4">
        <w:t xml:space="preserve">40(1), 42(1) </w:t>
      </w:r>
      <w:proofErr w:type="spellStart"/>
      <w:r w:rsidR="00A24F76" w:rsidRPr="002121A4">
        <w:t>MiFIR</w:t>
      </w:r>
      <w:proofErr w:type="spellEnd"/>
      <w:r w:rsidR="00A24F76" w:rsidRPr="002121A4">
        <w:t>, NCAs and ESMA may temporarily prohibit or restrict the distribution of certain financial instruments or certain categories of financial instruments, or a specific type of financial activities or practices. This power exists where the proposed intervention addresses a significant investor protection concern or a threat to financial markets or to the stability of the EU financial system, provided that applicable regulatory requirements under EU do not address such threat.</w:t>
      </w:r>
      <w:r w:rsidR="00A24F76" w:rsidRPr="002121A4">
        <w:rPr>
          <w:rStyle w:val="Funotenzeichen"/>
        </w:rPr>
        <w:footnoteReference w:id="84"/>
      </w:r>
      <w:r w:rsidR="00A24F76" w:rsidRPr="002121A4">
        <w:t xml:space="preserve"> ESMA may make use of product intervention powers only where NCAs failed to take action adequately addressing the threat.</w:t>
      </w:r>
      <w:r w:rsidR="00A24F76" w:rsidRPr="002121A4">
        <w:rPr>
          <w:rStyle w:val="Funotenzeichen"/>
        </w:rPr>
        <w:footnoteReference w:id="85"/>
      </w:r>
      <w:bookmarkEnd w:id="70"/>
    </w:p>
    <w:p w14:paraId="3A727C9C" w14:textId="62B24019" w:rsidR="00A24F76" w:rsidRPr="002121A4" w:rsidRDefault="00A24F76" w:rsidP="00A24F76">
      <w:pPr>
        <w:pStyle w:val="Standardwithparanumbering"/>
      </w:pPr>
      <w:bookmarkStart w:id="71" w:name="_Ref170915834"/>
      <w:r w:rsidRPr="002121A4">
        <w:t>Civil enforcement</w:t>
      </w:r>
      <w:r w:rsidR="002730C0" w:rsidRPr="002121A4">
        <w:t xml:space="preserve"> </w:t>
      </w:r>
      <w:r w:rsidRPr="002121A4">
        <w:t>as regards damage claims against investment firms breaching investor protection requirements</w:t>
      </w:r>
      <w:r w:rsidR="0081324C" w:rsidRPr="002121A4">
        <w:t>, e.g.</w:t>
      </w:r>
      <w:r w:rsidR="00786B36">
        <w:t>,</w:t>
      </w:r>
      <w:r w:rsidRPr="002121A4">
        <w:t xml:space="preserve"> under </w:t>
      </w:r>
      <w:r w:rsidR="001870C0" w:rsidRPr="002121A4">
        <w:t>articles </w:t>
      </w:r>
      <w:r w:rsidRPr="002121A4">
        <w:t>24 and 25 MiFID II</w:t>
      </w:r>
      <w:r w:rsidR="0081324C" w:rsidRPr="002121A4">
        <w:t>,</w:t>
      </w:r>
      <w:r w:rsidR="002730C0" w:rsidRPr="002121A4">
        <w:t xml:space="preserve"> is </w:t>
      </w:r>
      <w:r w:rsidRPr="002121A4">
        <w:t xml:space="preserve">not addressed by </w:t>
      </w:r>
      <w:r w:rsidR="002730C0" w:rsidRPr="002121A4">
        <w:t>MiFID II</w:t>
      </w:r>
      <w:r w:rsidRPr="002121A4">
        <w:t>. Accordingly, civil enforcement depends on the application of domestic rules.</w:t>
      </w:r>
      <w:bookmarkEnd w:id="71"/>
    </w:p>
    <w:p w14:paraId="55232E9C" w14:textId="672124CC" w:rsidR="00A24F76" w:rsidRPr="002121A4" w:rsidRDefault="00A24F76" w:rsidP="00AB42AA">
      <w:pPr>
        <w:pStyle w:val="Case"/>
        <w:numPr>
          <w:ilvl w:val="0"/>
          <w:numId w:val="14"/>
        </w:numPr>
        <w:ind w:left="567" w:firstLine="0"/>
        <w:rPr>
          <w:szCs w:val="23"/>
        </w:rPr>
      </w:pPr>
      <w:bookmarkStart w:id="72" w:name="_Ref131674326"/>
      <w:r w:rsidRPr="002121A4">
        <w:rPr>
          <w:szCs w:val="23"/>
        </w:rPr>
        <w:t>On recommendation from its bank B,</w:t>
      </w:r>
      <w:r w:rsidRPr="002121A4">
        <w:rPr>
          <w:b/>
          <w:szCs w:val="23"/>
        </w:rPr>
        <w:t xml:space="preserve"> </w:t>
      </w:r>
      <w:proofErr w:type="spellStart"/>
      <w:r w:rsidRPr="002121A4">
        <w:rPr>
          <w:szCs w:val="23"/>
        </w:rPr>
        <w:t>Genil</w:t>
      </w:r>
      <w:proofErr w:type="spellEnd"/>
      <w:r w:rsidRPr="002121A4">
        <w:rPr>
          <w:szCs w:val="23"/>
        </w:rPr>
        <w:t xml:space="preserve"> 48, a Spanish company, enters into an interest swap agreement to protect itself against variations in interest rates affecting other financial products subscribed by </w:t>
      </w:r>
      <w:proofErr w:type="spellStart"/>
      <w:r w:rsidRPr="002121A4">
        <w:rPr>
          <w:szCs w:val="23"/>
        </w:rPr>
        <w:t>Genil</w:t>
      </w:r>
      <w:proofErr w:type="spellEnd"/>
      <w:r w:rsidRPr="002121A4">
        <w:rPr>
          <w:szCs w:val="23"/>
        </w:rPr>
        <w:t xml:space="preserve"> 48 with B. Prior to the transaction, B does not carry out the assessment under </w:t>
      </w:r>
      <w:r w:rsidR="001870C0" w:rsidRPr="002121A4">
        <w:rPr>
          <w:szCs w:val="23"/>
        </w:rPr>
        <w:t>article </w:t>
      </w:r>
      <w:r w:rsidRPr="002121A4">
        <w:rPr>
          <w:szCs w:val="23"/>
        </w:rPr>
        <w:t xml:space="preserve">25(2) and (3) MiFID II. Does EU law determine contractual consequences in case an investment firm does not comply with MiFID II requirements? (Case C‑604/11, </w:t>
      </w:r>
      <w:proofErr w:type="spellStart"/>
      <w:r w:rsidRPr="002121A4">
        <w:rPr>
          <w:i/>
          <w:szCs w:val="23"/>
        </w:rPr>
        <w:t>Genil</w:t>
      </w:r>
      <w:proofErr w:type="spellEnd"/>
      <w:r w:rsidRPr="002121A4">
        <w:rPr>
          <w:i/>
          <w:szCs w:val="23"/>
        </w:rPr>
        <w:t xml:space="preserve"> 48 SL v. </w:t>
      </w:r>
      <w:proofErr w:type="spellStart"/>
      <w:r w:rsidRPr="002121A4">
        <w:rPr>
          <w:i/>
          <w:szCs w:val="23"/>
        </w:rPr>
        <w:t>Bankinter</w:t>
      </w:r>
      <w:proofErr w:type="spellEnd"/>
      <w:r w:rsidRPr="002121A4">
        <w:rPr>
          <w:i/>
          <w:szCs w:val="23"/>
        </w:rPr>
        <w:t xml:space="preserve"> SA – </w:t>
      </w:r>
      <w:r w:rsidRPr="002121A4">
        <w:rPr>
          <w:szCs w:val="23"/>
        </w:rPr>
        <w:t>Note: the ECJ decision refers to MiFID I; correlation table: Annex IV MiFID II)</w:t>
      </w:r>
      <w:bookmarkEnd w:id="72"/>
    </w:p>
    <w:p w14:paraId="0F6BF100" w14:textId="6F29528D" w:rsidR="00A24F76" w:rsidRPr="002121A4" w:rsidRDefault="00A24F76" w:rsidP="00A24F76">
      <w:pPr>
        <w:pStyle w:val="Case"/>
      </w:pPr>
      <w:r w:rsidRPr="002121A4">
        <w:rPr>
          <w:b/>
        </w:rPr>
        <w:t>Notes.</w:t>
      </w:r>
      <w:r w:rsidR="00380A6C" w:rsidRPr="002121A4">
        <w:rPr>
          <w:b/>
        </w:rPr>
        <w:t xml:space="preserve">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640B3A70" w14:textId="23211B67" w:rsidR="00A24F76" w:rsidRPr="005C0511" w:rsidRDefault="00A24F76" w:rsidP="00080F04">
      <w:pPr>
        <w:rPr>
          <w:lang w:val="en-US"/>
        </w:rPr>
      </w:pPr>
      <w:bookmarkStart w:id="73" w:name="_Ref103108868"/>
      <w:r w:rsidRPr="005C0511">
        <w:rPr>
          <w:lang w:val="en-US"/>
        </w:rPr>
        <w:t xml:space="preserve">Under German domestic law, civil enforcement claims can be framed as a breach of </w:t>
      </w:r>
      <w:r w:rsidR="00727E0A" w:rsidRPr="005C0511">
        <w:rPr>
          <w:lang w:val="en-US"/>
        </w:rPr>
        <w:t xml:space="preserve">express or implied contractual duties to provide advice or information </w:t>
      </w:r>
      <w:r w:rsidRPr="005C0511">
        <w:rPr>
          <w:lang w:val="en-US"/>
        </w:rPr>
        <w:t>under a service contract, and as tort claims</w:t>
      </w:r>
      <w:r w:rsidR="006404FD" w:rsidRPr="005C0511">
        <w:rPr>
          <w:lang w:val="en-US"/>
        </w:rPr>
        <w:t xml:space="preserve"> (see </w:t>
      </w:r>
      <w:r w:rsidR="00881A48" w:rsidRPr="005C0511">
        <w:rPr>
          <w:lang w:val="en-US"/>
        </w:rPr>
        <w:t xml:space="preserve">the </w:t>
      </w:r>
      <w:r w:rsidR="006404FD" w:rsidRPr="005C0511">
        <w:rPr>
          <w:lang w:val="en-US"/>
        </w:rPr>
        <w:t xml:space="preserve">box </w:t>
      </w:r>
      <w:r w:rsidR="009E24CD" w:rsidRPr="005C0511">
        <w:rPr>
          <w:lang w:val="en-US"/>
        </w:rPr>
        <w:t>above</w:t>
      </w:r>
      <w:r w:rsidR="006404FD" w:rsidRPr="005C0511">
        <w:rPr>
          <w:lang w:val="en-US"/>
        </w:rPr>
        <w:t>)</w:t>
      </w:r>
      <w:r w:rsidRPr="005C0511">
        <w:rPr>
          <w:lang w:val="en-US"/>
        </w:rPr>
        <w:t>.</w:t>
      </w:r>
      <w:bookmarkEnd w:id="73"/>
      <w:r w:rsidR="003A1514" w:rsidRPr="005C0511">
        <w:rPr>
          <w:lang w:val="en-US"/>
        </w:rPr>
        <w:t xml:space="preserve"> While courts have been restrictive in treating MiFID requirements as protective norms for the purpose of § 823(2) BGB, some legal writers argue in </w:t>
      </w:r>
      <w:proofErr w:type="spellStart"/>
      <w:r w:rsidR="003A1514" w:rsidRPr="005C0511">
        <w:rPr>
          <w:lang w:val="en-US"/>
        </w:rPr>
        <w:t>favour</w:t>
      </w:r>
      <w:proofErr w:type="spellEnd"/>
      <w:r w:rsidR="003A1514" w:rsidRPr="005C0511">
        <w:rPr>
          <w:lang w:val="en-US"/>
        </w:rPr>
        <w:t xml:space="preserve"> of extending </w:t>
      </w:r>
      <w:r w:rsidR="003A1514" w:rsidRPr="005C0511">
        <w:rPr>
          <w:lang w:val="en-US"/>
        </w:rPr>
        <w:lastRenderedPageBreak/>
        <w:t>the scope of tort liability on the basis that public enforcement risks being insufficient to protect investors.</w:t>
      </w:r>
      <w:r w:rsidR="003A1514" w:rsidRPr="002121A4">
        <w:rPr>
          <w:rStyle w:val="Funotenzeichen"/>
        </w:rPr>
        <w:footnoteReference w:id="86"/>
      </w:r>
    </w:p>
    <w:p w14:paraId="6F827939" w14:textId="1490239F" w:rsidR="004B2B9F" w:rsidRPr="002121A4" w:rsidRDefault="008A12CF" w:rsidP="008A12CF">
      <w:pPr>
        <w:pStyle w:val="Standardwithparanumbering"/>
      </w:pPr>
      <w:r>
        <w:t xml:space="preserve">There is some debate to which extent investors seeking to enforce damage claims should be able to rely on documents in the possession of regulators and supervisory bodies. </w:t>
      </w:r>
      <w:r w:rsidRPr="008A12CF">
        <w:t>As a general rule, article</w:t>
      </w:r>
      <w:r w:rsidR="004E4B72">
        <w:t> </w:t>
      </w:r>
      <w:r w:rsidRPr="008A12CF">
        <w:t>76(1) MiFID II prescribes a principle of secrecy.</w:t>
      </w:r>
      <w:r>
        <w:rPr>
          <w:rStyle w:val="Funotenzeichen"/>
          <w:sz w:val="19"/>
          <w:szCs w:val="19"/>
        </w:rPr>
        <w:footnoteReference w:id="87"/>
      </w:r>
      <w:r w:rsidRPr="002121A4">
        <w:rPr>
          <w:sz w:val="19"/>
          <w:szCs w:val="19"/>
        </w:rPr>
        <w:t xml:space="preserve"> </w:t>
      </w:r>
      <w:r>
        <w:rPr>
          <w:sz w:val="19"/>
          <w:szCs w:val="19"/>
        </w:rPr>
        <w:t>I</w:t>
      </w:r>
      <w:r w:rsidRPr="008A12CF">
        <w:t>t allows for disclosure only under the limited exceptions expressed in that provision.</w:t>
      </w:r>
      <w:r>
        <w:rPr>
          <w:rStyle w:val="Funotenzeichen"/>
          <w:sz w:val="19"/>
          <w:szCs w:val="19"/>
        </w:rPr>
        <w:footnoteReference w:id="88"/>
      </w:r>
      <w:r>
        <w:rPr>
          <w:sz w:val="19"/>
          <w:szCs w:val="19"/>
        </w:rPr>
        <w:t xml:space="preserve"> </w:t>
      </w:r>
      <w:r w:rsidRPr="008A12CF">
        <w:t>Disclosure under article 76(2) for the purpose of civil or commercial proceedings requires precise and consistent evidence that the information is relevant for the litigation in question.</w:t>
      </w:r>
      <w:r>
        <w:rPr>
          <w:rStyle w:val="Funotenzeichen"/>
          <w:sz w:val="19"/>
          <w:szCs w:val="19"/>
        </w:rPr>
        <w:footnoteReference w:id="89"/>
      </w:r>
      <w:r>
        <w:rPr>
          <w:sz w:val="19"/>
          <w:szCs w:val="19"/>
        </w:rPr>
        <w:t xml:space="preserve"> </w:t>
      </w:r>
    </w:p>
    <w:p w14:paraId="266CCA58" w14:textId="2A5B9495" w:rsidR="002441B4" w:rsidRPr="002121A4" w:rsidRDefault="002441B4" w:rsidP="00EF3983">
      <w:pPr>
        <w:pStyle w:val="berschrift3"/>
        <w:rPr>
          <w:lang w:val="en-GB"/>
        </w:rPr>
      </w:pPr>
      <w:bookmarkStart w:id="74" w:name="_Ref163129940"/>
      <w:bookmarkStart w:id="75" w:name="_Ref163129942"/>
      <w:r w:rsidRPr="002121A4">
        <w:rPr>
          <w:lang w:val="en-GB"/>
        </w:rPr>
        <w:t>Investment funds and</w:t>
      </w:r>
      <w:r w:rsidR="00C919EC" w:rsidRPr="002121A4">
        <w:rPr>
          <w:lang w:val="en-GB"/>
        </w:rPr>
        <w:t xml:space="preserve"> </w:t>
      </w:r>
      <w:r w:rsidRPr="002121A4">
        <w:rPr>
          <w:lang w:val="en-GB"/>
        </w:rPr>
        <w:t>management companies</w:t>
      </w:r>
      <w:bookmarkEnd w:id="74"/>
      <w:bookmarkEnd w:id="75"/>
    </w:p>
    <w:p w14:paraId="2C001AA4" w14:textId="48250FDD" w:rsidR="00A4453C" w:rsidRDefault="00A12F9D" w:rsidP="00A4453C">
      <w:pPr>
        <w:pStyle w:val="Standardwithparanumbering"/>
      </w:pPr>
      <w:r>
        <w:rPr>
          <w:noProof/>
        </w:rPr>
        <w:drawing>
          <wp:anchor distT="0" distB="0" distL="114300" distR="114300" simplePos="0" relativeHeight="251755008" behindDoc="0" locked="0" layoutInCell="1" allowOverlap="1" wp14:anchorId="15630FD4" wp14:editId="22ED160C">
            <wp:simplePos x="0" y="0"/>
            <wp:positionH relativeFrom="margin">
              <wp:posOffset>1786945</wp:posOffset>
            </wp:positionH>
            <wp:positionV relativeFrom="paragraph">
              <wp:posOffset>1656715</wp:posOffset>
            </wp:positionV>
            <wp:extent cx="4168775" cy="2345055"/>
            <wp:effectExtent l="0" t="0" r="3175" b="0"/>
            <wp:wrapSquare wrapText="bothSides"/>
            <wp:docPr id="1137370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8775" cy="2345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62B" w:rsidRPr="002121A4">
        <w:t xml:space="preserve">Investment funds play an important role in matching supply and demand of capital: they pool capital from a number of investors which is then used to invest under a collective investment strategy. EU law deals with investment funds primarily on the basis of two instruments, namely, the UCITS Directive and the AIFM Directive. </w:t>
      </w:r>
      <w:r w:rsidR="00BB1565" w:rsidRPr="002121A4">
        <w:t xml:space="preserve">The former deals with </w:t>
      </w:r>
      <w:r w:rsidR="00095F58" w:rsidRPr="002121A4">
        <w:t>“</w:t>
      </w:r>
      <w:r w:rsidR="005B1F82" w:rsidRPr="002121A4">
        <w:t>Undertaking</w:t>
      </w:r>
      <w:r w:rsidR="00BB1565" w:rsidRPr="002121A4">
        <w:t>s</w:t>
      </w:r>
      <w:r w:rsidR="005B1F82" w:rsidRPr="002121A4">
        <w:t xml:space="preserve"> for the Collective Investment in Transferable Securities</w:t>
      </w:r>
      <w:r w:rsidR="00095F58" w:rsidRPr="002121A4">
        <w:t>”</w:t>
      </w:r>
      <w:r w:rsidR="00BB1565" w:rsidRPr="002121A4">
        <w:t xml:space="preserve"> (UCITS</w:t>
      </w:r>
      <w:r w:rsidR="005B1F82" w:rsidRPr="002121A4">
        <w:t>)</w:t>
      </w:r>
      <w:r w:rsidR="00F371A8" w:rsidRPr="002121A4">
        <w:t xml:space="preserve"> which are defined in </w:t>
      </w:r>
      <w:r w:rsidR="001870C0" w:rsidRPr="002121A4">
        <w:t>article </w:t>
      </w:r>
      <w:r w:rsidR="00F371A8" w:rsidRPr="002121A4">
        <w:t xml:space="preserve">1(2) of the UCITS Directive as </w:t>
      </w:r>
      <w:r w:rsidR="00B55EA7" w:rsidRPr="002121A4">
        <w:t>undertaking</w:t>
      </w:r>
      <w:r w:rsidR="00BB1565" w:rsidRPr="002121A4">
        <w:t>s</w:t>
      </w:r>
      <w:r w:rsidR="004E1D77" w:rsidRPr="002121A4">
        <w:t xml:space="preserve"> </w:t>
      </w:r>
      <w:r w:rsidR="00B55EA7" w:rsidRPr="002121A4">
        <w:t>with the sole object of collective investment in transferable securities or other liquid financial assets of capital raised from the public</w:t>
      </w:r>
      <w:r w:rsidR="004E1D77" w:rsidRPr="002121A4">
        <w:t xml:space="preserve">, </w:t>
      </w:r>
      <w:r w:rsidR="00B55EA7" w:rsidRPr="002121A4">
        <w:t>which operate on the principle of risk-spreading</w:t>
      </w:r>
      <w:r w:rsidR="004E1D77" w:rsidRPr="002121A4">
        <w:t xml:space="preserve"> and </w:t>
      </w:r>
      <w:r w:rsidR="00B55EA7" w:rsidRPr="002121A4">
        <w:t>with units which are, at the request of holders, repurchased or redeemed, directly or indirectly, out of those undertakings’ assets.</w:t>
      </w:r>
      <w:r w:rsidR="00806191" w:rsidRPr="002121A4">
        <w:t xml:space="preserve"> </w:t>
      </w:r>
      <w:r w:rsidR="0063677F" w:rsidRPr="002121A4">
        <w:t>Any investment fund that does not qualify as a UCITS, is an “Alternative Investment Fund” (AIF).</w:t>
      </w:r>
      <w:r w:rsidR="0063677F" w:rsidRPr="002121A4">
        <w:rPr>
          <w:rStyle w:val="Funotenzeichen"/>
        </w:rPr>
        <w:footnoteReference w:id="90"/>
      </w:r>
      <w:r w:rsidR="0063677F" w:rsidRPr="002121A4">
        <w:t xml:space="preserve"> EU law relating to investment funds is implemented in Germany in the </w:t>
      </w:r>
      <w:proofErr w:type="spellStart"/>
      <w:r w:rsidR="0063677F" w:rsidRPr="002121A4">
        <w:rPr>
          <w:i/>
        </w:rPr>
        <w:t>Kapitalanlagegesetzbuch</w:t>
      </w:r>
      <w:proofErr w:type="spellEnd"/>
      <w:r w:rsidR="0063677F" w:rsidRPr="002121A4">
        <w:t xml:space="preserve"> (KAGB).</w:t>
      </w:r>
      <w:r w:rsidR="00A420DD">
        <w:t xml:space="preserve"> </w:t>
      </w:r>
    </w:p>
    <w:p w14:paraId="20BAA5CC" w14:textId="3DD60AEA" w:rsidR="00B55EA7" w:rsidRPr="002121A4" w:rsidRDefault="006707BB" w:rsidP="00C915FC">
      <w:pPr>
        <w:pStyle w:val="Standardwithparanumbering"/>
      </w:pPr>
      <w:r w:rsidRPr="002121A4">
        <w:t xml:space="preserve">UCITS may be structured </w:t>
      </w:r>
      <w:r w:rsidR="00095F58" w:rsidRPr="002121A4">
        <w:t>in accordance with contract law (as common funds managed by management companies), trust law (as unit trusts), or statute (as investment companies)</w:t>
      </w:r>
      <w:r w:rsidRPr="002121A4">
        <w:t>.</w:t>
      </w:r>
      <w:r w:rsidR="00095F58" w:rsidRPr="002121A4">
        <w:rPr>
          <w:rStyle w:val="Funotenzeichen"/>
        </w:rPr>
        <w:footnoteReference w:id="91"/>
      </w:r>
      <w:r w:rsidRPr="002121A4">
        <w:t xml:space="preserve"> </w:t>
      </w:r>
      <w:r w:rsidR="001A227B" w:rsidRPr="002121A4">
        <w:t xml:space="preserve">Collective investment undertakings of the closed-ended type </w:t>
      </w:r>
      <w:r w:rsidR="00FC1755" w:rsidRPr="002121A4">
        <w:t xml:space="preserve">and </w:t>
      </w:r>
      <w:r w:rsidR="001A227B" w:rsidRPr="002121A4">
        <w:t>collective investment undertakings raising capital without promoting the sale of their units to the public</w:t>
      </w:r>
      <w:r w:rsidR="0001122E" w:rsidRPr="002121A4">
        <w:t xml:space="preserve"> are excluded from the scope of the UCITS Directive.</w:t>
      </w:r>
      <w:r w:rsidR="0001122E" w:rsidRPr="002121A4">
        <w:rPr>
          <w:rStyle w:val="Funotenzeichen"/>
        </w:rPr>
        <w:footnoteReference w:id="92"/>
      </w:r>
      <w:r w:rsidR="00BB1565" w:rsidRPr="002121A4">
        <w:t xml:space="preserve"> </w:t>
      </w:r>
    </w:p>
    <w:p w14:paraId="72A159A0" w14:textId="5DEE1904" w:rsidR="00DA3E27" w:rsidRPr="002121A4" w:rsidRDefault="00460CA9" w:rsidP="00E24895">
      <w:pPr>
        <w:pStyle w:val="Standardwithparanumbering"/>
      </w:pPr>
      <w:r w:rsidRPr="002121A4">
        <w:lastRenderedPageBreak/>
        <w:t>A UCITS must be author</w:t>
      </w:r>
      <w:r w:rsidR="00706D6F" w:rsidRPr="002121A4">
        <w:t>ized</w:t>
      </w:r>
      <w:r w:rsidRPr="002121A4">
        <w:t xml:space="preserve"> to pursue its activities.</w:t>
      </w:r>
      <w:r w:rsidR="004E67CE" w:rsidRPr="002121A4">
        <w:rPr>
          <w:rStyle w:val="Funotenzeichen"/>
        </w:rPr>
        <w:footnoteReference w:id="93"/>
      </w:r>
      <w:r w:rsidRPr="002121A4">
        <w:t xml:space="preserve"> S</w:t>
      </w:r>
      <w:r w:rsidR="00A40162" w:rsidRPr="002121A4">
        <w:t>uch</w:t>
      </w:r>
      <w:r w:rsidRPr="002121A4">
        <w:t xml:space="preserve"> author</w:t>
      </w:r>
      <w:r w:rsidR="00706D6F" w:rsidRPr="002121A4">
        <w:t>ization</w:t>
      </w:r>
      <w:r w:rsidRPr="002121A4">
        <w:t xml:space="preserve"> </w:t>
      </w:r>
      <w:r w:rsidR="00A40162" w:rsidRPr="002121A4">
        <w:t xml:space="preserve">of the UCITS </w:t>
      </w:r>
      <w:r w:rsidRPr="002121A4">
        <w:t>requires that the fund complies with the preconditions laid down in Chapter V of the UCITS Directive, and that the management company is author</w:t>
      </w:r>
      <w:r w:rsidR="00706D6F" w:rsidRPr="002121A4">
        <w:t>ized</w:t>
      </w:r>
      <w:r w:rsidRPr="002121A4">
        <w:t xml:space="preserve"> for the management of UCITS in its home Member State.</w:t>
      </w:r>
      <w:r w:rsidR="00A40162" w:rsidRPr="002121A4">
        <w:t xml:space="preserve"> </w:t>
      </w:r>
      <w:r w:rsidR="00963FC7" w:rsidRPr="002121A4">
        <w:t xml:space="preserve">For </w:t>
      </w:r>
      <w:r w:rsidR="00D30318" w:rsidRPr="002121A4">
        <w:t xml:space="preserve">a UCITS </w:t>
      </w:r>
      <w:r w:rsidR="00963FC7" w:rsidRPr="002121A4">
        <w:t>management company to obtain author</w:t>
      </w:r>
      <w:r w:rsidR="00706D6F" w:rsidRPr="002121A4">
        <w:t>ization</w:t>
      </w:r>
      <w:r w:rsidR="00963FC7" w:rsidRPr="002121A4">
        <w:t xml:space="preserve">, it must comply, inter alia, with the general operating conditions under </w:t>
      </w:r>
      <w:r w:rsidR="001870C0" w:rsidRPr="002121A4">
        <w:t>article </w:t>
      </w:r>
      <w:r w:rsidR="00963FC7" w:rsidRPr="002121A4">
        <w:t>12 UCITS Directive. These require in particular that a management company has “sound administrative and accounting procedures, control and safeguard arrangements for electronic data processing and adequate internal control mechanisms”, and “is structured and organ</w:t>
      </w:r>
      <w:r w:rsidR="00706D6F" w:rsidRPr="002121A4">
        <w:t>ized</w:t>
      </w:r>
      <w:r w:rsidR="00963FC7" w:rsidRPr="002121A4">
        <w:t xml:space="preserve"> in such a way as to minim</w:t>
      </w:r>
      <w:r w:rsidR="00706D6F" w:rsidRPr="002121A4">
        <w:t>ize</w:t>
      </w:r>
      <w:r w:rsidR="00963FC7" w:rsidRPr="002121A4">
        <w:t xml:space="preserve"> the risk of UCITS’ or clients’ interests being prejudiced by conflicts of interest”.</w:t>
      </w:r>
      <w:r w:rsidR="00103FF8" w:rsidRPr="002121A4">
        <w:rPr>
          <w:rStyle w:val="Funotenzeichen"/>
        </w:rPr>
        <w:footnoteReference w:id="94"/>
      </w:r>
      <w:r w:rsidR="00730CD6">
        <w:t xml:space="preserve"> As an example, article 14b(1)(n), (o) UCITS Directive requires variable remuneration of fund </w:t>
      </w:r>
      <w:r w:rsidR="00256D17">
        <w:t>management</w:t>
      </w:r>
      <w:r w:rsidR="00730CD6">
        <w:t xml:space="preserve"> company employees to be deferred in order to deter </w:t>
      </w:r>
      <w:r w:rsidR="00B72512">
        <w:t>them</w:t>
      </w:r>
      <w:r w:rsidR="00730CD6">
        <w:t xml:space="preserve"> from taking excessive risks on behalf of the fund.</w:t>
      </w:r>
    </w:p>
    <w:p w14:paraId="5E6BF032" w14:textId="73A52516" w:rsidR="000F47DE" w:rsidRPr="002121A4" w:rsidRDefault="000F47DE" w:rsidP="00AB42AA">
      <w:pPr>
        <w:pStyle w:val="Case"/>
        <w:numPr>
          <w:ilvl w:val="0"/>
          <w:numId w:val="14"/>
        </w:numPr>
        <w:ind w:left="567" w:firstLine="0"/>
      </w:pPr>
      <w:bookmarkStart w:id="76" w:name="_Ref163122491"/>
      <w:r w:rsidRPr="002121A4">
        <w:t xml:space="preserve">HOLD is a company the regular business of which is the management of UCITS and AIFs. It has a remuneration policy that applies to individuals holding the office of, respectively, managing director, investment manager and portfolio manager. These individuals also hold shares in HOLD and receive dividends. </w:t>
      </w:r>
      <w:r w:rsidR="008111D6">
        <w:t xml:space="preserve">Do </w:t>
      </w:r>
      <w:r w:rsidRPr="002121A4">
        <w:t xml:space="preserve">these dividends circumvent the </w:t>
      </w:r>
      <w:r w:rsidR="008111D6">
        <w:t xml:space="preserve">UCITS Directive </w:t>
      </w:r>
      <w:r w:rsidRPr="002121A4">
        <w:t>rules on deferred payment of performance-based remuneration</w:t>
      </w:r>
      <w:r w:rsidR="008111D6">
        <w:t>?</w:t>
      </w:r>
      <w:r w:rsidRPr="002121A4">
        <w:t xml:space="preserve"> (Case C-352/20, </w:t>
      </w:r>
      <w:r w:rsidRPr="002121A4">
        <w:rPr>
          <w:i/>
        </w:rPr>
        <w:t xml:space="preserve">HOLD </w:t>
      </w:r>
      <w:proofErr w:type="spellStart"/>
      <w:r w:rsidRPr="002121A4">
        <w:rPr>
          <w:i/>
        </w:rPr>
        <w:t>Alapkezelő</w:t>
      </w:r>
      <w:proofErr w:type="spellEnd"/>
      <w:r w:rsidRPr="002121A4">
        <w:rPr>
          <w:i/>
        </w:rPr>
        <w:t xml:space="preserve"> </w:t>
      </w:r>
      <w:proofErr w:type="spellStart"/>
      <w:r w:rsidRPr="002121A4">
        <w:rPr>
          <w:i/>
        </w:rPr>
        <w:t>Befektetési</w:t>
      </w:r>
      <w:proofErr w:type="spellEnd"/>
      <w:r w:rsidRPr="002121A4">
        <w:rPr>
          <w:i/>
        </w:rPr>
        <w:t xml:space="preserve"> </w:t>
      </w:r>
      <w:proofErr w:type="spellStart"/>
      <w:r w:rsidRPr="002121A4">
        <w:rPr>
          <w:i/>
        </w:rPr>
        <w:t>Alapkezelő</w:t>
      </w:r>
      <w:proofErr w:type="spellEnd"/>
      <w:r w:rsidRPr="002121A4">
        <w:rPr>
          <w:i/>
        </w:rPr>
        <w:t xml:space="preserve"> </w:t>
      </w:r>
      <w:proofErr w:type="spellStart"/>
      <w:r w:rsidRPr="002121A4">
        <w:rPr>
          <w:i/>
        </w:rPr>
        <w:t>Zrt</w:t>
      </w:r>
      <w:proofErr w:type="spellEnd"/>
      <w:r w:rsidRPr="002121A4">
        <w:rPr>
          <w:i/>
        </w:rPr>
        <w:t xml:space="preserve">. v. Magyar </w:t>
      </w:r>
      <w:proofErr w:type="spellStart"/>
      <w:r w:rsidRPr="002121A4">
        <w:rPr>
          <w:i/>
        </w:rPr>
        <w:t>Nemzeti</w:t>
      </w:r>
      <w:proofErr w:type="spellEnd"/>
      <w:r w:rsidRPr="002121A4">
        <w:rPr>
          <w:i/>
        </w:rPr>
        <w:t xml:space="preserve"> Bank</w:t>
      </w:r>
      <w:r w:rsidRPr="002121A4">
        <w:t>)</w:t>
      </w:r>
      <w:bookmarkEnd w:id="76"/>
    </w:p>
    <w:p w14:paraId="550ADFBC" w14:textId="4ACE9F15" w:rsidR="000F47DE" w:rsidRPr="002121A4" w:rsidRDefault="000F47DE" w:rsidP="000F47DE">
      <w:pPr>
        <w:pStyle w:val="Case"/>
        <w:rPr>
          <w:b/>
        </w:rPr>
      </w:pPr>
      <w:r w:rsidRPr="002121A4">
        <w:rPr>
          <w:b/>
        </w:rPr>
        <w:t>Notes.</w:t>
      </w:r>
      <w:r w:rsidR="00695685" w:rsidRPr="002121A4">
        <w:rPr>
          <w:b/>
        </w:rPr>
        <w:t xml:space="preserve"> </w:t>
      </w:r>
      <w:r w:rsidR="008A581B">
        <w:rPr>
          <w:b/>
        </w:rPr>
        <w:br/>
      </w:r>
      <w:r w:rsidR="008A581B">
        <w:rPr>
          <w:b/>
        </w:rPr>
        <w:br/>
      </w:r>
      <w:r w:rsidR="008A581B">
        <w:rPr>
          <w:b/>
        </w:rPr>
        <w:br/>
      </w:r>
      <w:r w:rsidR="008A581B">
        <w:rPr>
          <w:b/>
        </w:rPr>
        <w:br/>
      </w:r>
      <w:r w:rsidR="008A581B">
        <w:rPr>
          <w:b/>
        </w:rPr>
        <w:br/>
      </w:r>
    </w:p>
    <w:p w14:paraId="4430EC98" w14:textId="42924B42" w:rsidR="0030614F" w:rsidRPr="002121A4" w:rsidRDefault="0030614F" w:rsidP="00E24895">
      <w:pPr>
        <w:pStyle w:val="Standardwithparanumbering"/>
      </w:pPr>
      <w:r w:rsidRPr="002121A4">
        <w:t xml:space="preserve">The UCITS Directive includes provisions on the depositary, i.e., </w:t>
      </w:r>
      <w:r w:rsidR="00596F43" w:rsidRPr="002121A4">
        <w:t xml:space="preserve">the institution trusted with the safe-keeping of the securities </w:t>
      </w:r>
      <w:r w:rsidRPr="002121A4">
        <w:t>(chapter IV), funds structured as investment companies (chapter V), merger of UCITS (ch</w:t>
      </w:r>
      <w:r w:rsidR="00596F43" w:rsidRPr="002121A4">
        <w:t>a</w:t>
      </w:r>
      <w:r w:rsidRPr="002121A4">
        <w:t xml:space="preserve">pter VI), the investment policies of UCITS (chapter VII), master-feeder structures (chapter VIII), information for investors, in particular, prospectuses and periodical reports (chapter IX) together with general obligations of UCITS (chapter X). </w:t>
      </w:r>
      <w:r w:rsidR="00596F43" w:rsidRPr="002121A4">
        <w:t>T</w:t>
      </w:r>
      <w:r w:rsidR="002B1AFF" w:rsidRPr="002121A4">
        <w:t>he AIFM Directive contains rules for the author</w:t>
      </w:r>
      <w:r w:rsidR="00706D6F" w:rsidRPr="002121A4">
        <w:t>ization</w:t>
      </w:r>
      <w:r w:rsidR="002B1AFF" w:rsidRPr="002121A4">
        <w:t xml:space="preserve">, </w:t>
      </w:r>
      <w:r w:rsidR="00786B36" w:rsidRPr="002121A4">
        <w:t>operation,</w:t>
      </w:r>
      <w:r w:rsidR="002B1AFF" w:rsidRPr="002121A4">
        <w:t xml:space="preserve"> and transparency of the managers of alternative investment funds (AIFMs),</w:t>
      </w:r>
      <w:r w:rsidR="002B1AFF" w:rsidRPr="002121A4">
        <w:rPr>
          <w:rStyle w:val="Funotenzeichen"/>
        </w:rPr>
        <w:footnoteReference w:id="95"/>
      </w:r>
      <w:r w:rsidR="002B1AFF" w:rsidRPr="002121A4">
        <w:t xml:space="preserve"> much like the UCITS Directive </w:t>
      </w:r>
      <w:r w:rsidR="00596F43" w:rsidRPr="002121A4">
        <w:t xml:space="preserve">does </w:t>
      </w:r>
      <w:r w:rsidR="002B1AFF" w:rsidRPr="002121A4">
        <w:t>for UCITS management companies</w:t>
      </w:r>
      <w:r w:rsidR="00596F43" w:rsidRPr="002121A4">
        <w:t>. However,</w:t>
      </w:r>
      <w:r w:rsidR="002B1AFF" w:rsidRPr="002121A4">
        <w:t xml:space="preserve"> the AIFM Directive does not establish rules applicable to AIFs and thei</w:t>
      </w:r>
      <w:r w:rsidR="002D4BA7" w:rsidRPr="002121A4">
        <w:t>r</w:t>
      </w:r>
      <w:r w:rsidR="002B1AFF" w:rsidRPr="002121A4">
        <w:t xml:space="preserve"> organ</w:t>
      </w:r>
      <w:r w:rsidR="00706D6F" w:rsidRPr="002121A4">
        <w:t>ization</w:t>
      </w:r>
      <w:r w:rsidR="00596F43" w:rsidRPr="002121A4">
        <w:t xml:space="preserve"> which remains the remit of domestic legislators</w:t>
      </w:r>
      <w:r w:rsidR="002B1AFF" w:rsidRPr="002121A4">
        <w:t>.</w:t>
      </w:r>
    </w:p>
    <w:p w14:paraId="2AFE1B96" w14:textId="0E8812AE" w:rsidR="00A91879" w:rsidRPr="002121A4" w:rsidRDefault="00A677B5" w:rsidP="00EF3983">
      <w:pPr>
        <w:pStyle w:val="berschrift3"/>
        <w:rPr>
          <w:lang w:val="en-GB"/>
        </w:rPr>
      </w:pPr>
      <w:r w:rsidRPr="002121A4">
        <w:rPr>
          <w:lang w:val="en-GB"/>
        </w:rPr>
        <w:t>Credit rating agencies</w:t>
      </w:r>
    </w:p>
    <w:p w14:paraId="68E7DA63" w14:textId="6D594D9B" w:rsidR="003B3E8B" w:rsidRPr="002121A4" w:rsidRDefault="00380342" w:rsidP="00441636">
      <w:pPr>
        <w:pStyle w:val="Standardwithparanumbering"/>
      </w:pPr>
      <w:r w:rsidRPr="002121A4">
        <w:t xml:space="preserve">Credit rating agencies provide an important service to market participants in assessing the financial robustness and creditworthiness of issuers and the credit risks associated with financial instruments. In the EU, these activities are regulated under the Credit Rating Agencies Regulation (CRA Regulation). The CRA Regulation introduces a common regulatory approach in order to enhance the integrity, transparency, responsibility, good governance and independence of credit rating activities, contributing to the quality of credit ratings issued in the Union and to the smooth functioning </w:t>
      </w:r>
      <w:r w:rsidRPr="002121A4">
        <w:lastRenderedPageBreak/>
        <w:t>of the internal market.</w:t>
      </w:r>
      <w:r w:rsidRPr="002121A4">
        <w:rPr>
          <w:rStyle w:val="Funotenzeichen"/>
        </w:rPr>
        <w:footnoteReference w:id="96"/>
      </w:r>
      <w:r w:rsidRPr="002121A4">
        <w:t xml:space="preserve"> </w:t>
      </w:r>
      <w:r w:rsidR="00286EE9" w:rsidRPr="002121A4">
        <w:t xml:space="preserve">It applies </w:t>
      </w:r>
      <w:r w:rsidRPr="002121A4">
        <w:t xml:space="preserve">to credit ratings issued by credit rating agencies registered in the </w:t>
      </w:r>
      <w:r w:rsidR="00286EE9" w:rsidRPr="002121A4">
        <w:t xml:space="preserve">EU </w:t>
      </w:r>
      <w:r w:rsidRPr="002121A4">
        <w:t>and which are disclosed publicly or distributed by subscription.</w:t>
      </w:r>
      <w:r w:rsidR="00384EE7" w:rsidRPr="002121A4">
        <w:rPr>
          <w:rStyle w:val="Funotenzeichen"/>
        </w:rPr>
        <w:footnoteReference w:id="97"/>
      </w:r>
      <w:r w:rsidR="00384EE7" w:rsidRPr="002121A4">
        <w:t xml:space="preserve"> “Credit rating” means an opinion regarding the creditworthiness of an entity, a debt or financial obligation, debt security, preferred share or other financial instrument, or of an issuer of such a debt or financial obligation, debt security, preferred share or other financial instrument, issued using an established and defined ranking system of rating categories.</w:t>
      </w:r>
      <w:r w:rsidR="00384EE7" w:rsidRPr="002121A4">
        <w:rPr>
          <w:rStyle w:val="Funotenzeichen"/>
        </w:rPr>
        <w:footnoteReference w:id="98"/>
      </w:r>
      <w:r w:rsidR="00384EE7" w:rsidRPr="002121A4">
        <w:t xml:space="preserve"> </w:t>
      </w:r>
    </w:p>
    <w:p w14:paraId="16032724" w14:textId="118CFBE5" w:rsidR="003E05C8" w:rsidRPr="002121A4" w:rsidRDefault="00A07450" w:rsidP="00C13BE4">
      <w:pPr>
        <w:pStyle w:val="Standardwithparanumbering"/>
      </w:pPr>
      <w:r w:rsidRPr="002121A4">
        <w:t xml:space="preserve">Title II of the CRA Regulation deals with the issuance of credit ratings and contains operational requirements in relation to this activity. </w:t>
      </w:r>
      <w:r w:rsidR="003E05C8" w:rsidRPr="002121A4">
        <w:t>A credit rating agency shall take all necessary steps to ensure that the issuing of a credit rating or a rating outlook is not affected by any existing or potential conflicts of interest or business relationship involving the credit rating agency issuing the credit rating or the rating outlook, its shareholders, managers, rating analysts, employees or any other natural person whose services are placed at the disposal or under the control of the credit rating agency, or any person directly or indirectly linked to it by control.</w:t>
      </w:r>
      <w:r w:rsidR="003E05C8" w:rsidRPr="002121A4">
        <w:rPr>
          <w:rStyle w:val="Funotenzeichen"/>
        </w:rPr>
        <w:footnoteReference w:id="99"/>
      </w:r>
      <w:r w:rsidR="008F1BF0" w:rsidRPr="002121A4">
        <w:t xml:space="preserve"> A credit rating agency shall disclose any credit rating or rating outlook, as well as any decision to discontinue a credit rating, on a non-selective basis and in a timely manner.</w:t>
      </w:r>
      <w:r w:rsidR="008F1BF0" w:rsidRPr="002121A4">
        <w:rPr>
          <w:rStyle w:val="Funotenzeichen"/>
        </w:rPr>
        <w:footnoteReference w:id="100"/>
      </w:r>
      <w:r w:rsidR="008F1BF0" w:rsidRPr="002121A4">
        <w:t xml:space="preserve"> Until disclosure to the public of credit ratings, rating outlooks and information relating thereto, they shall be deemed to be inside information as defined in the Market Abuse Regulation.</w:t>
      </w:r>
      <w:r w:rsidR="008F1BF0" w:rsidRPr="002121A4">
        <w:rPr>
          <w:rStyle w:val="Funotenzeichen"/>
        </w:rPr>
        <w:footnoteReference w:id="101"/>
      </w:r>
    </w:p>
    <w:p w14:paraId="68A82DE5" w14:textId="17D75985" w:rsidR="008B6E16" w:rsidRPr="002121A4" w:rsidRDefault="008B6E16" w:rsidP="00DD2A48">
      <w:pPr>
        <w:pStyle w:val="Standardwithparanumbering"/>
      </w:pPr>
      <w:r w:rsidRPr="002121A4">
        <w:t xml:space="preserve">Title III of the CRA Regulation deals with the surveillance of credit rating activities. A credit rating agency must register with ESMA under </w:t>
      </w:r>
      <w:r w:rsidR="001870C0" w:rsidRPr="002121A4">
        <w:t>articles </w:t>
      </w:r>
      <w:r w:rsidRPr="002121A4">
        <w:t>14, 15 CRA Regulation</w:t>
      </w:r>
      <w:r w:rsidR="00FF5E5E" w:rsidRPr="002121A4">
        <w:t xml:space="preserve">, and </w:t>
      </w:r>
      <w:r w:rsidR="004F6809" w:rsidRPr="002121A4">
        <w:t>its</w:t>
      </w:r>
      <w:r w:rsidR="00FF5E5E" w:rsidRPr="002121A4">
        <w:t xml:space="preserve"> activities are then supervised by ESMA under </w:t>
      </w:r>
      <w:r w:rsidR="001870C0" w:rsidRPr="002121A4">
        <w:t>articles </w:t>
      </w:r>
      <w:r w:rsidR="00FF5E5E" w:rsidRPr="002121A4">
        <w:t xml:space="preserve">21ff. CRA Regulation. </w:t>
      </w:r>
      <w:r w:rsidR="00DD2A48" w:rsidRPr="002121A4">
        <w:t xml:space="preserve">Enforcement measures include penalties and fines under </w:t>
      </w:r>
      <w:r w:rsidR="001870C0" w:rsidRPr="002121A4">
        <w:t>articles </w:t>
      </w:r>
      <w:r w:rsidR="00DD2A48" w:rsidRPr="002121A4">
        <w:t>36, 36a CRA Regulation</w:t>
      </w:r>
      <w:r w:rsidR="004F6809" w:rsidRPr="002121A4">
        <w:t xml:space="preserve">. The regulation makes provision for </w:t>
      </w:r>
      <w:r w:rsidR="00DD2A48" w:rsidRPr="002121A4">
        <w:t>civil liability: an investor or issuer may claim damages where a credit rating agency commits, intentionally or with gross negligence, any of the infringements listed in Annex III of the CRA Regulation and where this has an impact on a credit rating.</w:t>
      </w:r>
      <w:r w:rsidR="00474E33" w:rsidRPr="002121A4">
        <w:rPr>
          <w:rStyle w:val="Funotenzeichen"/>
        </w:rPr>
        <w:footnoteReference w:id="102"/>
      </w:r>
    </w:p>
    <w:p w14:paraId="5C8D8D7C" w14:textId="309CF455" w:rsidR="00B2277A" w:rsidRPr="002121A4" w:rsidRDefault="00B2277A" w:rsidP="00B2277A">
      <w:pPr>
        <w:pStyle w:val="berschrift2"/>
        <w:rPr>
          <w:lang w:val="en-GB"/>
        </w:rPr>
      </w:pPr>
      <w:bookmarkStart w:id="77" w:name="_Toc194577768"/>
      <w:r w:rsidRPr="002121A4">
        <w:rPr>
          <w:lang w:val="en-GB"/>
        </w:rPr>
        <w:t xml:space="preserve">Reading </w:t>
      </w:r>
      <w:r w:rsidR="00121AB3" w:rsidRPr="002121A4">
        <w:rPr>
          <w:lang w:val="en-GB"/>
        </w:rPr>
        <w:t>assignment</w:t>
      </w:r>
      <w:bookmarkEnd w:id="77"/>
    </w:p>
    <w:p w14:paraId="31D31029" w14:textId="1C88C8EE" w:rsidR="00B2277A" w:rsidRPr="002121A4" w:rsidRDefault="005B4AAB" w:rsidP="003D3369">
      <w:pPr>
        <w:rPr>
          <w:lang w:val="en-GB"/>
        </w:rPr>
      </w:pPr>
      <w:r w:rsidRPr="002121A4">
        <w:rPr>
          <w:lang w:val="en-GB"/>
        </w:rPr>
        <w:t xml:space="preserve">Buck-Heeb, </w:t>
      </w:r>
      <w:proofErr w:type="spellStart"/>
      <w:r w:rsidRPr="002121A4">
        <w:rPr>
          <w:i/>
          <w:lang w:val="en-GB"/>
        </w:rPr>
        <w:t>Kapitalmarktrecht</w:t>
      </w:r>
      <w:proofErr w:type="spellEnd"/>
      <w:r w:rsidRPr="002121A4">
        <w:rPr>
          <w:lang w:val="en-GB"/>
        </w:rPr>
        <w:t>, §§ </w:t>
      </w:r>
      <w:r w:rsidR="00192E54">
        <w:rPr>
          <w:lang w:val="en-GB"/>
        </w:rPr>
        <w:t xml:space="preserve">1–3, </w:t>
      </w:r>
      <w:r w:rsidRPr="002121A4">
        <w:rPr>
          <w:lang w:val="en-GB"/>
        </w:rPr>
        <w:t xml:space="preserve">11–13, 17; Veil, </w:t>
      </w:r>
      <w:r w:rsidRPr="002121A4">
        <w:rPr>
          <w:i/>
          <w:lang w:val="en-GB"/>
        </w:rPr>
        <w:t>European Capital Markets Law</w:t>
      </w:r>
      <w:r w:rsidRPr="002121A4">
        <w:rPr>
          <w:lang w:val="en-GB"/>
        </w:rPr>
        <w:t>, §§ </w:t>
      </w:r>
      <w:r w:rsidR="00192E54">
        <w:rPr>
          <w:lang w:val="en-GB"/>
        </w:rPr>
        <w:t>1–12</w:t>
      </w:r>
      <w:r w:rsidRPr="002121A4">
        <w:rPr>
          <w:lang w:val="en-GB"/>
        </w:rPr>
        <w:t>, 26–34.</w:t>
      </w:r>
    </w:p>
    <w:p w14:paraId="7682BA31" w14:textId="32AE6625" w:rsidR="00E51CCF" w:rsidRPr="002121A4" w:rsidRDefault="000A16F7" w:rsidP="004854ED">
      <w:pPr>
        <w:pStyle w:val="berschrift1"/>
        <w:rPr>
          <w:lang w:val="en-GB"/>
        </w:rPr>
      </w:pPr>
      <w:bookmarkStart w:id="78" w:name="_Ref142409080"/>
      <w:bookmarkStart w:id="79" w:name="_Ref142409082"/>
      <w:bookmarkStart w:id="80" w:name="_Toc194577769"/>
      <w:bookmarkStart w:id="81" w:name="_Ref125374731"/>
      <w:r w:rsidRPr="002121A4">
        <w:rPr>
          <w:lang w:val="en-GB"/>
        </w:rPr>
        <w:lastRenderedPageBreak/>
        <w:t xml:space="preserve">Securities </w:t>
      </w:r>
      <w:r w:rsidR="0042253C" w:rsidRPr="002121A4">
        <w:rPr>
          <w:lang w:val="en-GB"/>
        </w:rPr>
        <w:t>P</w:t>
      </w:r>
      <w:r w:rsidR="00E51CCF" w:rsidRPr="002121A4">
        <w:rPr>
          <w:lang w:val="en-GB"/>
        </w:rPr>
        <w:t>rospectus</w:t>
      </w:r>
      <w:r w:rsidRPr="002121A4">
        <w:rPr>
          <w:lang w:val="en-GB"/>
        </w:rPr>
        <w:t>es</w:t>
      </w:r>
      <w:bookmarkEnd w:id="78"/>
      <w:bookmarkEnd w:id="79"/>
      <w:bookmarkEnd w:id="80"/>
      <w:r w:rsidR="004854ED" w:rsidRPr="002121A4">
        <w:rPr>
          <w:lang w:val="en-GB"/>
        </w:rPr>
        <w:t xml:space="preserve"> </w:t>
      </w:r>
      <w:bookmarkEnd w:id="81"/>
    </w:p>
    <w:p w14:paraId="67B534EB" w14:textId="7835686D" w:rsidR="00037E58" w:rsidRPr="002121A4" w:rsidRDefault="00113956" w:rsidP="00453048">
      <w:pPr>
        <w:pStyle w:val="berschrift2"/>
        <w:rPr>
          <w:lang w:val="en-GB"/>
        </w:rPr>
      </w:pPr>
      <w:bookmarkStart w:id="82" w:name="_Ref130830906"/>
      <w:bookmarkStart w:id="83" w:name="_Toc194577770"/>
      <w:r w:rsidRPr="002121A4">
        <w:rPr>
          <w:noProof/>
        </w:rPr>
        <mc:AlternateContent>
          <mc:Choice Requires="wps">
            <w:drawing>
              <wp:anchor distT="0" distB="0" distL="114300" distR="114300" simplePos="0" relativeHeight="251658752" behindDoc="0" locked="0" layoutInCell="1" allowOverlap="1" wp14:anchorId="7B4FE13D" wp14:editId="3BA11BA9">
                <wp:simplePos x="0" y="0"/>
                <wp:positionH relativeFrom="column">
                  <wp:posOffset>3242310</wp:posOffset>
                </wp:positionH>
                <wp:positionV relativeFrom="paragraph">
                  <wp:posOffset>142958</wp:posOffset>
                </wp:positionV>
                <wp:extent cx="2849880" cy="2971800"/>
                <wp:effectExtent l="0" t="0" r="2667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2971800"/>
                        </a:xfrm>
                        <a:prstGeom prst="rect">
                          <a:avLst/>
                        </a:prstGeom>
                        <a:solidFill>
                          <a:srgbClr val="FFFFFF"/>
                        </a:solidFill>
                        <a:ln w="9525">
                          <a:solidFill>
                            <a:schemeClr val="bg1">
                              <a:lumMod val="65000"/>
                            </a:schemeClr>
                          </a:solidFill>
                          <a:miter lim="800000"/>
                          <a:headEnd/>
                          <a:tailEnd/>
                        </a:ln>
                      </wps:spPr>
                      <wps:txbx>
                        <w:txbxContent>
                          <w:p w14:paraId="671DD1FF" w14:textId="3C146371" w:rsidR="005C1CA3" w:rsidRPr="0049581C" w:rsidRDefault="00385FFE" w:rsidP="005C1CA3">
                            <w:pPr>
                              <w:spacing w:before="0"/>
                              <w:ind w:left="714" w:hanging="357"/>
                              <w:jc w:val="center"/>
                              <w:rPr>
                                <w:b/>
                                <w:sz w:val="19"/>
                                <w:szCs w:val="19"/>
                                <w:lang w:val="en-US"/>
                              </w:rPr>
                            </w:pPr>
                            <w:r>
                              <w:rPr>
                                <w:b/>
                                <w:sz w:val="19"/>
                                <w:szCs w:val="19"/>
                                <w:lang w:val="en-US"/>
                              </w:rPr>
                              <w:t>PR l</w:t>
                            </w:r>
                            <w:r w:rsidR="005C1CA3">
                              <w:rPr>
                                <w:b/>
                                <w:sz w:val="19"/>
                                <w:szCs w:val="19"/>
                                <w:lang w:val="en-US"/>
                              </w:rPr>
                              <w:t>evel 2</w:t>
                            </w:r>
                            <w:r w:rsidR="005A42DE">
                              <w:rPr>
                                <w:b/>
                                <w:sz w:val="19"/>
                                <w:szCs w:val="19"/>
                                <w:lang w:val="en-US"/>
                              </w:rPr>
                              <w:t xml:space="preserve"> and</w:t>
                            </w:r>
                            <w:r w:rsidR="00694179">
                              <w:rPr>
                                <w:b/>
                                <w:sz w:val="19"/>
                                <w:szCs w:val="19"/>
                                <w:lang w:val="en-US"/>
                              </w:rPr>
                              <w:t xml:space="preserve"> </w:t>
                            </w:r>
                            <w:r w:rsidR="005C1CA3">
                              <w:rPr>
                                <w:b/>
                                <w:sz w:val="19"/>
                                <w:szCs w:val="19"/>
                                <w:lang w:val="en-US"/>
                              </w:rPr>
                              <w:t>3 texts</w:t>
                            </w:r>
                          </w:p>
                          <w:p w14:paraId="3898B379" w14:textId="0CA966DF" w:rsidR="00694179" w:rsidRDefault="00694179" w:rsidP="005C1CA3">
                            <w:pPr>
                              <w:pStyle w:val="Standardwithparanumbering"/>
                              <w:numPr>
                                <w:ilvl w:val="0"/>
                                <w:numId w:val="0"/>
                              </w:numPr>
                              <w:spacing w:before="0"/>
                              <w:rPr>
                                <w:sz w:val="19"/>
                                <w:szCs w:val="19"/>
                              </w:rPr>
                            </w:pPr>
                            <w:r>
                              <w:rPr>
                                <w:sz w:val="19"/>
                                <w:szCs w:val="19"/>
                              </w:rPr>
                              <w:t>The most important level 2</w:t>
                            </w:r>
                            <w:r w:rsidR="005A42DE">
                              <w:rPr>
                                <w:sz w:val="19"/>
                                <w:szCs w:val="19"/>
                              </w:rPr>
                              <w:t xml:space="preserve"> and</w:t>
                            </w:r>
                            <w:r>
                              <w:rPr>
                                <w:sz w:val="19"/>
                                <w:szCs w:val="19"/>
                              </w:rPr>
                              <w:t xml:space="preserve"> 3 texts relating to the PR are:</w:t>
                            </w:r>
                          </w:p>
                          <w:p w14:paraId="14CB082E" w14:textId="248E47CB" w:rsidR="00694179" w:rsidRDefault="009254B1" w:rsidP="00AB42AA">
                            <w:pPr>
                              <w:pStyle w:val="Standardwithparanumbering"/>
                              <w:numPr>
                                <w:ilvl w:val="0"/>
                                <w:numId w:val="13"/>
                              </w:numPr>
                              <w:spacing w:before="0"/>
                              <w:rPr>
                                <w:sz w:val="19"/>
                                <w:szCs w:val="19"/>
                              </w:rPr>
                            </w:pPr>
                            <w:r w:rsidRPr="009254B1">
                              <w:rPr>
                                <w:sz w:val="19"/>
                                <w:szCs w:val="19"/>
                              </w:rPr>
                              <w:t>Commission Delegated Regulation (EU) 2019/980 as regards the format, content, scrutiny and approval of the prospectus</w:t>
                            </w:r>
                          </w:p>
                          <w:p w14:paraId="0164F0AB" w14:textId="3F5E7E57" w:rsidR="009254B1" w:rsidRDefault="009254B1" w:rsidP="00AB42AA">
                            <w:pPr>
                              <w:pStyle w:val="Standardwithparanumbering"/>
                              <w:numPr>
                                <w:ilvl w:val="0"/>
                                <w:numId w:val="13"/>
                              </w:numPr>
                              <w:spacing w:before="0"/>
                              <w:rPr>
                                <w:sz w:val="19"/>
                                <w:szCs w:val="19"/>
                              </w:rPr>
                            </w:pPr>
                            <w:r>
                              <w:rPr>
                                <w:sz w:val="19"/>
                                <w:szCs w:val="19"/>
                              </w:rPr>
                              <w:t>ESMA Guidelines on Risk Factors (</w:t>
                            </w:r>
                            <w:hyperlink r:id="rId19" w:history="1">
                              <w:r w:rsidRPr="00951D98">
                                <w:rPr>
                                  <w:rStyle w:val="Hyperlink"/>
                                  <w:sz w:val="19"/>
                                  <w:szCs w:val="19"/>
                                </w:rPr>
                                <w:t>https://www.esma.europa.eu/sites/default/files/library/esma31-62-1293_guidelines_on_risk_factors_under_the_prospectus_regulation.pdf</w:t>
                              </w:r>
                            </w:hyperlink>
                            <w:r>
                              <w:rPr>
                                <w:sz w:val="19"/>
                                <w:szCs w:val="19"/>
                              </w:rPr>
                              <w:t>)</w:t>
                            </w:r>
                          </w:p>
                          <w:p w14:paraId="21CE75DA" w14:textId="69D72AB5" w:rsidR="009254B1" w:rsidRPr="00881EF0" w:rsidRDefault="009254B1" w:rsidP="00AB42AA">
                            <w:pPr>
                              <w:pStyle w:val="Standardwithparanumbering"/>
                              <w:numPr>
                                <w:ilvl w:val="0"/>
                                <w:numId w:val="13"/>
                              </w:numPr>
                              <w:spacing w:before="0"/>
                              <w:rPr>
                                <w:sz w:val="19"/>
                                <w:szCs w:val="19"/>
                                <w:lang w:val="pt-BR"/>
                              </w:rPr>
                            </w:pPr>
                            <w:r w:rsidRPr="00881EF0">
                              <w:rPr>
                                <w:sz w:val="19"/>
                                <w:szCs w:val="19"/>
                                <w:lang w:val="pt-BR"/>
                              </w:rPr>
                              <w:t>ESMA Q&amp;A PR (</w:t>
                            </w:r>
                            <w:hyperlink r:id="rId20" w:history="1">
                              <w:r w:rsidRPr="00881EF0">
                                <w:rPr>
                                  <w:rStyle w:val="Hyperlink"/>
                                  <w:sz w:val="19"/>
                                  <w:szCs w:val="19"/>
                                  <w:lang w:val="pt-BR"/>
                                </w:rPr>
                                <w:t>https://www.esma.europa.eu/sites/default/files/library/esma31-62-1258_prospectus_regulation_qas.pdf</w:t>
                              </w:r>
                            </w:hyperlink>
                            <w:r w:rsidRPr="00881EF0">
                              <w:rPr>
                                <w:sz w:val="19"/>
                                <w:szCs w:val="19"/>
                                <w:lang w:val="pt-BR"/>
                              </w:rPr>
                              <w:t xml:space="preserve">) </w:t>
                            </w:r>
                          </w:p>
                          <w:p w14:paraId="0C29352E" w14:textId="289BA84B" w:rsidR="005C1CA3" w:rsidRPr="0049581C" w:rsidRDefault="009254B1" w:rsidP="005C1CA3">
                            <w:pPr>
                              <w:pStyle w:val="Standardwithparanumbering"/>
                              <w:numPr>
                                <w:ilvl w:val="0"/>
                                <w:numId w:val="0"/>
                              </w:numPr>
                              <w:spacing w:before="0"/>
                              <w:rPr>
                                <w:sz w:val="19"/>
                                <w:szCs w:val="19"/>
                              </w:rPr>
                            </w:pPr>
                            <w:r>
                              <w:rPr>
                                <w:sz w:val="19"/>
                                <w:szCs w:val="19"/>
                              </w:rPr>
                              <w:t xml:space="preserve">For more </w:t>
                            </w:r>
                            <w:r w:rsidR="005C1CA3">
                              <w:rPr>
                                <w:sz w:val="19"/>
                                <w:szCs w:val="19"/>
                              </w:rPr>
                              <w:t xml:space="preserve">level 2 and level 3 texts relating to the </w:t>
                            </w:r>
                            <w:r>
                              <w:rPr>
                                <w:sz w:val="19"/>
                                <w:szCs w:val="19"/>
                              </w:rPr>
                              <w:t xml:space="preserve">PR, see: </w:t>
                            </w:r>
                            <w:hyperlink r:id="rId21" w:history="1">
                              <w:r w:rsidR="005C1CA3" w:rsidRPr="0007461A">
                                <w:rPr>
                                  <w:rStyle w:val="Hyperlink"/>
                                  <w:sz w:val="19"/>
                                  <w:szCs w:val="19"/>
                                </w:rPr>
                                <w:t>https://www.luxse.com/regulation/prospectus-regime</w:t>
                              </w:r>
                            </w:hyperlink>
                            <w:r w:rsidR="005C1CA3">
                              <w:rPr>
                                <w:sz w:val="19"/>
                                <w:szCs w:val="19"/>
                              </w:rPr>
                              <w:t>.</w:t>
                            </w:r>
                          </w:p>
                          <w:p w14:paraId="23E9DC09" w14:textId="0C137A23" w:rsidR="005C1CA3" w:rsidRPr="005E6FCB" w:rsidRDefault="005E6FCB" w:rsidP="005E6FCB">
                            <w:pPr>
                              <w:pStyle w:val="Standardwithparanumbering"/>
                              <w:numPr>
                                <w:ilvl w:val="0"/>
                                <w:numId w:val="0"/>
                              </w:numPr>
                              <w:spacing w:before="0"/>
                              <w:rPr>
                                <w:sz w:val="19"/>
                                <w:szCs w:val="19"/>
                              </w:rPr>
                            </w:pPr>
                            <w:r w:rsidRPr="005E6FCB">
                              <w:rPr>
                                <w:sz w:val="19"/>
                                <w:szCs w:val="19"/>
                              </w:rPr>
                              <w:t xml:space="preserve">All </w:t>
                            </w:r>
                            <w:r>
                              <w:rPr>
                                <w:sz w:val="19"/>
                                <w:szCs w:val="19"/>
                              </w:rPr>
                              <w:t xml:space="preserve">links accessed </w:t>
                            </w:r>
                            <w:r w:rsidR="002C742D">
                              <w:rPr>
                                <w:sz w:val="19"/>
                                <w:szCs w:val="19"/>
                              </w:rPr>
                              <w:t>2</w:t>
                            </w:r>
                            <w:r>
                              <w:rPr>
                                <w:sz w:val="19"/>
                                <w:szCs w:val="19"/>
                              </w:rPr>
                              <w:t xml:space="preserve"> April 202</w:t>
                            </w:r>
                            <w:r w:rsidR="002C742D">
                              <w:rPr>
                                <w:sz w:val="19"/>
                                <w:szCs w:val="19"/>
                              </w:rPr>
                              <w:t>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4FE13D" id="_x0000_s1030" type="#_x0000_t202" style="position:absolute;left:0;text-align:left;margin-left:255.3pt;margin-top:11.25pt;width:224.4pt;height:2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" strokecolor="#a5a5a5 [2092]">
                <v:textbox>
                  <w:txbxContent>
                    <w:p w14:paraId="671DD1FF" w14:textId="3C146371" w:rsidR="005C1CA3" w:rsidRPr="0049581C" w:rsidRDefault="00385FFE" w:rsidP="005C1CA3">
                      <w:pPr>
                        <w:spacing w:before="0"/>
                        <w:ind w:left="714" w:hanging="357"/>
                        <w:jc w:val="center"/>
                        <w:rPr>
                          <w:b/>
                          <w:sz w:val="19"/>
                          <w:szCs w:val="19"/>
                          <w:lang w:val="en-US"/>
                        </w:rPr>
                      </w:pPr>
                      <w:r>
                        <w:rPr>
                          <w:b/>
                          <w:sz w:val="19"/>
                          <w:szCs w:val="19"/>
                          <w:lang w:val="en-US"/>
                        </w:rPr>
                        <w:t>PR l</w:t>
                      </w:r>
                      <w:r w:rsidR="005C1CA3">
                        <w:rPr>
                          <w:b/>
                          <w:sz w:val="19"/>
                          <w:szCs w:val="19"/>
                          <w:lang w:val="en-US"/>
                        </w:rPr>
                        <w:t>evel 2</w:t>
                      </w:r>
                      <w:r w:rsidR="005A42DE">
                        <w:rPr>
                          <w:b/>
                          <w:sz w:val="19"/>
                          <w:szCs w:val="19"/>
                          <w:lang w:val="en-US"/>
                        </w:rPr>
                        <w:t xml:space="preserve"> and</w:t>
                      </w:r>
                      <w:r w:rsidR="00694179">
                        <w:rPr>
                          <w:b/>
                          <w:sz w:val="19"/>
                          <w:szCs w:val="19"/>
                          <w:lang w:val="en-US"/>
                        </w:rPr>
                        <w:t xml:space="preserve"> </w:t>
                      </w:r>
                      <w:r w:rsidR="005C1CA3">
                        <w:rPr>
                          <w:b/>
                          <w:sz w:val="19"/>
                          <w:szCs w:val="19"/>
                          <w:lang w:val="en-US"/>
                        </w:rPr>
                        <w:t>3 texts</w:t>
                      </w:r>
                    </w:p>
                    <w:p w14:paraId="3898B379" w14:textId="0CA966DF" w:rsidR="00694179" w:rsidRDefault="00694179" w:rsidP="005C1CA3">
                      <w:pPr>
                        <w:pStyle w:val="Standardwithparanumbering"/>
                        <w:numPr>
                          <w:ilvl w:val="0"/>
                          <w:numId w:val="0"/>
                        </w:numPr>
                        <w:spacing w:before="0"/>
                        <w:rPr>
                          <w:sz w:val="19"/>
                          <w:szCs w:val="19"/>
                        </w:rPr>
                      </w:pPr>
                      <w:r>
                        <w:rPr>
                          <w:sz w:val="19"/>
                          <w:szCs w:val="19"/>
                        </w:rPr>
                        <w:t>The most important level 2</w:t>
                      </w:r>
                      <w:r w:rsidR="005A42DE">
                        <w:rPr>
                          <w:sz w:val="19"/>
                          <w:szCs w:val="19"/>
                        </w:rPr>
                        <w:t xml:space="preserve"> and</w:t>
                      </w:r>
                      <w:r>
                        <w:rPr>
                          <w:sz w:val="19"/>
                          <w:szCs w:val="19"/>
                        </w:rPr>
                        <w:t xml:space="preserve"> 3 texts relating to the PR are:</w:t>
                      </w:r>
                    </w:p>
                    <w:p w14:paraId="14CB082E" w14:textId="248E47CB" w:rsidR="00694179" w:rsidRDefault="009254B1" w:rsidP="00AB42AA">
                      <w:pPr>
                        <w:pStyle w:val="Standardwithparanumbering"/>
                        <w:numPr>
                          <w:ilvl w:val="0"/>
                          <w:numId w:val="13"/>
                        </w:numPr>
                        <w:spacing w:before="0"/>
                        <w:rPr>
                          <w:sz w:val="19"/>
                          <w:szCs w:val="19"/>
                        </w:rPr>
                      </w:pPr>
                      <w:r w:rsidRPr="009254B1">
                        <w:rPr>
                          <w:sz w:val="19"/>
                          <w:szCs w:val="19"/>
                        </w:rPr>
                        <w:t>Commission Delegated Regulation (EU) 2019/980 as regards the format, content, scrutiny and approval of the prospectus</w:t>
                      </w:r>
                    </w:p>
                    <w:p w14:paraId="0164F0AB" w14:textId="3F5E7E57" w:rsidR="009254B1" w:rsidRDefault="009254B1" w:rsidP="00AB42AA">
                      <w:pPr>
                        <w:pStyle w:val="Standardwithparanumbering"/>
                        <w:numPr>
                          <w:ilvl w:val="0"/>
                          <w:numId w:val="13"/>
                        </w:numPr>
                        <w:spacing w:before="0"/>
                        <w:rPr>
                          <w:sz w:val="19"/>
                          <w:szCs w:val="19"/>
                        </w:rPr>
                      </w:pPr>
                      <w:r>
                        <w:rPr>
                          <w:sz w:val="19"/>
                          <w:szCs w:val="19"/>
                        </w:rPr>
                        <w:t>ESMA Guidelines on Risk Factors (</w:t>
                      </w:r>
                      <w:hyperlink r:id="rId22" w:history="1">
                        <w:r w:rsidRPr="00951D98">
                          <w:rPr>
                            <w:rStyle w:val="Hyperlink"/>
                            <w:sz w:val="19"/>
                            <w:szCs w:val="19"/>
                          </w:rPr>
                          <w:t>https://www.esma.europa.eu/sites/default/files/library/esma31-62-1293_guidelines_on_risk_factors_under_the_prospectus_regulation.pdf</w:t>
                        </w:r>
                      </w:hyperlink>
                      <w:r>
                        <w:rPr>
                          <w:sz w:val="19"/>
                          <w:szCs w:val="19"/>
                        </w:rPr>
                        <w:t>)</w:t>
                      </w:r>
                    </w:p>
                    <w:p w14:paraId="21CE75DA" w14:textId="69D72AB5" w:rsidR="009254B1" w:rsidRPr="00881EF0" w:rsidRDefault="009254B1" w:rsidP="00AB42AA">
                      <w:pPr>
                        <w:pStyle w:val="Standardwithparanumbering"/>
                        <w:numPr>
                          <w:ilvl w:val="0"/>
                          <w:numId w:val="13"/>
                        </w:numPr>
                        <w:spacing w:before="0"/>
                        <w:rPr>
                          <w:sz w:val="19"/>
                          <w:szCs w:val="19"/>
                          <w:lang w:val="pt-BR"/>
                        </w:rPr>
                      </w:pPr>
                      <w:r w:rsidRPr="00881EF0">
                        <w:rPr>
                          <w:sz w:val="19"/>
                          <w:szCs w:val="19"/>
                          <w:lang w:val="pt-BR"/>
                        </w:rPr>
                        <w:t>ESMA Q&amp;A PR (</w:t>
                      </w:r>
                      <w:hyperlink r:id="rId23" w:history="1">
                        <w:r w:rsidRPr="00881EF0">
                          <w:rPr>
                            <w:rStyle w:val="Hyperlink"/>
                            <w:sz w:val="19"/>
                            <w:szCs w:val="19"/>
                            <w:lang w:val="pt-BR"/>
                          </w:rPr>
                          <w:t>https://www.esma.europa.eu/sites/default/files/library/esma31-62-1258_prospectus_regulation_qas.pdf</w:t>
                        </w:r>
                      </w:hyperlink>
                      <w:r w:rsidRPr="00881EF0">
                        <w:rPr>
                          <w:sz w:val="19"/>
                          <w:szCs w:val="19"/>
                          <w:lang w:val="pt-BR"/>
                        </w:rPr>
                        <w:t xml:space="preserve">) </w:t>
                      </w:r>
                    </w:p>
                    <w:p w14:paraId="0C29352E" w14:textId="289BA84B" w:rsidR="005C1CA3" w:rsidRPr="0049581C" w:rsidRDefault="009254B1" w:rsidP="005C1CA3">
                      <w:pPr>
                        <w:pStyle w:val="Standardwithparanumbering"/>
                        <w:numPr>
                          <w:ilvl w:val="0"/>
                          <w:numId w:val="0"/>
                        </w:numPr>
                        <w:spacing w:before="0"/>
                        <w:rPr>
                          <w:sz w:val="19"/>
                          <w:szCs w:val="19"/>
                        </w:rPr>
                      </w:pPr>
                      <w:r>
                        <w:rPr>
                          <w:sz w:val="19"/>
                          <w:szCs w:val="19"/>
                        </w:rPr>
                        <w:t xml:space="preserve">For more </w:t>
                      </w:r>
                      <w:r w:rsidR="005C1CA3">
                        <w:rPr>
                          <w:sz w:val="19"/>
                          <w:szCs w:val="19"/>
                        </w:rPr>
                        <w:t xml:space="preserve">level 2 and level 3 texts relating to the </w:t>
                      </w:r>
                      <w:r>
                        <w:rPr>
                          <w:sz w:val="19"/>
                          <w:szCs w:val="19"/>
                        </w:rPr>
                        <w:t xml:space="preserve">PR, see: </w:t>
                      </w:r>
                      <w:hyperlink r:id="rId24" w:history="1">
                        <w:r w:rsidR="005C1CA3" w:rsidRPr="0007461A">
                          <w:rPr>
                            <w:rStyle w:val="Hyperlink"/>
                            <w:sz w:val="19"/>
                            <w:szCs w:val="19"/>
                          </w:rPr>
                          <w:t>https://www.luxse.com/regulation/prospectus-regime</w:t>
                        </w:r>
                      </w:hyperlink>
                      <w:r w:rsidR="005C1CA3">
                        <w:rPr>
                          <w:sz w:val="19"/>
                          <w:szCs w:val="19"/>
                        </w:rPr>
                        <w:t>.</w:t>
                      </w:r>
                    </w:p>
                    <w:p w14:paraId="23E9DC09" w14:textId="0C137A23" w:rsidR="005C1CA3" w:rsidRPr="005E6FCB" w:rsidRDefault="005E6FCB" w:rsidP="005E6FCB">
                      <w:pPr>
                        <w:pStyle w:val="Standardwithparanumbering"/>
                        <w:numPr>
                          <w:ilvl w:val="0"/>
                          <w:numId w:val="0"/>
                        </w:numPr>
                        <w:spacing w:before="0"/>
                        <w:rPr>
                          <w:sz w:val="19"/>
                          <w:szCs w:val="19"/>
                        </w:rPr>
                      </w:pPr>
                      <w:r w:rsidRPr="005E6FCB">
                        <w:rPr>
                          <w:sz w:val="19"/>
                          <w:szCs w:val="19"/>
                        </w:rPr>
                        <w:t xml:space="preserve">All </w:t>
                      </w:r>
                      <w:r>
                        <w:rPr>
                          <w:sz w:val="19"/>
                          <w:szCs w:val="19"/>
                        </w:rPr>
                        <w:t xml:space="preserve">links accessed </w:t>
                      </w:r>
                      <w:r w:rsidR="002C742D">
                        <w:rPr>
                          <w:sz w:val="19"/>
                          <w:szCs w:val="19"/>
                        </w:rPr>
                        <w:t>2</w:t>
                      </w:r>
                      <w:r>
                        <w:rPr>
                          <w:sz w:val="19"/>
                          <w:szCs w:val="19"/>
                        </w:rPr>
                        <w:t xml:space="preserve"> April 202</w:t>
                      </w:r>
                      <w:r w:rsidR="002C742D">
                        <w:rPr>
                          <w:sz w:val="19"/>
                          <w:szCs w:val="19"/>
                        </w:rPr>
                        <w:t>5</w:t>
                      </w:r>
                    </w:p>
                  </w:txbxContent>
                </v:textbox>
                <w10:wrap type="square"/>
              </v:shape>
            </w:pict>
          </mc:Fallback>
        </mc:AlternateContent>
      </w:r>
      <w:r w:rsidR="003842A0" w:rsidRPr="002121A4">
        <w:rPr>
          <w:lang w:val="en-GB"/>
        </w:rPr>
        <w:t>Overview</w:t>
      </w:r>
      <w:bookmarkEnd w:id="82"/>
      <w:bookmarkEnd w:id="83"/>
    </w:p>
    <w:p w14:paraId="5E68FEB3" w14:textId="0DCCDC6A" w:rsidR="00410098" w:rsidRPr="002121A4" w:rsidRDefault="000F4B2D" w:rsidP="006E2EEB">
      <w:pPr>
        <w:pStyle w:val="Standardwithparanumbering"/>
      </w:pPr>
      <w:r w:rsidRPr="002121A4">
        <w:t xml:space="preserve">The placement of securities requires particular arrangements </w:t>
      </w:r>
      <w:r w:rsidR="003842A0" w:rsidRPr="002121A4">
        <w:t>to protect investors</w:t>
      </w:r>
      <w:r w:rsidR="00A408D2" w:rsidRPr="002121A4">
        <w:t>:</w:t>
      </w:r>
      <w:r w:rsidRPr="002121A4">
        <w:t xml:space="preserve"> </w:t>
      </w:r>
      <w:r w:rsidR="005A42DE" w:rsidRPr="002121A4">
        <w:t>a key instrument</w:t>
      </w:r>
      <w:r w:rsidRPr="002121A4">
        <w:t xml:space="preserve"> for this</w:t>
      </w:r>
      <w:r w:rsidR="00667CCA">
        <w:t xml:space="preserve"> purpose</w:t>
      </w:r>
      <w:r w:rsidRPr="002121A4">
        <w:t xml:space="preserve"> is adequate disclosure.</w:t>
      </w:r>
      <w:r w:rsidR="003842A0" w:rsidRPr="002121A4">
        <w:t xml:space="preserve"> Such disclosure removes asymmetries of information between investors and issuers and allows investors to make an informed decision</w:t>
      </w:r>
      <w:r w:rsidR="005A42DE" w:rsidRPr="002121A4">
        <w:t xml:space="preserve"> prior to investing</w:t>
      </w:r>
      <w:r w:rsidR="003842A0" w:rsidRPr="002121A4">
        <w:t xml:space="preserve">. </w:t>
      </w:r>
      <w:r w:rsidRPr="002121A4">
        <w:t xml:space="preserve">Certain </w:t>
      </w:r>
      <w:r w:rsidR="003842A0" w:rsidRPr="002121A4">
        <w:t>offers and admission</w:t>
      </w:r>
      <w:r w:rsidRPr="002121A4">
        <w:t>s</w:t>
      </w:r>
      <w:r w:rsidR="003842A0" w:rsidRPr="002121A4">
        <w:t xml:space="preserve"> to trading are therefore subject to a specific disclosure regime under EU law which requires the publication of a securities prospectus prior to a public offering or </w:t>
      </w:r>
      <w:r w:rsidR="00A408D2" w:rsidRPr="002121A4">
        <w:t xml:space="preserve">an </w:t>
      </w:r>
      <w:r w:rsidR="003842A0" w:rsidRPr="002121A4">
        <w:t>admission of securities to a regulated market.</w:t>
      </w:r>
      <w:r w:rsidR="002230AA" w:rsidRPr="002121A4">
        <w:t xml:space="preserve"> At EU level, a prospectus regime was first introduced in the 1980s through directives</w:t>
      </w:r>
      <w:r w:rsidR="004E7EC3" w:rsidRPr="002121A4">
        <w:t>.</w:t>
      </w:r>
      <w:r w:rsidR="002230AA" w:rsidRPr="002121A4">
        <w:rPr>
          <w:rStyle w:val="Funotenzeichen"/>
        </w:rPr>
        <w:footnoteReference w:id="103"/>
      </w:r>
      <w:r w:rsidR="002230AA" w:rsidRPr="002121A4">
        <w:t xml:space="preserve"> </w:t>
      </w:r>
      <w:r w:rsidR="004E7EC3" w:rsidRPr="002121A4">
        <w:t xml:space="preserve">This regime was replaced, in 2017, by the Prospectus </w:t>
      </w:r>
      <w:r w:rsidR="003842A0" w:rsidRPr="002121A4">
        <w:t xml:space="preserve">Regulation </w:t>
      </w:r>
      <w:r w:rsidR="004E7EC3" w:rsidRPr="002121A4">
        <w:t>(</w:t>
      </w:r>
      <w:r w:rsidR="003842A0" w:rsidRPr="002121A4">
        <w:t>PR).</w:t>
      </w:r>
      <w:r w:rsidR="00664A66" w:rsidRPr="002121A4">
        <w:t xml:space="preserve"> </w:t>
      </w:r>
      <w:r w:rsidR="00BF5CDE" w:rsidRPr="002121A4">
        <w:t>At level</w:t>
      </w:r>
      <w:r w:rsidR="00F97692" w:rsidRPr="002121A4">
        <w:t> </w:t>
      </w:r>
      <w:r w:rsidR="00BF5CDE" w:rsidRPr="002121A4">
        <w:t>2, t</w:t>
      </w:r>
      <w:r w:rsidR="00664A66" w:rsidRPr="002121A4">
        <w:t>he PR is supplemented</w:t>
      </w:r>
      <w:r w:rsidR="00B96A5A" w:rsidRPr="002121A4">
        <w:t xml:space="preserve">, </w:t>
      </w:r>
      <w:r w:rsidR="00B96A5A" w:rsidRPr="002121A4">
        <w:rPr>
          <w:i/>
        </w:rPr>
        <w:t>inter alia</w:t>
      </w:r>
      <w:r w:rsidR="00B96A5A" w:rsidRPr="002121A4">
        <w:t>,</w:t>
      </w:r>
      <w:r w:rsidR="00664A66" w:rsidRPr="002121A4">
        <w:t xml:space="preserve"> by Commission </w:t>
      </w:r>
      <w:r w:rsidR="00D60C37" w:rsidRPr="002121A4">
        <w:t>Delegated Regulation (EU) 2019/980</w:t>
      </w:r>
      <w:r w:rsidR="00664A66" w:rsidRPr="002121A4">
        <w:t xml:space="preserve"> as regards the format, content, scrutiny and approval of securities prospectuses.</w:t>
      </w:r>
      <w:r w:rsidR="00664A66" w:rsidRPr="002121A4">
        <w:rPr>
          <w:rStyle w:val="Funotenzeichen"/>
        </w:rPr>
        <w:footnoteReference w:id="104"/>
      </w:r>
      <w:r w:rsidR="000A0E19" w:rsidRPr="002121A4">
        <w:t xml:space="preserve"> There is also a number of level 3</w:t>
      </w:r>
      <w:r w:rsidR="00ED2909" w:rsidRPr="002121A4">
        <w:t xml:space="preserve"> </w:t>
      </w:r>
      <w:r w:rsidR="000A0E19" w:rsidRPr="002121A4">
        <w:t xml:space="preserve">texts such as </w:t>
      </w:r>
      <w:r w:rsidR="0000015C" w:rsidRPr="002121A4">
        <w:rPr>
          <w:i/>
        </w:rPr>
        <w:t>ESMA Guidelines on risk factors under the Prospectus Regulation</w:t>
      </w:r>
      <w:r w:rsidR="000A0E19" w:rsidRPr="002121A4">
        <w:t xml:space="preserve"> and </w:t>
      </w:r>
      <w:r w:rsidR="000A0E19" w:rsidRPr="002121A4">
        <w:rPr>
          <w:i/>
        </w:rPr>
        <w:t>ESMA</w:t>
      </w:r>
      <w:r w:rsidR="0000015C" w:rsidRPr="002121A4">
        <w:rPr>
          <w:i/>
        </w:rPr>
        <w:t xml:space="preserve"> Questions and Answers on the Prospectus Regulation</w:t>
      </w:r>
      <w:r w:rsidR="0000015C" w:rsidRPr="002121A4">
        <w:t>.</w:t>
      </w:r>
      <w:r w:rsidR="000A0E19" w:rsidRPr="002121A4">
        <w:rPr>
          <w:rStyle w:val="Funotenzeichen"/>
        </w:rPr>
        <w:footnoteReference w:id="105"/>
      </w:r>
      <w:r w:rsidR="000A0E19" w:rsidRPr="002121A4">
        <w:t xml:space="preserve"> Implementing legislation in Germany is the </w:t>
      </w:r>
      <w:proofErr w:type="spellStart"/>
      <w:r w:rsidR="00D442AE" w:rsidRPr="002121A4">
        <w:rPr>
          <w:i/>
        </w:rPr>
        <w:t>Wertpapierprospektgesetz</w:t>
      </w:r>
      <w:proofErr w:type="spellEnd"/>
      <w:r w:rsidR="000A0E19" w:rsidRPr="002121A4">
        <w:t xml:space="preserve"> (</w:t>
      </w:r>
      <w:proofErr w:type="spellStart"/>
      <w:r w:rsidR="000A0E19" w:rsidRPr="002121A4">
        <w:t>WpPG</w:t>
      </w:r>
      <w:proofErr w:type="spellEnd"/>
      <w:r w:rsidR="000A0E19" w:rsidRPr="002121A4">
        <w:t>)</w:t>
      </w:r>
      <w:r w:rsidR="00723535">
        <w:t>.</w:t>
      </w:r>
      <w:r w:rsidR="000A0E19" w:rsidRPr="002121A4">
        <w:t xml:space="preserve"> </w:t>
      </w:r>
    </w:p>
    <w:p w14:paraId="77A64D3F" w14:textId="11FCFC9F" w:rsidR="00E51CCF" w:rsidRPr="002121A4" w:rsidRDefault="00E51CCF" w:rsidP="00453048">
      <w:pPr>
        <w:pStyle w:val="berschrift2"/>
        <w:rPr>
          <w:lang w:val="en-GB"/>
        </w:rPr>
      </w:pPr>
      <w:bookmarkStart w:id="84" w:name="_Toc194577771"/>
      <w:r w:rsidRPr="002121A4">
        <w:rPr>
          <w:lang w:val="en-GB"/>
        </w:rPr>
        <w:t>EU Prospectus Regulation</w:t>
      </w:r>
      <w:bookmarkEnd w:id="84"/>
    </w:p>
    <w:p w14:paraId="45E7047D" w14:textId="77777777" w:rsidR="006E2EEB" w:rsidRPr="00F9205E" w:rsidRDefault="006E2EEB" w:rsidP="006E2EEB">
      <w:pPr>
        <w:pStyle w:val="berschrift3"/>
        <w:rPr>
          <w:lang w:val="fr-CA"/>
        </w:rPr>
      </w:pPr>
      <w:r w:rsidRPr="00F9205E">
        <w:rPr>
          <w:lang w:val="fr-CA"/>
        </w:rPr>
        <w:t xml:space="preserve">Prospectus </w:t>
      </w:r>
      <w:proofErr w:type="spellStart"/>
      <w:r w:rsidRPr="00F9205E">
        <w:rPr>
          <w:lang w:val="fr-CA"/>
        </w:rPr>
        <w:t>requirements</w:t>
      </w:r>
      <w:proofErr w:type="spellEnd"/>
      <w:r w:rsidRPr="00F9205E">
        <w:rPr>
          <w:lang w:val="fr-CA"/>
        </w:rPr>
        <w:t xml:space="preserve"> (</w:t>
      </w:r>
      <w:proofErr w:type="spellStart"/>
      <w:r w:rsidRPr="00F9205E">
        <w:rPr>
          <w:lang w:val="fr-CA"/>
        </w:rPr>
        <w:t>principles</w:t>
      </w:r>
      <w:proofErr w:type="spellEnd"/>
      <w:r w:rsidRPr="00F9205E">
        <w:rPr>
          <w:lang w:val="fr-CA"/>
        </w:rPr>
        <w:t xml:space="preserve">, exceptions; </w:t>
      </w:r>
      <w:proofErr w:type="spellStart"/>
      <w:r w:rsidRPr="00F9205E">
        <w:rPr>
          <w:lang w:val="fr-CA"/>
        </w:rPr>
        <w:t>chapter</w:t>
      </w:r>
      <w:proofErr w:type="spellEnd"/>
      <w:r w:rsidRPr="00F9205E">
        <w:rPr>
          <w:lang w:val="fr-CA"/>
        </w:rPr>
        <w:t xml:space="preserve"> I PR)</w:t>
      </w:r>
    </w:p>
    <w:p w14:paraId="31740AC6" w14:textId="7063BB47" w:rsidR="006E2EEB" w:rsidRPr="002121A4" w:rsidRDefault="006E2EEB" w:rsidP="006E2EEB">
      <w:pPr>
        <w:pStyle w:val="berschrift4"/>
        <w:rPr>
          <w:lang w:val="en-GB"/>
        </w:rPr>
      </w:pPr>
      <w:r w:rsidRPr="002121A4">
        <w:rPr>
          <w:lang w:val="en-GB"/>
        </w:rPr>
        <w:t xml:space="preserve">Securities </w:t>
      </w:r>
    </w:p>
    <w:p w14:paraId="3A99F320" w14:textId="26EEA399" w:rsidR="006E2EEB" w:rsidRPr="002121A4" w:rsidRDefault="006E2EEB" w:rsidP="000233F2">
      <w:pPr>
        <w:pStyle w:val="Standardwithparanumbering"/>
      </w:pPr>
      <w:r w:rsidRPr="002121A4">
        <w:t>The scope of the PR is limited to offerings and admissions of “securities”</w:t>
      </w:r>
      <w:r w:rsidR="00BA4D45" w:rsidRPr="002121A4">
        <w:t xml:space="preserve"> to trading</w:t>
      </w:r>
      <w:r w:rsidRPr="002121A4">
        <w:t>.</w:t>
      </w:r>
      <w:r w:rsidRPr="002121A4">
        <w:rPr>
          <w:rStyle w:val="Funotenzeichen"/>
        </w:rPr>
        <w:footnoteReference w:id="106"/>
      </w:r>
      <w:r w:rsidRPr="002121A4">
        <w:t xml:space="preserve"> </w:t>
      </w:r>
      <w:r w:rsidR="00BA4D45" w:rsidRPr="002121A4">
        <w:t xml:space="preserve">Pursuant to </w:t>
      </w:r>
      <w:r w:rsidR="001870C0" w:rsidRPr="002121A4">
        <w:t>article </w:t>
      </w:r>
      <w:r w:rsidR="00BA4D45" w:rsidRPr="002121A4">
        <w:t xml:space="preserve">2(a) PR, </w:t>
      </w:r>
      <w:r w:rsidRPr="002121A4">
        <w:t>“</w:t>
      </w:r>
      <w:r w:rsidR="00BA4D45" w:rsidRPr="002121A4">
        <w:t>s</w:t>
      </w:r>
      <w:r w:rsidRPr="002121A4">
        <w:t xml:space="preserve">ecurities” within this meaning are transferable securities as </w:t>
      </w:r>
      <w:r w:rsidR="00E96BB4" w:rsidRPr="002121A4">
        <w:t>defined</w:t>
      </w:r>
      <w:r w:rsidRPr="002121A4">
        <w:t xml:space="preserve"> in </w:t>
      </w:r>
      <w:r w:rsidR="001870C0" w:rsidRPr="002121A4">
        <w:t>article </w:t>
      </w:r>
      <w:r w:rsidRPr="002121A4">
        <w:t>4(1)(44) MiFID II</w:t>
      </w:r>
      <w:r w:rsidR="00A049B5" w:rsidRPr="002121A4">
        <w:t>.</w:t>
      </w:r>
      <w:r w:rsidR="001C3D8A" w:rsidRPr="002121A4">
        <w:rPr>
          <w:rStyle w:val="Funotenzeichen"/>
        </w:rPr>
        <w:footnoteReference w:id="107"/>
      </w:r>
      <w:r w:rsidR="00A049B5" w:rsidRPr="002121A4">
        <w:t xml:space="preserve"> Certain types of</w:t>
      </w:r>
      <w:r w:rsidRPr="002121A4">
        <w:t xml:space="preserve"> </w:t>
      </w:r>
      <w:r w:rsidR="00A049B5" w:rsidRPr="002121A4">
        <w:t xml:space="preserve">securities are excluded from the scope of the regulation under </w:t>
      </w:r>
      <w:r w:rsidR="001870C0" w:rsidRPr="002121A4">
        <w:t>article </w:t>
      </w:r>
      <w:r w:rsidRPr="002121A4">
        <w:t>1(2) PR</w:t>
      </w:r>
      <w:r w:rsidR="00FB1F5E" w:rsidRPr="002121A4">
        <w:t>:</w:t>
      </w:r>
      <w:r w:rsidRPr="002121A4">
        <w:t xml:space="preserve"> An example of practical importance is </w:t>
      </w:r>
      <w:r w:rsidR="001870C0" w:rsidRPr="002121A4">
        <w:t>article </w:t>
      </w:r>
      <w:r w:rsidRPr="002121A4">
        <w:t xml:space="preserve">1(2)(b) PR which </w:t>
      </w:r>
      <w:r w:rsidR="00771BD5" w:rsidRPr="002121A4">
        <w:t>exempts</w:t>
      </w:r>
      <w:r w:rsidRPr="002121A4">
        <w:t xml:space="preserve"> non-equity securities issued by Member States or a Member State’s regional or local authorities and certain international institutions from the regulation. </w:t>
      </w:r>
      <w:r w:rsidR="00430AEF" w:rsidRPr="002121A4">
        <w:t xml:space="preserve">Another </w:t>
      </w:r>
      <w:r w:rsidRPr="002121A4">
        <w:t>example</w:t>
      </w:r>
      <w:r w:rsidR="00430AEF" w:rsidRPr="002121A4">
        <w:t xml:space="preserve"> relates to</w:t>
      </w:r>
      <w:r w:rsidRPr="002121A4">
        <w:t xml:space="preserve"> units in UCITS funds and other open-ended funds.</w:t>
      </w:r>
      <w:r w:rsidR="00430AEF" w:rsidRPr="002121A4">
        <w:rPr>
          <w:rStyle w:val="Funotenzeichen"/>
        </w:rPr>
        <w:footnoteReference w:id="108"/>
      </w:r>
      <w:r w:rsidRPr="002121A4">
        <w:t xml:space="preserve"> Disclosure in the context of distribution of fund units is therefore subject to specific legislation, namely </w:t>
      </w:r>
      <w:r w:rsidR="001870C0" w:rsidRPr="002121A4">
        <w:t>articles </w:t>
      </w:r>
      <w:r w:rsidRPr="002121A4">
        <w:t xml:space="preserve">68ff. UCITS Directive and </w:t>
      </w:r>
      <w:r w:rsidR="001870C0" w:rsidRPr="002121A4">
        <w:t>article </w:t>
      </w:r>
      <w:r w:rsidRPr="002121A4">
        <w:t xml:space="preserve">23 AIFMD </w:t>
      </w:r>
      <w:r w:rsidRPr="002121A4">
        <w:lastRenderedPageBreak/>
        <w:t xml:space="preserve">(implemented in Germany in the KAGB). For investments that fall outside the scope of EU disclosure requirements, domestic legislators can create dedicated disclosure regimes as is the case in Germany for the </w:t>
      </w:r>
      <w:proofErr w:type="spellStart"/>
      <w:r w:rsidRPr="000233F2">
        <w:rPr>
          <w:i/>
        </w:rPr>
        <w:t>Vermögensanlagengesetz</w:t>
      </w:r>
      <w:proofErr w:type="spellEnd"/>
      <w:r w:rsidRPr="002121A4">
        <w:t xml:space="preserve"> (</w:t>
      </w:r>
      <w:proofErr w:type="spellStart"/>
      <w:r w:rsidRPr="002121A4">
        <w:t>VermAnlG</w:t>
      </w:r>
      <w:proofErr w:type="spellEnd"/>
      <w:r w:rsidRPr="002121A4">
        <w:t xml:space="preserve">) which applies to </w:t>
      </w:r>
      <w:r w:rsidR="008D016B" w:rsidRPr="002121A4">
        <w:t>certain</w:t>
      </w:r>
      <w:r w:rsidRPr="002121A4">
        <w:t xml:space="preserve"> types of instruments </w:t>
      </w:r>
      <w:r w:rsidR="00DC204D" w:rsidRPr="002121A4">
        <w:t xml:space="preserve">not covered by the PR and the UCITS Directive, </w:t>
      </w:r>
      <w:r w:rsidRPr="002121A4">
        <w:t>such as profit participation instruments, subordinated loans</w:t>
      </w:r>
      <w:r w:rsidR="005A2DE5">
        <w:t>,</w:t>
      </w:r>
      <w:r w:rsidRPr="002121A4">
        <w:t xml:space="preserve"> and registered bonds.</w:t>
      </w:r>
    </w:p>
    <w:p w14:paraId="41EE6598" w14:textId="5F52B7D6" w:rsidR="00E51CCF" w:rsidRPr="002121A4" w:rsidRDefault="006E2EEB" w:rsidP="006E2EEB">
      <w:pPr>
        <w:pStyle w:val="berschrift4"/>
        <w:rPr>
          <w:lang w:val="en-GB"/>
        </w:rPr>
      </w:pPr>
      <w:r w:rsidRPr="002121A4">
        <w:rPr>
          <w:lang w:val="en-GB"/>
        </w:rPr>
        <w:t>Public offerings and admissions to trading</w:t>
      </w:r>
    </w:p>
    <w:p w14:paraId="559955E6" w14:textId="3406A45C" w:rsidR="00A06D06" w:rsidRPr="002121A4" w:rsidRDefault="00A06D06" w:rsidP="00C01523">
      <w:pPr>
        <w:pStyle w:val="Standardwithparanumbering"/>
      </w:pPr>
      <w:r w:rsidRPr="002121A4">
        <w:t xml:space="preserve">The Prospectus </w:t>
      </w:r>
      <w:r w:rsidR="009062F9" w:rsidRPr="002121A4">
        <w:t>R</w:t>
      </w:r>
      <w:r w:rsidRPr="002121A4">
        <w:t xml:space="preserve">egulation covers </w:t>
      </w:r>
      <w:r w:rsidR="00A50296" w:rsidRPr="002121A4">
        <w:t xml:space="preserve">two scenarios in which </w:t>
      </w:r>
      <w:r w:rsidRPr="002121A4">
        <w:t>prospectus</w:t>
      </w:r>
      <w:r w:rsidR="009062F9" w:rsidRPr="002121A4">
        <w:t>es</w:t>
      </w:r>
      <w:r w:rsidRPr="002121A4">
        <w:t xml:space="preserve"> have to be published</w:t>
      </w:r>
      <w:r w:rsidR="00A50296" w:rsidRPr="002121A4">
        <w:t xml:space="preserve">: this is the case where </w:t>
      </w:r>
      <w:r w:rsidRPr="002121A4">
        <w:t>securities are offered to the public</w:t>
      </w:r>
      <w:r w:rsidR="00CC0E36" w:rsidRPr="002121A4">
        <w:t>,</w:t>
      </w:r>
      <w:r w:rsidR="00A50296" w:rsidRPr="002121A4">
        <w:t xml:space="preserve"> and where they are</w:t>
      </w:r>
      <w:r w:rsidRPr="002121A4">
        <w:t xml:space="preserve"> admitted to trading on a regulated market.</w:t>
      </w:r>
      <w:r w:rsidR="009062F9" w:rsidRPr="002121A4">
        <w:rPr>
          <w:rStyle w:val="Funotenzeichen"/>
        </w:rPr>
        <w:footnoteReference w:id="109"/>
      </w:r>
      <w:r w:rsidRPr="002121A4">
        <w:t xml:space="preserve"> </w:t>
      </w:r>
    </w:p>
    <w:p w14:paraId="155D2BA9" w14:textId="20969B1F" w:rsidR="00F3724E" w:rsidRPr="002121A4" w:rsidRDefault="001870C0" w:rsidP="006204D7">
      <w:pPr>
        <w:pStyle w:val="Standardwithparanumbering"/>
      </w:pPr>
      <w:bookmarkStart w:id="85" w:name="_Ref130830685"/>
      <w:r w:rsidRPr="002121A4">
        <w:t>Article </w:t>
      </w:r>
      <w:r w:rsidR="00F3724E" w:rsidRPr="002121A4">
        <w:t xml:space="preserve">3(1) PR </w:t>
      </w:r>
      <w:r w:rsidR="006D0281" w:rsidRPr="002121A4">
        <w:t xml:space="preserve">deals with </w:t>
      </w:r>
      <w:r w:rsidR="00F3724E" w:rsidRPr="002121A4">
        <w:t>t</w:t>
      </w:r>
      <w:r w:rsidR="006204D7" w:rsidRPr="002121A4">
        <w:t xml:space="preserve">he publication of a prospectus </w:t>
      </w:r>
      <w:r w:rsidR="00F3724E" w:rsidRPr="002121A4">
        <w:t xml:space="preserve">where </w:t>
      </w:r>
      <w:r w:rsidR="006204D7" w:rsidRPr="002121A4">
        <w:t xml:space="preserve">securities </w:t>
      </w:r>
      <w:r w:rsidR="00F3724E" w:rsidRPr="002121A4">
        <w:t xml:space="preserve">are offered </w:t>
      </w:r>
      <w:r w:rsidR="006204D7" w:rsidRPr="002121A4">
        <w:t>to the public</w:t>
      </w:r>
      <w:r w:rsidR="00F3724E" w:rsidRPr="002121A4">
        <w:t>. An “offer to the public” means a communication presenting sufficient information so as to enable an investor to decide to purchase those securities, including placement of securities through financial intermediaries.</w:t>
      </w:r>
      <w:r w:rsidR="00FD4EDF" w:rsidRPr="002121A4">
        <w:rPr>
          <w:rStyle w:val="Funotenzeichen"/>
        </w:rPr>
        <w:footnoteReference w:id="110"/>
      </w:r>
      <w:r w:rsidR="00F3724E" w:rsidRPr="002121A4">
        <w:t xml:space="preserve"> </w:t>
      </w:r>
      <w:r w:rsidRPr="002121A4">
        <w:t>Article </w:t>
      </w:r>
      <w:r w:rsidR="00F3724E" w:rsidRPr="002121A4">
        <w:t xml:space="preserve">1(4) PR exempts certain types of offers from this requirement, </w:t>
      </w:r>
      <w:r w:rsidR="00F3724E" w:rsidRPr="002121A4">
        <w:rPr>
          <w:i/>
        </w:rPr>
        <w:t>inter alia</w:t>
      </w:r>
      <w:r w:rsidR="00F3724E" w:rsidRPr="002121A4">
        <w:t>, offers addressed solely to “qualified investors”,</w:t>
      </w:r>
      <w:r w:rsidR="00FD4EDF" w:rsidRPr="002121A4">
        <w:rPr>
          <w:rStyle w:val="Funotenzeichen"/>
        </w:rPr>
        <w:footnoteReference w:id="111"/>
      </w:r>
      <w:r w:rsidR="00F3724E" w:rsidRPr="002121A4">
        <w:t xml:space="preserve"> offers addressed to fewer than 150 natural or legal persons,</w:t>
      </w:r>
      <w:r w:rsidR="006207E6" w:rsidRPr="002121A4">
        <w:rPr>
          <w:rStyle w:val="Funotenzeichen"/>
        </w:rPr>
        <w:footnoteReference w:id="112"/>
      </w:r>
      <w:r w:rsidR="00F3724E" w:rsidRPr="002121A4">
        <w:t xml:space="preserve"> and offers of securities with a denominati</w:t>
      </w:r>
      <w:r w:rsidR="009C117C" w:rsidRPr="002121A4">
        <w:t>on</w:t>
      </w:r>
      <w:r w:rsidR="00F3724E" w:rsidRPr="002121A4">
        <w:t xml:space="preserve"> per unit of at least EUR</w:t>
      </w:r>
      <w:r w:rsidR="00FE0B26" w:rsidRPr="002121A4">
        <w:t> </w:t>
      </w:r>
      <w:r w:rsidR="00F3724E" w:rsidRPr="002121A4">
        <w:t>100 000 (</w:t>
      </w:r>
      <w:r w:rsidR="009C117C" w:rsidRPr="002121A4">
        <w:t xml:space="preserve">sometimes </w:t>
      </w:r>
      <w:r w:rsidR="00F3724E" w:rsidRPr="002121A4">
        <w:t>referred to as “wholesale” transactions).</w:t>
      </w:r>
      <w:r w:rsidR="009C117C" w:rsidRPr="002121A4">
        <w:rPr>
          <w:rStyle w:val="Funotenzeichen"/>
        </w:rPr>
        <w:footnoteReference w:id="113"/>
      </w:r>
      <w:r w:rsidR="00C12964" w:rsidRPr="002121A4">
        <w:t xml:space="preserve"> </w:t>
      </w:r>
      <w:r w:rsidR="00627BC9">
        <w:t>The Listing Act added two exemptions for the issuance of fungible securities, allowing for an unlimited offer of fungible securities that have been listed for at least 18 months on a regulated market or an SME growth market, and for a 30%</w:t>
      </w:r>
      <w:r w:rsidR="009D3167">
        <w:t>-in-a-year</w:t>
      </w:r>
      <w:r w:rsidR="00627BC9">
        <w:t xml:space="preserve"> increase in all other cases.</w:t>
      </w:r>
      <w:r w:rsidR="00627BC9">
        <w:rPr>
          <w:rStyle w:val="Funotenzeichen"/>
        </w:rPr>
        <w:footnoteReference w:id="114"/>
      </w:r>
      <w:r w:rsidR="00627BC9">
        <w:t xml:space="preserve"> </w:t>
      </w:r>
      <w:r w:rsidR="00C12964" w:rsidRPr="002121A4">
        <w:t xml:space="preserve">In addition to </w:t>
      </w:r>
      <w:r w:rsidRPr="002121A4">
        <w:t>article </w:t>
      </w:r>
      <w:r w:rsidR="00C12964" w:rsidRPr="002121A4">
        <w:t xml:space="preserve">1(4) PR, there is </w:t>
      </w:r>
      <w:r w:rsidR="00D37B92" w:rsidRPr="002121A4">
        <w:t xml:space="preserve">a </w:t>
      </w:r>
      <w:r w:rsidR="00C12964" w:rsidRPr="002121A4">
        <w:rPr>
          <w:i/>
        </w:rPr>
        <w:t>de minimis</w:t>
      </w:r>
      <w:r w:rsidR="00C12964" w:rsidRPr="002121A4">
        <w:t xml:space="preserve"> rule that allows Member States to exempt offers with a small volume from prospectus requirements.</w:t>
      </w:r>
      <w:r w:rsidR="00257748" w:rsidRPr="002121A4">
        <w:rPr>
          <w:rStyle w:val="Funotenzeichen"/>
        </w:rPr>
        <w:footnoteReference w:id="115"/>
      </w:r>
      <w:bookmarkEnd w:id="85"/>
    </w:p>
    <w:p w14:paraId="13EF6B18" w14:textId="6C0A7AB5" w:rsidR="00F635DE" w:rsidRPr="002121A4" w:rsidRDefault="00F635DE" w:rsidP="00AB42AA">
      <w:pPr>
        <w:pStyle w:val="Case"/>
        <w:numPr>
          <w:ilvl w:val="0"/>
          <w:numId w:val="14"/>
        </w:numPr>
        <w:ind w:left="567" w:firstLine="0"/>
        <w:rPr>
          <w:szCs w:val="23"/>
        </w:rPr>
      </w:pPr>
      <w:bookmarkStart w:id="86" w:name="_Ref143276504"/>
      <w:r w:rsidRPr="002121A4">
        <w:rPr>
          <w:szCs w:val="23"/>
        </w:rPr>
        <w:t>ADCADA is a company governed by Liechtenstein law and has its registered office in Liechtenstein. It is the issuer of the “</w:t>
      </w:r>
      <w:proofErr w:type="spellStart"/>
      <w:r w:rsidRPr="002121A4">
        <w:rPr>
          <w:szCs w:val="23"/>
        </w:rPr>
        <w:t>adcada.money</w:t>
      </w:r>
      <w:proofErr w:type="spellEnd"/>
      <w:r w:rsidRPr="002121A4">
        <w:rPr>
          <w:szCs w:val="23"/>
        </w:rPr>
        <w:t>” bonds. On its website https://adcada.money it releases the following information: “</w:t>
      </w:r>
      <w:r w:rsidRPr="002121A4">
        <w:t xml:space="preserve">100% top-tier business investment – 4.25 to 5.50% annual fixed interest rate – minimum term from 12 months – quarterly interest payments – investment possible from EUR 10 000 – no premium – no agency fees”. </w:t>
      </w:r>
      <w:r w:rsidRPr="002121A4">
        <w:rPr>
          <w:szCs w:val="23"/>
        </w:rPr>
        <w:t xml:space="preserve">The webpage includes the following disclaimer: “GET FURTHER INFORMATION HERE”. Does this require a prospectus under the </w:t>
      </w:r>
      <w:r w:rsidR="009D61B2">
        <w:rPr>
          <w:szCs w:val="23"/>
        </w:rPr>
        <w:t>PR</w:t>
      </w:r>
      <w:r w:rsidRPr="002121A4">
        <w:rPr>
          <w:szCs w:val="23"/>
        </w:rPr>
        <w:t xml:space="preserve">? Which regulator would approve a prospectus? How do you expect the Liechtenstein regulator to react if no prospectus is approved? (Case E-10/20, </w:t>
      </w:r>
      <w:r w:rsidRPr="002121A4">
        <w:rPr>
          <w:i/>
          <w:szCs w:val="23"/>
        </w:rPr>
        <w:t xml:space="preserve">ADCADA </w:t>
      </w:r>
      <w:proofErr w:type="spellStart"/>
      <w:r w:rsidRPr="002121A4">
        <w:rPr>
          <w:i/>
          <w:szCs w:val="23"/>
        </w:rPr>
        <w:t>Immobilien</w:t>
      </w:r>
      <w:proofErr w:type="spellEnd"/>
      <w:r w:rsidRPr="002121A4">
        <w:rPr>
          <w:i/>
          <w:szCs w:val="23"/>
        </w:rPr>
        <w:t xml:space="preserve"> AG PCC v. </w:t>
      </w:r>
      <w:r w:rsidR="009D61B2">
        <w:rPr>
          <w:i/>
          <w:szCs w:val="23"/>
        </w:rPr>
        <w:t>FMA</w:t>
      </w:r>
      <w:r w:rsidRPr="002121A4">
        <w:rPr>
          <w:szCs w:val="23"/>
        </w:rPr>
        <w:t>)</w:t>
      </w:r>
      <w:bookmarkEnd w:id="86"/>
    </w:p>
    <w:p w14:paraId="6FC9AA28" w14:textId="420D7707" w:rsidR="00733E5C" w:rsidRPr="002121A4" w:rsidRDefault="00733E5C" w:rsidP="00B73009">
      <w:pPr>
        <w:pStyle w:val="Case"/>
        <w:rPr>
          <w:szCs w:val="23"/>
        </w:rPr>
      </w:pPr>
      <w:r w:rsidRPr="002121A4">
        <w:rPr>
          <w:b/>
        </w:rPr>
        <w:t>Notes</w:t>
      </w:r>
      <w:r w:rsidR="000262FC" w:rsidRPr="002121A4">
        <w:rPr>
          <w:b/>
        </w:rPr>
        <w:t>.</w:t>
      </w:r>
      <w:r w:rsidR="00B73009" w:rsidRPr="002121A4">
        <w:rPr>
          <w:b/>
        </w:rPr>
        <w:t xml:space="preserve">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50F7B0D6" w14:textId="0F265BBA" w:rsidR="006204D7" w:rsidRPr="002121A4" w:rsidRDefault="001870C0" w:rsidP="006204D7">
      <w:pPr>
        <w:pStyle w:val="Standardwithparanumbering"/>
      </w:pPr>
      <w:r w:rsidRPr="002121A4">
        <w:lastRenderedPageBreak/>
        <w:t>Article </w:t>
      </w:r>
      <w:r w:rsidR="00910FD6" w:rsidRPr="002121A4">
        <w:t xml:space="preserve">3(3) PR requires publication of a prospectus prior to the </w:t>
      </w:r>
      <w:r w:rsidR="006204D7" w:rsidRPr="002121A4">
        <w:t>admission of securities to trading on a regulated market within the Union.</w:t>
      </w:r>
      <w:r w:rsidR="00884286" w:rsidRPr="002121A4">
        <w:rPr>
          <w:rStyle w:val="Funotenzeichen"/>
        </w:rPr>
        <w:footnoteReference w:id="116"/>
      </w:r>
      <w:r w:rsidR="00910FD6" w:rsidRPr="002121A4">
        <w:t xml:space="preserve"> </w:t>
      </w:r>
      <w:r w:rsidRPr="002121A4">
        <w:t>Article </w:t>
      </w:r>
      <w:r w:rsidR="00910FD6" w:rsidRPr="002121A4">
        <w:t xml:space="preserve">1(5) PR exempts certain types of securities admitted to trading. </w:t>
      </w:r>
      <w:r w:rsidR="00CB2F3D" w:rsidRPr="00CB2F3D">
        <w:t xml:space="preserve">The amendments </w:t>
      </w:r>
      <w:r w:rsidR="009710C6">
        <w:t xml:space="preserve">of </w:t>
      </w:r>
      <w:r w:rsidR="00CB2F3D">
        <w:t xml:space="preserve">the EU Listing Act </w:t>
      </w:r>
      <w:r w:rsidR="009710C6">
        <w:t xml:space="preserve">as regards listing prospectuses </w:t>
      </w:r>
      <w:r w:rsidR="00702EA9">
        <w:t>(para.</w:t>
      </w:r>
      <w:r w:rsidR="00A87694">
        <w:t> </w:t>
      </w:r>
      <w:r w:rsidR="00702EA9">
        <w:fldChar w:fldCharType="begin"/>
      </w:r>
      <w:r w:rsidR="00702EA9">
        <w:instrText xml:space="preserve"> REF _Ref130830685 \r \h </w:instrText>
      </w:r>
      <w:r w:rsidR="00702EA9">
        <w:fldChar w:fldCharType="separate"/>
      </w:r>
      <w:r w:rsidR="00D56145">
        <w:t>79</w:t>
      </w:r>
      <w:r w:rsidR="00702EA9">
        <w:fldChar w:fldCharType="end"/>
      </w:r>
      <w:r w:rsidR="00702EA9">
        <w:t xml:space="preserve"> above) </w:t>
      </w:r>
      <w:r w:rsidR="009710C6">
        <w:t>also apply to offe</w:t>
      </w:r>
      <w:r w:rsidR="00300BA7">
        <w:t>ri</w:t>
      </w:r>
      <w:r w:rsidR="009710C6">
        <w:t>ng prospectuses</w:t>
      </w:r>
      <w:r w:rsidR="00BB35BA">
        <w:t xml:space="preserve"> (article 3(5)(a), (</w:t>
      </w:r>
      <w:proofErr w:type="spellStart"/>
      <w:r w:rsidR="00BB35BA">
        <w:t>ba</w:t>
      </w:r>
      <w:proofErr w:type="spellEnd"/>
      <w:r w:rsidR="00BB35BA">
        <w:t>) PR)</w:t>
      </w:r>
      <w:r w:rsidR="00CB2F3D" w:rsidRPr="00CB2F3D">
        <w:t>.</w:t>
      </w:r>
    </w:p>
    <w:p w14:paraId="625ABC12" w14:textId="4255E123" w:rsidR="00EF0171" w:rsidRDefault="003A2ADF" w:rsidP="00356245">
      <w:pPr>
        <w:pStyle w:val="Standardwithparanumbering"/>
      </w:pPr>
      <w:r w:rsidRPr="002121A4">
        <w:t>Whenever a type of security, a type of offering or a type of admission is exempted from the scope of the regulation, issuers can still draw up a prospectus voluntarily (</w:t>
      </w:r>
      <w:r w:rsidR="001870C0" w:rsidRPr="002121A4">
        <w:t>article </w:t>
      </w:r>
      <w:r w:rsidRPr="002121A4">
        <w:t>4 PR).</w:t>
      </w:r>
    </w:p>
    <w:tbl>
      <w:tblPr>
        <w:tblStyle w:val="Tabellenraste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08"/>
        <w:gridCol w:w="4508"/>
      </w:tblGrid>
      <w:tr w:rsidR="00BE4BA4" w:rsidRPr="00080F04" w14:paraId="3D98CA5C" w14:textId="77777777" w:rsidTr="00BE4BA4">
        <w:tc>
          <w:tcPr>
            <w:tcW w:w="9016" w:type="dxa"/>
            <w:gridSpan w:val="2"/>
          </w:tcPr>
          <w:p w14:paraId="1EBFC297" w14:textId="3044DD43" w:rsidR="00BE4BA4" w:rsidRPr="005931F4" w:rsidRDefault="00BE4BA4" w:rsidP="005931F4">
            <w:pPr>
              <w:jc w:val="center"/>
              <w:rPr>
                <w:b/>
                <w:sz w:val="22"/>
                <w:szCs w:val="22"/>
                <w:lang w:val="fr-CA"/>
              </w:rPr>
            </w:pPr>
            <w:r w:rsidRPr="005931F4">
              <w:rPr>
                <w:b/>
                <w:sz w:val="22"/>
                <w:szCs w:val="22"/>
                <w:lang w:val="fr-CA"/>
              </w:rPr>
              <w:t xml:space="preserve">Prospectus </w:t>
            </w:r>
            <w:proofErr w:type="spellStart"/>
            <w:r w:rsidRPr="005931F4">
              <w:rPr>
                <w:b/>
                <w:sz w:val="22"/>
                <w:szCs w:val="22"/>
                <w:lang w:val="fr-CA"/>
              </w:rPr>
              <w:t>requirements</w:t>
            </w:r>
            <w:proofErr w:type="spellEnd"/>
            <w:r w:rsidRPr="005931F4">
              <w:rPr>
                <w:b/>
                <w:sz w:val="22"/>
                <w:szCs w:val="22"/>
                <w:lang w:val="fr-CA"/>
              </w:rPr>
              <w:t xml:space="preserve"> </w:t>
            </w:r>
            <w:proofErr w:type="spellStart"/>
            <w:r w:rsidRPr="005931F4">
              <w:rPr>
                <w:b/>
                <w:sz w:val="22"/>
                <w:szCs w:val="22"/>
                <w:lang w:val="fr-CA"/>
              </w:rPr>
              <w:t>under</w:t>
            </w:r>
            <w:proofErr w:type="spellEnd"/>
            <w:r w:rsidRPr="005931F4">
              <w:rPr>
                <w:b/>
                <w:sz w:val="22"/>
                <w:szCs w:val="22"/>
                <w:lang w:val="fr-CA"/>
              </w:rPr>
              <w:t xml:space="preserve"> article 3 PR</w:t>
            </w:r>
          </w:p>
        </w:tc>
      </w:tr>
      <w:tr w:rsidR="00BE4BA4" w:rsidRPr="005931F4" w14:paraId="489E1083" w14:textId="77777777" w:rsidTr="00BE4BA4">
        <w:tc>
          <w:tcPr>
            <w:tcW w:w="4508" w:type="dxa"/>
          </w:tcPr>
          <w:p w14:paraId="29980B68" w14:textId="1A3D70E8" w:rsidR="00BE4BA4" w:rsidRPr="005931F4" w:rsidRDefault="00BE4BA4" w:rsidP="005931F4">
            <w:pPr>
              <w:jc w:val="center"/>
              <w:rPr>
                <w:sz w:val="22"/>
                <w:szCs w:val="22"/>
              </w:rPr>
            </w:pPr>
            <w:proofErr w:type="spellStart"/>
            <w:r w:rsidRPr="005931F4">
              <w:rPr>
                <w:sz w:val="22"/>
                <w:szCs w:val="22"/>
              </w:rPr>
              <w:t>Offering</w:t>
            </w:r>
            <w:proofErr w:type="spellEnd"/>
            <w:r w:rsidRPr="005931F4">
              <w:rPr>
                <w:sz w:val="22"/>
                <w:szCs w:val="22"/>
              </w:rPr>
              <w:t xml:space="preserve"> </w:t>
            </w:r>
            <w:proofErr w:type="spellStart"/>
            <w:r w:rsidRPr="005931F4">
              <w:rPr>
                <w:sz w:val="22"/>
                <w:szCs w:val="22"/>
              </w:rPr>
              <w:t>Prospectus</w:t>
            </w:r>
            <w:proofErr w:type="spellEnd"/>
            <w:r w:rsidRPr="005931F4">
              <w:rPr>
                <w:sz w:val="22"/>
                <w:szCs w:val="22"/>
              </w:rPr>
              <w:br/>
              <w:t>(</w:t>
            </w:r>
            <w:proofErr w:type="spellStart"/>
            <w:r w:rsidRPr="005931F4">
              <w:rPr>
                <w:sz w:val="22"/>
                <w:szCs w:val="22"/>
              </w:rPr>
              <w:t>article</w:t>
            </w:r>
            <w:proofErr w:type="spellEnd"/>
            <w:r w:rsidRPr="005931F4">
              <w:rPr>
                <w:sz w:val="22"/>
                <w:szCs w:val="22"/>
              </w:rPr>
              <w:t xml:space="preserve"> 3(1) PR)</w:t>
            </w:r>
          </w:p>
        </w:tc>
        <w:tc>
          <w:tcPr>
            <w:tcW w:w="4508" w:type="dxa"/>
          </w:tcPr>
          <w:p w14:paraId="48FA6268" w14:textId="7B3C27AE" w:rsidR="00BE4BA4" w:rsidRPr="005931F4" w:rsidRDefault="00BE4BA4" w:rsidP="005931F4">
            <w:pPr>
              <w:jc w:val="center"/>
              <w:rPr>
                <w:sz w:val="22"/>
                <w:szCs w:val="22"/>
              </w:rPr>
            </w:pPr>
            <w:r w:rsidRPr="005931F4">
              <w:rPr>
                <w:sz w:val="22"/>
                <w:szCs w:val="22"/>
              </w:rPr>
              <w:t>Admission Prospectus</w:t>
            </w:r>
            <w:r w:rsidRPr="005931F4">
              <w:rPr>
                <w:sz w:val="22"/>
                <w:szCs w:val="22"/>
              </w:rPr>
              <w:br/>
              <w:t xml:space="preserve"> (article 3(3) PR)</w:t>
            </w:r>
          </w:p>
        </w:tc>
      </w:tr>
      <w:tr w:rsidR="00BE4BA4" w:rsidRPr="005931F4" w14:paraId="4A41766F" w14:textId="77777777" w:rsidTr="00BE4BA4">
        <w:tc>
          <w:tcPr>
            <w:tcW w:w="4508" w:type="dxa"/>
          </w:tcPr>
          <w:p w14:paraId="18EF54C3" w14:textId="3D70B0F5" w:rsidR="00BE4BA4" w:rsidRPr="005931F4" w:rsidRDefault="00BE4BA4" w:rsidP="005931F4">
            <w:pPr>
              <w:rPr>
                <w:sz w:val="22"/>
                <w:szCs w:val="22"/>
                <w:lang w:val="en-US"/>
              </w:rPr>
            </w:pPr>
            <w:r w:rsidRPr="005931F4">
              <w:rPr>
                <w:sz w:val="22"/>
                <w:szCs w:val="22"/>
                <w:lang w:val="en-US"/>
              </w:rPr>
              <w:t xml:space="preserve">Applies to “public offerings” </w:t>
            </w:r>
            <w:r w:rsidR="009D50A2" w:rsidRPr="005931F4">
              <w:rPr>
                <w:sz w:val="22"/>
                <w:szCs w:val="22"/>
                <w:lang w:val="en-US"/>
              </w:rPr>
              <w:br/>
            </w:r>
            <w:r w:rsidRPr="005931F4">
              <w:rPr>
                <w:sz w:val="22"/>
                <w:szCs w:val="22"/>
                <w:lang w:val="en-US"/>
              </w:rPr>
              <w:t>within the meaning of article 2(d) PR</w:t>
            </w:r>
          </w:p>
          <w:p w14:paraId="72EC5E88" w14:textId="27418677" w:rsidR="00BE4BA4" w:rsidRPr="005931F4" w:rsidRDefault="00BE4BA4" w:rsidP="005931F4">
            <w:pPr>
              <w:rPr>
                <w:sz w:val="22"/>
                <w:szCs w:val="22"/>
              </w:rPr>
            </w:pPr>
            <w:r w:rsidRPr="005931F4">
              <w:rPr>
                <w:sz w:val="22"/>
                <w:szCs w:val="22"/>
              </w:rPr>
              <w:t xml:space="preserve">Exceptions: </w:t>
            </w:r>
            <w:r w:rsidR="009D50A2" w:rsidRPr="005931F4">
              <w:rPr>
                <w:sz w:val="22"/>
                <w:szCs w:val="22"/>
              </w:rPr>
              <w:br/>
            </w:r>
            <w:r w:rsidRPr="005931F4">
              <w:rPr>
                <w:sz w:val="22"/>
                <w:szCs w:val="22"/>
              </w:rPr>
              <w:t>article 1(4), article 3(2) PR</w:t>
            </w:r>
          </w:p>
        </w:tc>
        <w:tc>
          <w:tcPr>
            <w:tcW w:w="4508" w:type="dxa"/>
          </w:tcPr>
          <w:p w14:paraId="16FF9B66" w14:textId="77777777" w:rsidR="00BE4BA4" w:rsidRPr="005931F4" w:rsidRDefault="00BE4BA4" w:rsidP="005931F4">
            <w:pPr>
              <w:rPr>
                <w:sz w:val="22"/>
                <w:szCs w:val="22"/>
                <w:lang w:val="en-US"/>
              </w:rPr>
            </w:pPr>
            <w:r w:rsidRPr="005931F4">
              <w:rPr>
                <w:sz w:val="22"/>
                <w:szCs w:val="22"/>
                <w:lang w:val="en-US"/>
              </w:rPr>
              <w:t>Applies to admissions to trading to a regulated market within the meaning of article 2(j) PR</w:t>
            </w:r>
          </w:p>
          <w:p w14:paraId="70F38BA7" w14:textId="17D04672" w:rsidR="00BE4BA4" w:rsidRPr="005931F4" w:rsidRDefault="00BE4BA4" w:rsidP="005931F4">
            <w:pPr>
              <w:rPr>
                <w:sz w:val="22"/>
                <w:szCs w:val="22"/>
              </w:rPr>
            </w:pPr>
            <w:r w:rsidRPr="005931F4">
              <w:rPr>
                <w:sz w:val="22"/>
                <w:szCs w:val="22"/>
              </w:rPr>
              <w:t xml:space="preserve">Exceptions: </w:t>
            </w:r>
            <w:r w:rsidR="009D50A2" w:rsidRPr="005931F4">
              <w:rPr>
                <w:sz w:val="22"/>
                <w:szCs w:val="22"/>
              </w:rPr>
              <w:br/>
            </w:r>
            <w:r w:rsidRPr="005931F4">
              <w:rPr>
                <w:sz w:val="22"/>
                <w:szCs w:val="22"/>
              </w:rPr>
              <w:t>article 1(5) PR</w:t>
            </w:r>
          </w:p>
        </w:tc>
      </w:tr>
    </w:tbl>
    <w:p w14:paraId="71BC4DDC" w14:textId="34AF3DC7" w:rsidR="00E51CCF" w:rsidRPr="002121A4" w:rsidRDefault="00E51CCF" w:rsidP="00453048">
      <w:pPr>
        <w:pStyle w:val="berschrift3"/>
        <w:rPr>
          <w:lang w:val="en-GB"/>
        </w:rPr>
      </w:pPr>
      <w:r w:rsidRPr="002121A4">
        <w:rPr>
          <w:lang w:val="en-GB"/>
        </w:rPr>
        <w:t>Drawing up</w:t>
      </w:r>
      <w:r w:rsidR="00874CC8" w:rsidRPr="002121A4">
        <w:rPr>
          <w:lang w:val="en-GB"/>
        </w:rPr>
        <w:t xml:space="preserve"> and </w:t>
      </w:r>
      <w:r w:rsidRPr="002121A4">
        <w:rPr>
          <w:lang w:val="en-GB"/>
        </w:rPr>
        <w:t xml:space="preserve">content </w:t>
      </w:r>
      <w:r w:rsidR="00874CC8" w:rsidRPr="002121A4">
        <w:rPr>
          <w:lang w:val="en-GB"/>
        </w:rPr>
        <w:t xml:space="preserve">of prospectuses </w:t>
      </w:r>
      <w:r w:rsidRPr="002121A4">
        <w:rPr>
          <w:lang w:val="en-GB"/>
        </w:rPr>
        <w:t>(chapters II, III PR)</w:t>
      </w:r>
    </w:p>
    <w:p w14:paraId="2FC97DC4" w14:textId="49752E3F" w:rsidR="00B94BBE" w:rsidRPr="002121A4" w:rsidRDefault="002D41BB" w:rsidP="00F366F4">
      <w:pPr>
        <w:pStyle w:val="Standardwithparanumbering"/>
      </w:pPr>
      <w:r w:rsidRPr="002121A4">
        <w:t xml:space="preserve">Chapter II of the PR deals with drawing up </w:t>
      </w:r>
      <w:r w:rsidR="002C229B" w:rsidRPr="002121A4">
        <w:t xml:space="preserve">of </w:t>
      </w:r>
      <w:r w:rsidRPr="002121A4">
        <w:t xml:space="preserve">securities prospectuses. </w:t>
      </w:r>
      <w:r w:rsidR="001870C0" w:rsidRPr="002121A4">
        <w:t>Article </w:t>
      </w:r>
      <w:r w:rsidR="00485650" w:rsidRPr="002121A4">
        <w:t>6(1) PR contains the c</w:t>
      </w:r>
      <w:r w:rsidR="00914F55" w:rsidRPr="002121A4">
        <w:t>ore requirement</w:t>
      </w:r>
      <w:r w:rsidR="00485650" w:rsidRPr="002121A4">
        <w:t xml:space="preserve"> for the</w:t>
      </w:r>
      <w:r w:rsidRPr="002121A4">
        <w:t>ir</w:t>
      </w:r>
      <w:r w:rsidR="00485650" w:rsidRPr="002121A4">
        <w:t xml:space="preserve"> content: a prospectus shall contain “the necessary information which is material to an investor for making an informed assessment” of the securities in question. </w:t>
      </w:r>
      <w:r w:rsidR="002C229B" w:rsidRPr="002121A4">
        <w:t xml:space="preserve">It is universally accepted that this requires the prospectus to be complete, accurate, up-to-date, and clear. Information to be provided under article 6 PR </w:t>
      </w:r>
      <w:r w:rsidR="00485650" w:rsidRPr="002121A4">
        <w:t>includes the financial strength of the issuer (assets, liabilities, results of operations, prospects), the rights attaching to the securities, and the reasons for the issuance.</w:t>
      </w:r>
      <w:r w:rsidR="00874CC8" w:rsidRPr="002121A4">
        <w:rPr>
          <w:rStyle w:val="Funotenzeichen"/>
        </w:rPr>
        <w:footnoteReference w:id="117"/>
      </w:r>
      <w:r w:rsidR="00485650" w:rsidRPr="002121A4">
        <w:t xml:space="preserve"> The information that is captured under this blanket provision depends on the nature of the issuer and the securities as well as the circumstances</w:t>
      </w:r>
      <w:r w:rsidR="00603990">
        <w:t xml:space="preserve"> (article 6(1)(1) PR)</w:t>
      </w:r>
      <w:r w:rsidR="00485650" w:rsidRPr="002121A4">
        <w:t>.</w:t>
      </w:r>
      <w:r w:rsidR="00603990">
        <w:t xml:space="preserve"> </w:t>
      </w:r>
      <w:r w:rsidR="007C2F64">
        <w:t>W</w:t>
      </w:r>
      <w:r w:rsidR="007C2F64" w:rsidRPr="009D7C23">
        <w:t xml:space="preserve">hether a prospectus is correct </w:t>
      </w:r>
      <w:r w:rsidR="007C2F64">
        <w:t xml:space="preserve">and </w:t>
      </w:r>
      <w:r w:rsidR="007C2F64" w:rsidRPr="009D7C23">
        <w:t>complete</w:t>
      </w:r>
      <w:r w:rsidR="007C2F64">
        <w:t xml:space="preserve"> will not be assessed </w:t>
      </w:r>
      <w:r w:rsidR="007C2F64" w:rsidRPr="009D7C23">
        <w:t xml:space="preserve">on </w:t>
      </w:r>
      <w:r w:rsidR="007C2F64">
        <w:t xml:space="preserve">the basis of isolated parts of </w:t>
      </w:r>
      <w:r w:rsidR="007C2F64" w:rsidRPr="009D7C23">
        <w:t xml:space="preserve">the prospectus, but rather on the </w:t>
      </w:r>
      <w:r w:rsidR="007C2F64">
        <w:t>“</w:t>
      </w:r>
      <w:r w:rsidR="007C2F64" w:rsidRPr="009D7C23">
        <w:t>overall picture</w:t>
      </w:r>
      <w:r w:rsidR="007C2F64">
        <w:t>”</w:t>
      </w:r>
      <w:r w:rsidR="007C2F64" w:rsidRPr="009D7C23">
        <w:t xml:space="preserve"> that the prospectus gives the investor, taking into account the careful and thorough reading that is required of the investor</w:t>
      </w:r>
      <w:r w:rsidR="007C2F64">
        <w:t>.</w:t>
      </w:r>
      <w:r w:rsidR="007C2F64">
        <w:rPr>
          <w:rStyle w:val="Funotenzeichen"/>
        </w:rPr>
        <w:footnoteReference w:id="118"/>
      </w:r>
      <w:r w:rsidR="007C2F64">
        <w:t xml:space="preserve"> Information is deemed “material” if an investor would “rather than not” use it for his investment decision.</w:t>
      </w:r>
      <w:r w:rsidR="007C2F64">
        <w:rPr>
          <w:rStyle w:val="Funotenzeichen"/>
        </w:rPr>
        <w:footnoteReference w:id="119"/>
      </w:r>
      <w:r w:rsidR="007C2F64">
        <w:t xml:space="preserve"> The test is the knowledge and experience of an average investor.</w:t>
      </w:r>
      <w:r w:rsidR="007C2F64">
        <w:rPr>
          <w:rStyle w:val="Funotenzeichen"/>
        </w:rPr>
        <w:footnoteReference w:id="120"/>
      </w:r>
    </w:p>
    <w:p w14:paraId="07CAB353" w14:textId="4604CA54" w:rsidR="00B94BBE" w:rsidRPr="002121A4" w:rsidRDefault="00B94BBE" w:rsidP="00AB42AA">
      <w:pPr>
        <w:pStyle w:val="Case"/>
        <w:numPr>
          <w:ilvl w:val="0"/>
          <w:numId w:val="14"/>
        </w:numPr>
        <w:ind w:left="567" w:firstLine="0"/>
        <w:rPr>
          <w:szCs w:val="23"/>
        </w:rPr>
      </w:pPr>
      <w:bookmarkStart w:id="87" w:name="_Ref163122589"/>
      <w:r w:rsidRPr="002121A4">
        <w:rPr>
          <w:szCs w:val="23"/>
        </w:rPr>
        <w:t xml:space="preserve">An investor subscribes to shares offered to the general public on the basis of a prospectus that contains language indicating that the issuer forecasts an average return of 7%. Do investors have a </w:t>
      </w:r>
      <w:r w:rsidRPr="005152F4">
        <w:t>case</w:t>
      </w:r>
      <w:r w:rsidRPr="002121A4">
        <w:rPr>
          <w:szCs w:val="23"/>
        </w:rPr>
        <w:t xml:space="preserve"> that the prospectus is incorrect if the investment return is loss-making? (BGH, 23 April 2012</w:t>
      </w:r>
      <w:r w:rsidR="0029226D">
        <w:rPr>
          <w:szCs w:val="23"/>
        </w:rPr>
        <w:t xml:space="preserve"> </w:t>
      </w:r>
      <w:r w:rsidR="00CA1996">
        <w:rPr>
          <w:szCs w:val="23"/>
        </w:rPr>
        <w:t>–</w:t>
      </w:r>
      <w:r w:rsidRPr="002121A4">
        <w:rPr>
          <w:szCs w:val="23"/>
        </w:rPr>
        <w:t xml:space="preserve"> II ZR 75/10, WM 2012, 1293 – </w:t>
      </w:r>
      <w:r w:rsidRPr="002121A4">
        <w:rPr>
          <w:i/>
          <w:szCs w:val="23"/>
        </w:rPr>
        <w:t xml:space="preserve">Bavaria </w:t>
      </w:r>
      <w:proofErr w:type="spellStart"/>
      <w:r w:rsidRPr="002121A4">
        <w:rPr>
          <w:i/>
          <w:szCs w:val="23"/>
        </w:rPr>
        <w:t>Ertragsfonds</w:t>
      </w:r>
      <w:proofErr w:type="spellEnd"/>
      <w:r w:rsidRPr="002121A4">
        <w:rPr>
          <w:i/>
          <w:szCs w:val="23"/>
        </w:rPr>
        <w:t xml:space="preserve"> </w:t>
      </w:r>
      <w:r w:rsidRPr="00A82626">
        <w:rPr>
          <w:i/>
          <w:szCs w:val="23"/>
        </w:rPr>
        <w:t>1</w:t>
      </w:r>
      <w:r w:rsidR="00A82626" w:rsidRPr="00A82626">
        <w:rPr>
          <w:szCs w:val="23"/>
        </w:rPr>
        <w:t>, also see BGH, 26</w:t>
      </w:r>
      <w:r w:rsidR="00662F6B">
        <w:rPr>
          <w:szCs w:val="23"/>
        </w:rPr>
        <w:t xml:space="preserve"> March </w:t>
      </w:r>
      <w:r w:rsidR="00A82626" w:rsidRPr="00A82626">
        <w:rPr>
          <w:szCs w:val="23"/>
        </w:rPr>
        <w:t>2024 – XI ZB 25/22</w:t>
      </w:r>
      <w:r w:rsidR="00A82626">
        <w:rPr>
          <w:szCs w:val="23"/>
        </w:rPr>
        <w:t xml:space="preserve">, BKR 2024, 577 – </w:t>
      </w:r>
      <w:r w:rsidR="00A82626" w:rsidRPr="00745C24">
        <w:rPr>
          <w:i/>
          <w:szCs w:val="23"/>
        </w:rPr>
        <w:t>MS Barbados</w:t>
      </w:r>
      <w:r w:rsidR="00662F6B">
        <w:rPr>
          <w:szCs w:val="23"/>
        </w:rPr>
        <w:t xml:space="preserve"> and </w:t>
      </w:r>
      <w:r w:rsidR="00662F6B" w:rsidRPr="00662F6B">
        <w:rPr>
          <w:szCs w:val="23"/>
        </w:rPr>
        <w:t>BGH</w:t>
      </w:r>
      <w:r w:rsidR="00662F6B">
        <w:rPr>
          <w:szCs w:val="23"/>
        </w:rPr>
        <w:t>,</w:t>
      </w:r>
      <w:r w:rsidR="00662F6B" w:rsidRPr="00662F6B">
        <w:rPr>
          <w:szCs w:val="23"/>
        </w:rPr>
        <w:t xml:space="preserve"> 12</w:t>
      </w:r>
      <w:r w:rsidR="00662F6B">
        <w:rPr>
          <w:szCs w:val="23"/>
        </w:rPr>
        <w:t xml:space="preserve"> March </w:t>
      </w:r>
      <w:r w:rsidR="00662F6B" w:rsidRPr="00662F6B">
        <w:rPr>
          <w:szCs w:val="23"/>
        </w:rPr>
        <w:t>2024 – XI ZB 2/22</w:t>
      </w:r>
      <w:r w:rsidRPr="002121A4">
        <w:rPr>
          <w:szCs w:val="23"/>
        </w:rPr>
        <w:t>)</w:t>
      </w:r>
      <w:bookmarkEnd w:id="87"/>
      <w:r w:rsidRPr="002121A4">
        <w:rPr>
          <w:szCs w:val="23"/>
        </w:rPr>
        <w:t xml:space="preserve"> </w:t>
      </w:r>
    </w:p>
    <w:p w14:paraId="37DD357C" w14:textId="337F5337" w:rsidR="00485650" w:rsidRPr="002121A4" w:rsidRDefault="00485650" w:rsidP="00485650">
      <w:pPr>
        <w:pStyle w:val="Case"/>
        <w:rPr>
          <w:szCs w:val="23"/>
        </w:rPr>
      </w:pPr>
      <w:r w:rsidRPr="002121A4">
        <w:rPr>
          <w:b/>
        </w:rPr>
        <w:t xml:space="preserve">Notes. </w:t>
      </w:r>
      <w:r w:rsidR="008B74A7" w:rsidRPr="002121A4">
        <w:rPr>
          <w:b/>
        </w:rPr>
        <w:br/>
      </w:r>
      <w:r w:rsidR="008B74A7" w:rsidRPr="002121A4">
        <w:rPr>
          <w:b/>
        </w:rPr>
        <w:br/>
      </w:r>
      <w:r w:rsidR="008B74A7" w:rsidRPr="002121A4">
        <w:rPr>
          <w:b/>
        </w:rPr>
        <w:br/>
      </w:r>
      <w:r w:rsidR="008B74A7" w:rsidRPr="002121A4">
        <w:rPr>
          <w:b/>
        </w:rPr>
        <w:lastRenderedPageBreak/>
        <w:br/>
      </w:r>
      <w:r w:rsidR="008B74A7" w:rsidRPr="002121A4">
        <w:rPr>
          <w:b/>
        </w:rPr>
        <w:br/>
      </w:r>
    </w:p>
    <w:p w14:paraId="1F65A2FC" w14:textId="465018A4" w:rsidR="00B94BBE" w:rsidRPr="002121A4" w:rsidRDefault="008C1C60" w:rsidP="00AB42AA">
      <w:pPr>
        <w:pStyle w:val="Case"/>
        <w:numPr>
          <w:ilvl w:val="0"/>
          <w:numId w:val="14"/>
        </w:numPr>
        <w:ind w:left="567" w:firstLine="0"/>
        <w:rPr>
          <w:szCs w:val="23"/>
        </w:rPr>
      </w:pPr>
      <w:bookmarkStart w:id="88" w:name="_Ref163122593"/>
      <w:r>
        <w:rPr>
          <w:szCs w:val="23"/>
        </w:rPr>
        <w:t xml:space="preserve">T held </w:t>
      </w:r>
      <w:r w:rsidR="00B94BBE" w:rsidRPr="002121A4">
        <w:rPr>
          <w:szCs w:val="23"/>
        </w:rPr>
        <w:t>a participation in S Corp.</w:t>
      </w:r>
      <w:r w:rsidR="00D96178">
        <w:rPr>
          <w:szCs w:val="23"/>
        </w:rPr>
        <w:t xml:space="preserve"> valued at €2bn</w:t>
      </w:r>
      <w:r w:rsidR="00B94BBE" w:rsidRPr="002121A4">
        <w:rPr>
          <w:szCs w:val="23"/>
        </w:rPr>
        <w:t xml:space="preserve">, which </w:t>
      </w:r>
      <w:r>
        <w:rPr>
          <w:szCs w:val="23"/>
        </w:rPr>
        <w:t>it</w:t>
      </w:r>
      <w:r w:rsidR="00B94BBE" w:rsidRPr="002121A4">
        <w:rPr>
          <w:szCs w:val="23"/>
        </w:rPr>
        <w:t xml:space="preserve"> </w:t>
      </w:r>
      <w:r w:rsidR="00256D17" w:rsidRPr="002121A4">
        <w:rPr>
          <w:szCs w:val="23"/>
        </w:rPr>
        <w:t>transfer</w:t>
      </w:r>
      <w:r w:rsidR="00256D17">
        <w:rPr>
          <w:szCs w:val="23"/>
        </w:rPr>
        <w:t>red</w:t>
      </w:r>
      <w:r w:rsidR="00B94BBE" w:rsidRPr="002121A4">
        <w:rPr>
          <w:szCs w:val="23"/>
        </w:rPr>
        <w:t xml:space="preserve"> to </w:t>
      </w:r>
      <w:r>
        <w:rPr>
          <w:szCs w:val="23"/>
        </w:rPr>
        <w:t xml:space="preserve">its </w:t>
      </w:r>
      <w:r w:rsidR="00B94BBE" w:rsidRPr="002121A4">
        <w:rPr>
          <w:szCs w:val="23"/>
        </w:rPr>
        <w:t xml:space="preserve">subsidiary </w:t>
      </w:r>
      <w:r w:rsidR="00A10FE8">
        <w:rPr>
          <w:szCs w:val="23"/>
        </w:rPr>
        <w:t xml:space="preserve">N </w:t>
      </w:r>
      <w:r w:rsidR="00B94BBE" w:rsidRPr="002121A4">
        <w:rPr>
          <w:szCs w:val="23"/>
        </w:rPr>
        <w:t xml:space="preserve">as a “capital </w:t>
      </w:r>
      <w:r w:rsidR="00B94BBE" w:rsidRPr="005152F4">
        <w:t>contribution</w:t>
      </w:r>
      <w:r w:rsidR="00B94BBE" w:rsidRPr="002121A4">
        <w:rPr>
          <w:szCs w:val="23"/>
        </w:rPr>
        <w:t xml:space="preserve"> in kind” valued at €10bn.</w:t>
      </w:r>
      <w:r>
        <w:rPr>
          <w:szCs w:val="23"/>
        </w:rPr>
        <w:t xml:space="preserve"> Subsequently, T publishes a </w:t>
      </w:r>
      <w:r w:rsidRPr="002121A4">
        <w:rPr>
          <w:szCs w:val="23"/>
        </w:rPr>
        <w:t>prospectus for shares in T</w:t>
      </w:r>
      <w:r>
        <w:rPr>
          <w:szCs w:val="23"/>
        </w:rPr>
        <w:t xml:space="preserve">, stating that </w:t>
      </w:r>
      <w:proofErr w:type="spellStart"/>
      <w:r w:rsidRPr="002121A4">
        <w:rPr>
          <w:szCs w:val="23"/>
        </w:rPr>
        <w:t>T</w:t>
      </w:r>
      <w:proofErr w:type="spellEnd"/>
      <w:r w:rsidRPr="002121A4">
        <w:rPr>
          <w:szCs w:val="23"/>
        </w:rPr>
        <w:t xml:space="preserve"> </w:t>
      </w:r>
      <w:r>
        <w:rPr>
          <w:szCs w:val="23"/>
        </w:rPr>
        <w:t xml:space="preserve">had entered into a </w:t>
      </w:r>
      <w:r w:rsidRPr="002121A4">
        <w:rPr>
          <w:szCs w:val="23"/>
        </w:rPr>
        <w:t>“sale”</w:t>
      </w:r>
      <w:r>
        <w:rPr>
          <w:szCs w:val="23"/>
        </w:rPr>
        <w:t xml:space="preserve"> of its subsidiary S Corp.</w:t>
      </w:r>
      <w:r w:rsidRPr="002121A4">
        <w:rPr>
          <w:szCs w:val="23"/>
        </w:rPr>
        <w:t xml:space="preserve"> generating a “profit of €8bn on a non-consolidated basis</w:t>
      </w:r>
      <w:r>
        <w:rPr>
          <w:szCs w:val="23"/>
        </w:rPr>
        <w:t xml:space="preserve">”. </w:t>
      </w:r>
      <w:r w:rsidR="00B94BBE" w:rsidRPr="002121A4">
        <w:rPr>
          <w:szCs w:val="23"/>
        </w:rPr>
        <w:t xml:space="preserve">After the offering, T writes down the participation in N from €10bn to €4bn. Does the prospectus meet disclosure requirements under the Prospectus Regulation? </w:t>
      </w:r>
      <w:r w:rsidR="00B94BBE" w:rsidRPr="008E6AC5">
        <w:rPr>
          <w:szCs w:val="23"/>
          <w:lang w:val="de-DE"/>
        </w:rPr>
        <w:t xml:space="preserve">(BGH, 21 </w:t>
      </w:r>
      <w:proofErr w:type="spellStart"/>
      <w:r w:rsidR="00B94BBE" w:rsidRPr="008E6AC5">
        <w:rPr>
          <w:szCs w:val="23"/>
          <w:lang w:val="de-DE"/>
        </w:rPr>
        <w:t>October</w:t>
      </w:r>
      <w:proofErr w:type="spellEnd"/>
      <w:r w:rsidR="00B94BBE" w:rsidRPr="008E6AC5">
        <w:rPr>
          <w:szCs w:val="23"/>
          <w:lang w:val="de-DE"/>
        </w:rPr>
        <w:t xml:space="preserve"> 2014 – XI ZB 12/12, BGHZ 203, 1 – </w:t>
      </w:r>
      <w:r w:rsidR="00B94BBE" w:rsidRPr="008E6AC5">
        <w:rPr>
          <w:i/>
          <w:szCs w:val="23"/>
          <w:lang w:val="de-DE"/>
        </w:rPr>
        <w:t>Dt. Telekom I</w:t>
      </w:r>
      <w:r w:rsidR="00B94BBE" w:rsidRPr="008E6AC5">
        <w:rPr>
          <w:szCs w:val="23"/>
          <w:lang w:val="de-DE"/>
        </w:rPr>
        <w:t xml:space="preserve">; 15 </w:t>
      </w:r>
      <w:proofErr w:type="spellStart"/>
      <w:r w:rsidR="00B94BBE" w:rsidRPr="008E6AC5">
        <w:rPr>
          <w:szCs w:val="23"/>
          <w:lang w:val="de-DE"/>
        </w:rPr>
        <w:t>December</w:t>
      </w:r>
      <w:proofErr w:type="spellEnd"/>
      <w:r w:rsidR="00B94BBE" w:rsidRPr="008E6AC5">
        <w:rPr>
          <w:szCs w:val="23"/>
          <w:lang w:val="de-DE"/>
        </w:rPr>
        <w:t xml:space="preserve"> 2020 – XI ZB 24/16, NZG 2021, 457 – </w:t>
      </w:r>
      <w:r w:rsidR="00B94BBE" w:rsidRPr="008E6AC5">
        <w:rPr>
          <w:i/>
          <w:szCs w:val="23"/>
          <w:lang w:val="de-DE"/>
        </w:rPr>
        <w:t xml:space="preserve">Dt. </w:t>
      </w:r>
      <w:r w:rsidR="00B94BBE" w:rsidRPr="002121A4">
        <w:rPr>
          <w:i/>
          <w:szCs w:val="23"/>
        </w:rPr>
        <w:t>Telekom II</w:t>
      </w:r>
      <w:r w:rsidR="00B94BBE" w:rsidRPr="002121A4">
        <w:rPr>
          <w:szCs w:val="23"/>
        </w:rPr>
        <w:t>)</w:t>
      </w:r>
      <w:bookmarkEnd w:id="88"/>
    </w:p>
    <w:p w14:paraId="74A61FEF" w14:textId="77777777" w:rsidR="00781C88" w:rsidRDefault="00781C88">
      <w:pPr>
        <w:spacing w:before="0" w:after="160" w:line="259" w:lineRule="auto"/>
        <w:jc w:val="left"/>
        <w:rPr>
          <w:b/>
          <w:sz w:val="20"/>
          <w:lang w:val="en-GB"/>
        </w:rPr>
      </w:pPr>
      <w:r>
        <w:rPr>
          <w:b/>
        </w:rPr>
        <w:br w:type="page"/>
      </w:r>
    </w:p>
    <w:p w14:paraId="63A5AFE0" w14:textId="4E0D709D" w:rsidR="00A01AF2" w:rsidRPr="002121A4" w:rsidRDefault="00A01AF2" w:rsidP="00A96E8B">
      <w:pPr>
        <w:pStyle w:val="Case"/>
        <w:rPr>
          <w:szCs w:val="23"/>
        </w:rPr>
      </w:pPr>
      <w:r w:rsidRPr="002121A4">
        <w:rPr>
          <w:b/>
        </w:rPr>
        <w:lastRenderedPageBreak/>
        <w:t>Notes</w:t>
      </w:r>
      <w:r w:rsidR="00582FCA" w:rsidRPr="002121A4">
        <w:rPr>
          <w:b/>
        </w:rPr>
        <w:t>.</w:t>
      </w:r>
      <w:r w:rsidR="009810A9" w:rsidRPr="002121A4">
        <w:rPr>
          <w:b/>
        </w:rPr>
        <w:t xml:space="preserve"> </w:t>
      </w:r>
      <w:r w:rsidR="008B74A7" w:rsidRPr="002121A4">
        <w:rPr>
          <w:b/>
        </w:rPr>
        <w:br/>
      </w:r>
      <w:r w:rsidR="008B74A7" w:rsidRPr="002121A4">
        <w:rPr>
          <w:b/>
        </w:rPr>
        <w:br/>
      </w:r>
      <w:r w:rsidR="008B74A7" w:rsidRPr="002121A4">
        <w:rPr>
          <w:b/>
        </w:rPr>
        <w:br/>
      </w:r>
      <w:r w:rsidR="008B74A7" w:rsidRPr="002121A4">
        <w:rPr>
          <w:b/>
        </w:rPr>
        <w:br/>
      </w:r>
      <w:r w:rsidR="008B74A7" w:rsidRPr="002121A4">
        <w:rPr>
          <w:b/>
        </w:rPr>
        <w:br/>
      </w:r>
    </w:p>
    <w:p w14:paraId="4D4983A7" w14:textId="532AA994" w:rsidR="00A01AF2" w:rsidRPr="002121A4" w:rsidRDefault="00A01AF2" w:rsidP="00A01AF2">
      <w:pPr>
        <w:pStyle w:val="Standardwithparanumbering"/>
      </w:pPr>
      <w:r w:rsidRPr="002121A4">
        <w:t xml:space="preserve">The essential structure of a prospectus </w:t>
      </w:r>
      <w:r w:rsidR="0093547B" w:rsidRPr="002121A4">
        <w:t xml:space="preserve">is </w:t>
      </w:r>
      <w:r w:rsidRPr="002121A4">
        <w:t xml:space="preserve">described in </w:t>
      </w:r>
      <w:r w:rsidR="001870C0" w:rsidRPr="002121A4">
        <w:t>article </w:t>
      </w:r>
      <w:r w:rsidRPr="002121A4">
        <w:t xml:space="preserve">6(3) PR: </w:t>
      </w:r>
      <w:r w:rsidR="0093547B" w:rsidRPr="002121A4">
        <w:t xml:space="preserve">A prospectus </w:t>
      </w:r>
      <w:r w:rsidRPr="002121A4">
        <w:t xml:space="preserve">consists of </w:t>
      </w:r>
    </w:p>
    <w:p w14:paraId="7D197094" w14:textId="77777777" w:rsidR="00A01AF2" w:rsidRPr="002121A4" w:rsidRDefault="00A01AF2" w:rsidP="00AB42AA">
      <w:pPr>
        <w:pStyle w:val="Listenabsatz"/>
        <w:numPr>
          <w:ilvl w:val="0"/>
          <w:numId w:val="11"/>
        </w:numPr>
        <w:rPr>
          <w:lang w:val="en-GB"/>
        </w:rPr>
      </w:pPr>
      <w:r w:rsidRPr="002121A4">
        <w:rPr>
          <w:lang w:val="en-GB"/>
        </w:rPr>
        <w:t>A registration document containing information on the issuer (i.e., issuer description and risk factors relating to the issuer),</w:t>
      </w:r>
    </w:p>
    <w:p w14:paraId="23E29FEA" w14:textId="0F3D7581" w:rsidR="00A01AF2" w:rsidRPr="002121A4" w:rsidRDefault="00A01AF2" w:rsidP="00AB42AA">
      <w:pPr>
        <w:pStyle w:val="Listenabsatz"/>
        <w:numPr>
          <w:ilvl w:val="0"/>
          <w:numId w:val="11"/>
        </w:numPr>
        <w:rPr>
          <w:lang w:val="en-GB"/>
        </w:rPr>
      </w:pPr>
      <w:r w:rsidRPr="002121A4">
        <w:rPr>
          <w:lang w:val="en-GB"/>
        </w:rPr>
        <w:t>A securities note containing information on the securities (i.e., terms and conditions, note-specific risk factors), and</w:t>
      </w:r>
    </w:p>
    <w:p w14:paraId="14FDF88F" w14:textId="0FC03EBB" w:rsidR="00A01AF2" w:rsidRPr="002121A4" w:rsidRDefault="00A01AF2" w:rsidP="00AB42AA">
      <w:pPr>
        <w:pStyle w:val="Listenabsatz"/>
        <w:numPr>
          <w:ilvl w:val="0"/>
          <w:numId w:val="11"/>
        </w:numPr>
        <w:rPr>
          <w:lang w:val="en-GB"/>
        </w:rPr>
      </w:pPr>
      <w:r w:rsidRPr="002121A4">
        <w:rPr>
          <w:lang w:val="en-GB"/>
        </w:rPr>
        <w:t xml:space="preserve">A summary (cf. </w:t>
      </w:r>
      <w:r w:rsidR="001870C0" w:rsidRPr="002121A4">
        <w:rPr>
          <w:lang w:val="en-GB"/>
        </w:rPr>
        <w:t>article </w:t>
      </w:r>
      <w:r w:rsidRPr="002121A4">
        <w:rPr>
          <w:lang w:val="en-GB"/>
        </w:rPr>
        <w:t>7(1) PR).</w:t>
      </w:r>
    </w:p>
    <w:p w14:paraId="2B7A1475" w14:textId="0F490AE4" w:rsidR="00914F55" w:rsidRPr="00044BD7" w:rsidRDefault="00A01AF2" w:rsidP="00B64B87">
      <w:pPr>
        <w:rPr>
          <w:lang w:val="en-US"/>
        </w:rPr>
      </w:pPr>
      <w:r w:rsidRPr="00B64B87">
        <w:rPr>
          <w:lang w:val="en-US"/>
        </w:rPr>
        <w:t>A prospectus can be drawn up as a single document, or as a combination of three separate documents split up into the three parts described above which can be approved separately.</w:t>
      </w:r>
      <w:r w:rsidR="00C52EA7" w:rsidRPr="002121A4">
        <w:rPr>
          <w:rStyle w:val="Funotenzeichen"/>
        </w:rPr>
        <w:footnoteReference w:id="121"/>
      </w:r>
      <w:r w:rsidR="008F236E" w:rsidRPr="00B64B87">
        <w:rPr>
          <w:lang w:val="en-US"/>
        </w:rPr>
        <w:t xml:space="preserve"> </w:t>
      </w:r>
      <w:r w:rsidR="001112E8" w:rsidRPr="00044BD7">
        <w:rPr>
          <w:lang w:val="en-US"/>
        </w:rPr>
        <w:t>Once a prospectus is approved, it remains valid for offers or admissions to trading for a period of 12 months after approval.</w:t>
      </w:r>
      <w:r w:rsidR="00C52EA7" w:rsidRPr="002121A4">
        <w:rPr>
          <w:rStyle w:val="Funotenzeichen"/>
        </w:rPr>
        <w:footnoteReference w:id="122"/>
      </w:r>
      <w:r w:rsidR="00486A39" w:rsidRPr="00044BD7">
        <w:rPr>
          <w:lang w:val="en-US"/>
        </w:rPr>
        <w:t xml:space="preserve"> </w:t>
      </w:r>
    </w:p>
    <w:p w14:paraId="30654ED8" w14:textId="1AD62D6E" w:rsidR="00882359" w:rsidRPr="002121A4" w:rsidRDefault="00486A39" w:rsidP="00486A39">
      <w:pPr>
        <w:pStyle w:val="Standardwithparanumbering"/>
      </w:pPr>
      <w:r w:rsidRPr="002121A4">
        <w:t>Chapter III PR</w:t>
      </w:r>
      <w:r w:rsidR="00D26B4D" w:rsidRPr="002121A4">
        <w:t xml:space="preserve"> (</w:t>
      </w:r>
      <w:r w:rsidR="001870C0" w:rsidRPr="002121A4">
        <w:t>articles </w:t>
      </w:r>
      <w:r w:rsidR="00D26B4D" w:rsidRPr="002121A4">
        <w:t>13–19)</w:t>
      </w:r>
      <w:r w:rsidRPr="002121A4">
        <w:t xml:space="preserve"> deals with the content and the format of prospectuses. </w:t>
      </w:r>
      <w:r w:rsidR="001870C0" w:rsidRPr="002121A4">
        <w:t>Article </w:t>
      </w:r>
      <w:r w:rsidRPr="002121A4">
        <w:t>13(1) PR provides for delegated acts at level 2 to establish details as to format and information to be included</w:t>
      </w:r>
      <w:r w:rsidR="000F14F1" w:rsidRPr="002121A4">
        <w:t xml:space="preserve"> (see the box on page </w:t>
      </w:r>
      <w:r w:rsidR="000F14F1" w:rsidRPr="002121A4">
        <w:fldChar w:fldCharType="begin"/>
      </w:r>
      <w:r w:rsidR="000F14F1" w:rsidRPr="002121A4">
        <w:instrText xml:space="preserve"> PAGEREF _Ref130830906 \h </w:instrText>
      </w:r>
      <w:r w:rsidR="000F14F1" w:rsidRPr="002121A4">
        <w:fldChar w:fldCharType="separate"/>
      </w:r>
      <w:r w:rsidR="00D56145">
        <w:rPr>
          <w:noProof/>
        </w:rPr>
        <w:t>31</w:t>
      </w:r>
      <w:r w:rsidR="000F14F1" w:rsidRPr="002121A4">
        <w:fldChar w:fldCharType="end"/>
      </w:r>
      <w:r w:rsidR="000F14F1" w:rsidRPr="002121A4">
        <w:t xml:space="preserve"> above)</w:t>
      </w:r>
      <w:r w:rsidRPr="002121A4">
        <w:t xml:space="preserve">. </w:t>
      </w:r>
    </w:p>
    <w:p w14:paraId="71661FD5" w14:textId="6B83671D" w:rsidR="00B94BBE" w:rsidRPr="002121A4" w:rsidRDefault="00B94BBE" w:rsidP="00AB42AA">
      <w:pPr>
        <w:pStyle w:val="Case"/>
        <w:numPr>
          <w:ilvl w:val="0"/>
          <w:numId w:val="14"/>
        </w:numPr>
        <w:ind w:left="567" w:firstLine="0"/>
        <w:rPr>
          <w:szCs w:val="23"/>
        </w:rPr>
      </w:pPr>
      <w:bookmarkStart w:id="89" w:name="_Ref163122692"/>
      <w:r w:rsidRPr="002121A4">
        <w:rPr>
          <w:szCs w:val="23"/>
        </w:rPr>
        <w:t xml:space="preserve">Issuer I runs an online retail business through its subsidiary S GmbH. It issues bearer notes to investors on the basis of a </w:t>
      </w:r>
      <w:r w:rsidRPr="005152F4">
        <w:t>securities</w:t>
      </w:r>
      <w:r w:rsidRPr="002121A4">
        <w:rPr>
          <w:szCs w:val="23"/>
        </w:rPr>
        <w:t xml:space="preserve"> prospectus through a public offering. Can investors raise liability claims on the basis that (</w:t>
      </w:r>
      <w:proofErr w:type="spellStart"/>
      <w:r w:rsidRPr="002121A4">
        <w:rPr>
          <w:szCs w:val="23"/>
        </w:rPr>
        <w:t>i</w:t>
      </w:r>
      <w:proofErr w:type="spellEnd"/>
      <w:r w:rsidRPr="002121A4">
        <w:rPr>
          <w:szCs w:val="23"/>
        </w:rPr>
        <w:t>) the prospectus did not include a balance sheet for S GmbH and that (ii) the prospectus did not indicate the equity ratio (</w:t>
      </w:r>
      <w:proofErr w:type="spellStart"/>
      <w:r w:rsidRPr="002121A4">
        <w:rPr>
          <w:i/>
          <w:szCs w:val="23"/>
        </w:rPr>
        <w:t>Eigenkapitalquote</w:t>
      </w:r>
      <w:proofErr w:type="spellEnd"/>
      <w:r w:rsidRPr="002121A4">
        <w:rPr>
          <w:szCs w:val="23"/>
        </w:rPr>
        <w:t xml:space="preserve">), i.e., equity divided by total assets? (OLG Brandenburg, 1 July 2020 – 7 U 33/19, </w:t>
      </w:r>
      <w:proofErr w:type="spellStart"/>
      <w:r w:rsidRPr="002121A4">
        <w:rPr>
          <w:szCs w:val="23"/>
        </w:rPr>
        <w:t>BeckRS</w:t>
      </w:r>
      <w:proofErr w:type="spellEnd"/>
      <w:r w:rsidRPr="002121A4">
        <w:rPr>
          <w:szCs w:val="23"/>
        </w:rPr>
        <w:t xml:space="preserve"> 2020, 17763 – </w:t>
      </w:r>
      <w:r w:rsidRPr="002121A4">
        <w:rPr>
          <w:i/>
          <w:szCs w:val="23"/>
        </w:rPr>
        <w:t>getgoods.de</w:t>
      </w:r>
      <w:r w:rsidR="00BA228F" w:rsidRPr="002121A4">
        <w:rPr>
          <w:szCs w:val="23"/>
        </w:rPr>
        <w:t>; also see BGH 14 June 2022 – XI ZB 33/19, WM 2022, 1633 and § 9(2) no. 9 VermVerkProspV</w:t>
      </w:r>
      <w:r w:rsidRPr="002121A4">
        <w:rPr>
          <w:szCs w:val="23"/>
        </w:rPr>
        <w:t>)</w:t>
      </w:r>
      <w:bookmarkEnd w:id="89"/>
    </w:p>
    <w:p w14:paraId="3513C5B0" w14:textId="5815A6EF" w:rsidR="00486A39" w:rsidRPr="002121A4" w:rsidRDefault="00486A39" w:rsidP="00316AB4">
      <w:pPr>
        <w:pStyle w:val="Case"/>
      </w:pPr>
      <w:r w:rsidRPr="002121A4">
        <w:rPr>
          <w:b/>
        </w:rPr>
        <w:t>Notes.</w:t>
      </w:r>
      <w:r w:rsidR="00B14D18" w:rsidRPr="002121A4">
        <w:rPr>
          <w:b/>
        </w:rPr>
        <w:t xml:space="preserve"> </w:t>
      </w:r>
      <w:r w:rsidR="00F70C8D" w:rsidRPr="002121A4">
        <w:rPr>
          <w:b/>
        </w:rPr>
        <w:br/>
      </w:r>
      <w:r w:rsidR="00F70C8D" w:rsidRPr="002121A4">
        <w:rPr>
          <w:b/>
        </w:rPr>
        <w:br/>
      </w:r>
      <w:r w:rsidR="00F70C8D" w:rsidRPr="002121A4">
        <w:rPr>
          <w:b/>
        </w:rPr>
        <w:br/>
      </w:r>
      <w:r w:rsidR="00F70C8D" w:rsidRPr="002121A4">
        <w:rPr>
          <w:b/>
        </w:rPr>
        <w:br/>
      </w:r>
      <w:r w:rsidR="00F70C8D" w:rsidRPr="002121A4">
        <w:rPr>
          <w:b/>
        </w:rPr>
        <w:br/>
      </w:r>
    </w:p>
    <w:p w14:paraId="798BC486" w14:textId="17F22B83" w:rsidR="00B94BBE" w:rsidRPr="002121A4" w:rsidRDefault="001870C0" w:rsidP="002663E4">
      <w:pPr>
        <w:pStyle w:val="Standardwithparanumbering"/>
      </w:pPr>
      <w:r w:rsidRPr="002121A4">
        <w:t>Article </w:t>
      </w:r>
      <w:r w:rsidR="0013403F" w:rsidRPr="002121A4">
        <w:t>16 PR</w:t>
      </w:r>
      <w:r w:rsidR="002663E4" w:rsidRPr="002121A4">
        <w:t xml:space="preserve"> requires a prospectus to indicate risk factors. These risk factors must be specific to the issuer or the securities, and material for taking an informed investment decision</w:t>
      </w:r>
      <w:r w:rsidR="0013403F" w:rsidRPr="002121A4">
        <w:t>.</w:t>
      </w:r>
      <w:r w:rsidR="009D69A3" w:rsidRPr="002121A4">
        <w:rPr>
          <w:rStyle w:val="Funotenzeichen"/>
        </w:rPr>
        <w:footnoteReference w:id="123"/>
      </w:r>
      <w:r w:rsidR="002663E4" w:rsidRPr="002121A4">
        <w:t xml:space="preserve"> They must be adequately described, including an assessment of the materiality, and must be presented in a lim</w:t>
      </w:r>
      <w:r w:rsidR="009D69A3" w:rsidRPr="002121A4">
        <w:t>i</w:t>
      </w:r>
      <w:r w:rsidR="002663E4" w:rsidRPr="002121A4">
        <w:t>ted number of categories, with the most material risk factor mentioned first</w:t>
      </w:r>
      <w:r w:rsidR="006D7380" w:rsidRPr="002121A4">
        <w:t xml:space="preserve"> in each category</w:t>
      </w:r>
      <w:r w:rsidR="009D69A3" w:rsidRPr="002121A4">
        <w:t>.</w:t>
      </w:r>
      <w:r w:rsidR="009D69A3" w:rsidRPr="002121A4">
        <w:rPr>
          <w:rStyle w:val="Funotenzeichen"/>
        </w:rPr>
        <w:footnoteReference w:id="124"/>
      </w:r>
      <w:r w:rsidR="002663E4" w:rsidRPr="002121A4">
        <w:t xml:space="preserve"> </w:t>
      </w:r>
      <w:r w:rsidR="009C2D58" w:rsidRPr="002121A4">
        <w:lastRenderedPageBreak/>
        <w:t>ESMA issued guidelines</w:t>
      </w:r>
      <w:r w:rsidR="00951E37" w:rsidRPr="002121A4">
        <w:t xml:space="preserve"> under </w:t>
      </w:r>
      <w:r w:rsidRPr="002121A4">
        <w:t>article </w:t>
      </w:r>
      <w:r w:rsidR="00951E37" w:rsidRPr="002121A4">
        <w:t>16(4) PR to assist NCAs in the review of specificity and materiality of risk factors and their presentation across categories.</w:t>
      </w:r>
      <w:r w:rsidR="009C2D58" w:rsidRPr="002121A4">
        <w:rPr>
          <w:rStyle w:val="Funotenzeichen"/>
        </w:rPr>
        <w:footnoteReference w:id="125"/>
      </w:r>
      <w:r w:rsidR="009D7C23">
        <w:t xml:space="preserve"> </w:t>
      </w:r>
    </w:p>
    <w:p w14:paraId="57F6B292" w14:textId="77777777" w:rsidR="00892529" w:rsidRPr="002121A4" w:rsidRDefault="005C741F" w:rsidP="00AB42AA">
      <w:pPr>
        <w:pStyle w:val="Case"/>
        <w:numPr>
          <w:ilvl w:val="0"/>
          <w:numId w:val="14"/>
        </w:numPr>
        <w:ind w:left="567" w:firstLine="0"/>
        <w:rPr>
          <w:szCs w:val="23"/>
        </w:rPr>
      </w:pPr>
      <w:bookmarkStart w:id="90" w:name="_Ref131682210"/>
      <w:r w:rsidRPr="002121A4">
        <w:rPr>
          <w:szCs w:val="23"/>
        </w:rPr>
        <w:t xml:space="preserve">Issuer I is a German stock company and issues debt securities under an offering prospectus. M is major </w:t>
      </w:r>
      <w:r w:rsidRPr="005152F4">
        <w:t>shareholder</w:t>
      </w:r>
      <w:r w:rsidRPr="002121A4">
        <w:rPr>
          <w:szCs w:val="23"/>
        </w:rPr>
        <w:t xml:space="preserve"> of I and holds 74 % of the shares in I. In addition, M and I had entered into a “Control and Profit and Loss Transfer Agreement” (</w:t>
      </w:r>
      <w:proofErr w:type="spellStart"/>
      <w:r w:rsidRPr="002121A4">
        <w:rPr>
          <w:i/>
          <w:szCs w:val="23"/>
        </w:rPr>
        <w:t>Beherrschungs</w:t>
      </w:r>
      <w:proofErr w:type="spellEnd"/>
      <w:r w:rsidRPr="002121A4">
        <w:rPr>
          <w:i/>
          <w:szCs w:val="23"/>
        </w:rPr>
        <w:t xml:space="preserve">- und </w:t>
      </w:r>
      <w:proofErr w:type="spellStart"/>
      <w:r w:rsidRPr="002121A4">
        <w:rPr>
          <w:i/>
          <w:szCs w:val="23"/>
        </w:rPr>
        <w:t>Gewinn</w:t>
      </w:r>
      <w:r w:rsidRPr="002121A4">
        <w:rPr>
          <w:i/>
          <w:szCs w:val="23"/>
        </w:rPr>
        <w:softHyphen/>
        <w:t>ab</w:t>
      </w:r>
      <w:r w:rsidRPr="002121A4">
        <w:rPr>
          <w:i/>
          <w:szCs w:val="23"/>
        </w:rPr>
        <w:softHyphen/>
        <w:t>füh</w:t>
      </w:r>
      <w:r w:rsidRPr="002121A4">
        <w:rPr>
          <w:i/>
          <w:szCs w:val="23"/>
        </w:rPr>
        <w:softHyphen/>
        <w:t>rungs</w:t>
      </w:r>
      <w:r w:rsidRPr="002121A4">
        <w:rPr>
          <w:i/>
          <w:szCs w:val="23"/>
        </w:rPr>
        <w:softHyphen/>
        <w:t>vertrag</w:t>
      </w:r>
      <w:proofErr w:type="spellEnd"/>
      <w:r w:rsidRPr="002121A4">
        <w:rPr>
          <w:szCs w:val="23"/>
        </w:rPr>
        <w:t>) which entitles M to give instructions to I’s management even if such instructions are only in the interest of M and not in the interest of I.</w:t>
      </w:r>
      <w:bookmarkEnd w:id="90"/>
    </w:p>
    <w:p w14:paraId="3488ED7F" w14:textId="77777777" w:rsidR="00892529" w:rsidRPr="002121A4" w:rsidRDefault="00892529" w:rsidP="00892529">
      <w:pPr>
        <w:pStyle w:val="Case"/>
        <w:rPr>
          <w:szCs w:val="23"/>
        </w:rPr>
      </w:pPr>
      <w:r w:rsidRPr="002121A4">
        <w:rPr>
          <w:szCs w:val="23"/>
        </w:rPr>
        <w:t>a) Does the securities prospectus have to mention anything in the context of the control and profit transfer agreement?</w:t>
      </w:r>
    </w:p>
    <w:p w14:paraId="579B585B" w14:textId="77777777" w:rsidR="00892529" w:rsidRPr="002121A4" w:rsidRDefault="00892529" w:rsidP="00892529">
      <w:pPr>
        <w:pStyle w:val="Case"/>
        <w:rPr>
          <w:szCs w:val="23"/>
        </w:rPr>
      </w:pPr>
      <w:r w:rsidRPr="002121A4">
        <w:rPr>
          <w:szCs w:val="23"/>
        </w:rPr>
        <w:t xml:space="preserve">b) </w:t>
      </w:r>
      <w:r w:rsidR="005C741F" w:rsidRPr="002121A4">
        <w:rPr>
          <w:szCs w:val="23"/>
        </w:rPr>
        <w:t xml:space="preserve">I files for insolvency. Can investors in the debt securities raise prospectus claims against M on the basis that the prospectus does not explain M’s right to give instructions to I? </w:t>
      </w:r>
    </w:p>
    <w:p w14:paraId="7DC67E98" w14:textId="2D4C3D73" w:rsidR="005C741F" w:rsidRPr="00F9205E" w:rsidRDefault="005C741F" w:rsidP="00892529">
      <w:pPr>
        <w:pStyle w:val="Case"/>
        <w:rPr>
          <w:szCs w:val="23"/>
          <w:lang w:val="de-DE"/>
        </w:rPr>
      </w:pPr>
      <w:r w:rsidRPr="00F9205E">
        <w:rPr>
          <w:szCs w:val="23"/>
          <w:lang w:val="de-DE"/>
        </w:rPr>
        <w:t>(BGH, 18 September 2012 – XI ZR 344/11, BGHZ 195, 1</w:t>
      </w:r>
      <w:r w:rsidR="00386472">
        <w:rPr>
          <w:szCs w:val="23"/>
          <w:lang w:val="de-DE"/>
        </w:rPr>
        <w:t xml:space="preserve"> </w:t>
      </w:r>
      <w:r w:rsidRPr="00F9205E">
        <w:rPr>
          <w:szCs w:val="23"/>
          <w:lang w:val="de-DE"/>
        </w:rPr>
        <w:t xml:space="preserve">– </w:t>
      </w:r>
      <w:r w:rsidRPr="00F9205E">
        <w:rPr>
          <w:i/>
          <w:szCs w:val="23"/>
          <w:lang w:val="de-DE"/>
        </w:rPr>
        <w:t>Wohnungsbau Leipzig West</w:t>
      </w:r>
      <w:r w:rsidRPr="00F9205E">
        <w:rPr>
          <w:szCs w:val="23"/>
          <w:lang w:val="de-DE"/>
        </w:rPr>
        <w:t>)</w:t>
      </w:r>
    </w:p>
    <w:p w14:paraId="7790818A" w14:textId="39F86890" w:rsidR="005C741F" w:rsidRPr="002121A4" w:rsidRDefault="005C741F" w:rsidP="007C5250">
      <w:pPr>
        <w:pStyle w:val="Case"/>
      </w:pPr>
      <w:r w:rsidRPr="002121A4">
        <w:rPr>
          <w:b/>
        </w:rPr>
        <w:t>Notes.</w:t>
      </w:r>
      <w:r w:rsidR="00F44E8C" w:rsidRPr="002121A4">
        <w:rPr>
          <w:b/>
        </w:rPr>
        <w:t xml:space="preserve"> </w:t>
      </w:r>
      <w:r w:rsidR="00F70C8D" w:rsidRPr="002121A4">
        <w:rPr>
          <w:b/>
        </w:rPr>
        <w:br/>
      </w:r>
      <w:r w:rsidR="00F70C8D" w:rsidRPr="002121A4">
        <w:rPr>
          <w:b/>
        </w:rPr>
        <w:br/>
      </w:r>
      <w:r w:rsidR="00F70C8D" w:rsidRPr="002121A4">
        <w:rPr>
          <w:b/>
        </w:rPr>
        <w:br/>
      </w:r>
      <w:r w:rsidR="00F70C8D" w:rsidRPr="002121A4">
        <w:rPr>
          <w:b/>
        </w:rPr>
        <w:br/>
      </w:r>
      <w:r w:rsidR="00F70C8D" w:rsidRPr="002121A4">
        <w:rPr>
          <w:b/>
        </w:rPr>
        <w:br/>
      </w:r>
    </w:p>
    <w:p w14:paraId="7ABF8C0C" w14:textId="74291C07" w:rsidR="008F46D5" w:rsidRPr="002121A4" w:rsidRDefault="008F46D5" w:rsidP="00A270EB">
      <w:pPr>
        <w:pStyle w:val="Standardwithparanumbering"/>
      </w:pPr>
      <w:r w:rsidRPr="002121A4">
        <w:t xml:space="preserve">The PR provides for a number of particular types of prospectuses: For non-equity securities, there is an option </w:t>
      </w:r>
      <w:r w:rsidR="001C5CB6" w:rsidRPr="002121A4">
        <w:t xml:space="preserve">for issuers </w:t>
      </w:r>
      <w:r w:rsidRPr="002121A4">
        <w:t xml:space="preserve">to </w:t>
      </w:r>
      <w:r w:rsidR="001C5CB6" w:rsidRPr="002121A4">
        <w:t xml:space="preserve">use </w:t>
      </w:r>
      <w:r w:rsidRPr="002121A4">
        <w:t xml:space="preserve">a “base prospectus” under </w:t>
      </w:r>
      <w:r w:rsidR="001870C0" w:rsidRPr="002121A4">
        <w:t>article </w:t>
      </w:r>
      <w:r w:rsidRPr="002121A4">
        <w:t xml:space="preserve">8(1) PR. A base prospectus creates a framework </w:t>
      </w:r>
      <w:r w:rsidR="00786B36">
        <w:t xml:space="preserve">with options for certain types of </w:t>
      </w:r>
      <w:r w:rsidRPr="002121A4">
        <w:t>securities to be offered or admitted to trading</w:t>
      </w:r>
      <w:r w:rsidR="00786B36">
        <w:t xml:space="preserve">. The options left open in the base prospectus (e.g., volume, currency, interest rate, maturity of a bond) are later completed </w:t>
      </w:r>
      <w:r w:rsidRPr="002121A4">
        <w:t xml:space="preserve">with securities-specific information </w:t>
      </w:r>
      <w:r w:rsidR="00823354">
        <w:t xml:space="preserve">entered in the </w:t>
      </w:r>
      <w:r w:rsidRPr="002121A4">
        <w:t>“</w:t>
      </w:r>
      <w:r w:rsidR="00823354">
        <w:t xml:space="preserve">form of </w:t>
      </w:r>
      <w:r w:rsidRPr="002121A4">
        <w:t>final terms”.</w:t>
      </w:r>
      <w:r w:rsidR="00A30966" w:rsidRPr="002121A4">
        <w:rPr>
          <w:rStyle w:val="Funotenzeichen"/>
        </w:rPr>
        <w:footnoteReference w:id="126"/>
      </w:r>
      <w:r w:rsidRPr="002121A4">
        <w:t xml:space="preserve"> </w:t>
      </w:r>
      <w:r w:rsidR="00A30966" w:rsidRPr="002121A4">
        <w:t>A</w:t>
      </w:r>
      <w:r w:rsidRPr="002121A4">
        <w:t xml:space="preserve"> simplified </w:t>
      </w:r>
      <w:r w:rsidR="00A30966" w:rsidRPr="002121A4">
        <w:t xml:space="preserve">prospectus </w:t>
      </w:r>
      <w:r w:rsidRPr="002121A4">
        <w:t xml:space="preserve">regime applies in certain cases, e.g., secondary issuances, </w:t>
      </w:r>
      <w:r w:rsidR="00C03F40" w:rsidRPr="002121A4">
        <w:t xml:space="preserve">and the </w:t>
      </w:r>
      <w:r w:rsidRPr="002121A4">
        <w:t>EU Growth prospectus</w:t>
      </w:r>
      <w:r w:rsidR="00233294" w:rsidRPr="002121A4">
        <w:t>,</w:t>
      </w:r>
      <w:r w:rsidR="00C03F40" w:rsidRPr="002121A4">
        <w:rPr>
          <w:rStyle w:val="Funotenzeichen"/>
        </w:rPr>
        <w:footnoteReference w:id="127"/>
      </w:r>
      <w:r w:rsidR="00233294" w:rsidRPr="002121A4">
        <w:t xml:space="preserve"> and the EU Listing Act intends to create an even more efficient “EU Follow-on prospectus” for secondary issuances.</w:t>
      </w:r>
      <w:r w:rsidR="00233294" w:rsidRPr="002121A4">
        <w:rPr>
          <w:rStyle w:val="Funotenzeichen"/>
        </w:rPr>
        <w:footnoteReference w:id="128"/>
      </w:r>
    </w:p>
    <w:p w14:paraId="6003E25D" w14:textId="370C1488" w:rsidR="00E51CCF" w:rsidRPr="00F9205E" w:rsidRDefault="00E51CCF" w:rsidP="00453048">
      <w:pPr>
        <w:pStyle w:val="berschrift3"/>
        <w:rPr>
          <w:lang w:val="fr-CA"/>
        </w:rPr>
      </w:pPr>
      <w:r w:rsidRPr="00F9205E">
        <w:rPr>
          <w:lang w:val="fr-CA"/>
        </w:rPr>
        <w:t xml:space="preserve">Prospectus </w:t>
      </w:r>
      <w:proofErr w:type="spellStart"/>
      <w:r w:rsidRPr="00F9205E">
        <w:rPr>
          <w:lang w:val="fr-CA"/>
        </w:rPr>
        <w:t>approval</w:t>
      </w:r>
      <w:proofErr w:type="spellEnd"/>
      <w:r w:rsidRPr="00F9205E">
        <w:rPr>
          <w:lang w:val="fr-CA"/>
        </w:rPr>
        <w:t xml:space="preserve">, </w:t>
      </w:r>
      <w:proofErr w:type="spellStart"/>
      <w:r w:rsidRPr="00F9205E">
        <w:rPr>
          <w:lang w:val="fr-CA"/>
        </w:rPr>
        <w:t>advertisements</w:t>
      </w:r>
      <w:proofErr w:type="spellEnd"/>
      <w:r w:rsidRPr="00F9205E">
        <w:rPr>
          <w:lang w:val="fr-CA"/>
        </w:rPr>
        <w:t xml:space="preserve">, </w:t>
      </w:r>
      <w:proofErr w:type="spellStart"/>
      <w:r w:rsidRPr="00F9205E">
        <w:rPr>
          <w:lang w:val="fr-CA"/>
        </w:rPr>
        <w:t>supplements</w:t>
      </w:r>
      <w:proofErr w:type="spellEnd"/>
      <w:r w:rsidRPr="00F9205E">
        <w:rPr>
          <w:lang w:val="fr-CA"/>
        </w:rPr>
        <w:t xml:space="preserve"> (</w:t>
      </w:r>
      <w:proofErr w:type="spellStart"/>
      <w:r w:rsidRPr="00F9205E">
        <w:rPr>
          <w:lang w:val="fr-CA"/>
        </w:rPr>
        <w:t>chapter</w:t>
      </w:r>
      <w:proofErr w:type="spellEnd"/>
      <w:r w:rsidRPr="00F9205E">
        <w:rPr>
          <w:lang w:val="fr-CA"/>
        </w:rPr>
        <w:t xml:space="preserve"> IV PR)</w:t>
      </w:r>
    </w:p>
    <w:p w14:paraId="6A6DCEB6" w14:textId="0A17CDDB" w:rsidR="00AE42F8" w:rsidRPr="002121A4" w:rsidRDefault="00B17CFA" w:rsidP="002D41BB">
      <w:pPr>
        <w:pStyle w:val="Standardwithparanumbering"/>
      </w:pPr>
      <w:bookmarkStart w:id="91" w:name="_Ref129710687"/>
      <w:r w:rsidRPr="002121A4">
        <w:t>Chapter IV</w:t>
      </w:r>
      <w:r w:rsidR="00C03F40" w:rsidRPr="002121A4">
        <w:t xml:space="preserve"> PR</w:t>
      </w:r>
      <w:r w:rsidRPr="002121A4">
        <w:t xml:space="preserve"> establishes the rules governing approval and publication of prospectuses. Prior to publication, a prospectus must be approved by the relevant NCA.</w:t>
      </w:r>
      <w:r w:rsidR="00697A6A" w:rsidRPr="002121A4">
        <w:rPr>
          <w:rStyle w:val="Funotenzeichen"/>
        </w:rPr>
        <w:footnoteReference w:id="129"/>
      </w:r>
      <w:r w:rsidRPr="002121A4">
        <w:t xml:space="preserve"> </w:t>
      </w:r>
      <w:r w:rsidR="001870C0" w:rsidRPr="002121A4">
        <w:t>Article </w:t>
      </w:r>
      <w:r w:rsidR="00B9611A" w:rsidRPr="002121A4">
        <w:t xml:space="preserve">20(8) PR implies that the NCA </w:t>
      </w:r>
      <w:r w:rsidR="00497641" w:rsidRPr="002121A4">
        <w:t xml:space="preserve">competent for prospectus approval </w:t>
      </w:r>
      <w:r w:rsidR="00B9611A" w:rsidRPr="002121A4">
        <w:t xml:space="preserve">is the authority for the issuer’s home Member State within the meaning of </w:t>
      </w:r>
      <w:r w:rsidR="001870C0" w:rsidRPr="002121A4">
        <w:t>article </w:t>
      </w:r>
      <w:r w:rsidR="00B9611A" w:rsidRPr="002121A4">
        <w:t xml:space="preserve">2(m) PR. </w:t>
      </w:r>
      <w:r w:rsidRPr="002121A4">
        <w:t>Where an NCA finds that the draft prospectus does not meet the requirements for approval</w:t>
      </w:r>
      <w:r w:rsidR="00015171" w:rsidRPr="002121A4">
        <w:t xml:space="preserve"> under the regulation</w:t>
      </w:r>
      <w:r w:rsidRPr="002121A4">
        <w:t xml:space="preserve">, it will inform the issuer and specify what changes or supplementary information </w:t>
      </w:r>
      <w:r w:rsidR="002737BE" w:rsidRPr="002121A4">
        <w:t>are</w:t>
      </w:r>
      <w:r w:rsidRPr="002121A4">
        <w:t xml:space="preserve"> needed.</w:t>
      </w:r>
      <w:r w:rsidR="00A02FE3" w:rsidRPr="002121A4">
        <w:rPr>
          <w:rStyle w:val="Funotenzeichen"/>
        </w:rPr>
        <w:footnoteReference w:id="130"/>
      </w:r>
      <w:r w:rsidR="00145A77" w:rsidRPr="002121A4">
        <w:t xml:space="preserve"> </w:t>
      </w:r>
      <w:r w:rsidR="00DD6561" w:rsidRPr="002121A4">
        <w:t>Once approved, the pros</w:t>
      </w:r>
      <w:r w:rsidR="00DD7F6E" w:rsidRPr="002121A4">
        <w:t>pe</w:t>
      </w:r>
      <w:r w:rsidR="00DD6561" w:rsidRPr="002121A4">
        <w:t xml:space="preserve">ctus must be made </w:t>
      </w:r>
      <w:r w:rsidR="00DD6561" w:rsidRPr="002121A4">
        <w:lastRenderedPageBreak/>
        <w:t>available to the public reasonably in advance, and at any rate, at the latest at the beginning of the offering or the admission to trading.</w:t>
      </w:r>
      <w:r w:rsidR="00E27C7D" w:rsidRPr="002121A4">
        <w:rPr>
          <w:rStyle w:val="Funotenzeichen"/>
        </w:rPr>
        <w:footnoteReference w:id="131"/>
      </w:r>
      <w:r w:rsidR="0087730F" w:rsidRPr="002121A4">
        <w:t xml:space="preserve"> </w:t>
      </w:r>
    </w:p>
    <w:p w14:paraId="657C768D" w14:textId="55C7BB6B" w:rsidR="00882359" w:rsidRPr="002121A4" w:rsidRDefault="00BE0A4A" w:rsidP="002D41BB">
      <w:pPr>
        <w:pStyle w:val="Standardwithparanumbering"/>
      </w:pPr>
      <w:r w:rsidRPr="002121A4">
        <w:t>If significant new factors, material mistakes or material inaccuracies emerge between approval and closing of the offer period or admission to trading</w:t>
      </w:r>
      <w:r w:rsidR="00DD7F6E" w:rsidRPr="002121A4">
        <w:t>, they</w:t>
      </w:r>
      <w:r w:rsidRPr="002121A4">
        <w:t xml:space="preserve"> must be the subject of a supplement to the prospectus which is approved in the same way as a prospectus.</w:t>
      </w:r>
      <w:r w:rsidR="00CB2C0F" w:rsidRPr="002121A4">
        <w:rPr>
          <w:rStyle w:val="Funotenzeichen"/>
        </w:rPr>
        <w:footnoteReference w:id="132"/>
      </w:r>
      <w:bookmarkEnd w:id="91"/>
      <w:r w:rsidR="003873D4" w:rsidRPr="002121A4">
        <w:t xml:space="preserve"> The publication of the supplement triggers a right for investors to withdraw an acceptance declared prior to the publication of the supplement.</w:t>
      </w:r>
      <w:r w:rsidR="003873D4" w:rsidRPr="002121A4">
        <w:rPr>
          <w:rStyle w:val="Funotenzeichen"/>
        </w:rPr>
        <w:footnoteReference w:id="133"/>
      </w:r>
    </w:p>
    <w:p w14:paraId="21267246" w14:textId="52EDA4FD" w:rsidR="001F241E" w:rsidRPr="002121A4" w:rsidRDefault="001F241E" w:rsidP="002D41BB">
      <w:pPr>
        <w:pStyle w:val="Standardwithparanumbering"/>
      </w:pPr>
      <w:r w:rsidRPr="002121A4">
        <w:t>Advertisements relating to offerings or admissions to trading must comply with the requirements under article 2</w:t>
      </w:r>
      <w:r w:rsidR="00D9437F">
        <w:t>2</w:t>
      </w:r>
      <w:r w:rsidRPr="002121A4">
        <w:t xml:space="preserve"> PR: in particular, they must indicate that a prospectus has been or will be published, and where investors can obtain a copy</w:t>
      </w:r>
      <w:r w:rsidR="0095729A">
        <w:t>,</w:t>
      </w:r>
      <w:r w:rsidRPr="002121A4">
        <w:rPr>
          <w:rStyle w:val="Funotenzeichen"/>
        </w:rPr>
        <w:footnoteReference w:id="134"/>
      </w:r>
      <w:r w:rsidR="0095729A">
        <w:t xml:space="preserve"> and they must </w:t>
      </w:r>
      <w:r w:rsidR="002C2028">
        <w:t xml:space="preserve">not </w:t>
      </w:r>
      <w:r w:rsidR="0095729A">
        <w:t>be inaccurate or misleading and shall be consistent with the information contained in the prospectus.</w:t>
      </w:r>
      <w:r w:rsidR="0095729A">
        <w:rPr>
          <w:rStyle w:val="Funotenzeichen"/>
        </w:rPr>
        <w:footnoteReference w:id="135"/>
      </w:r>
    </w:p>
    <w:p w14:paraId="100FE3ED" w14:textId="4E13578C" w:rsidR="00E51CCF" w:rsidRPr="002121A4" w:rsidRDefault="00E51CCF" w:rsidP="00C95627">
      <w:pPr>
        <w:pStyle w:val="berschrift3"/>
        <w:rPr>
          <w:lang w:val="en-GB"/>
        </w:rPr>
      </w:pPr>
      <w:r w:rsidRPr="002121A4">
        <w:rPr>
          <w:lang w:val="en-GB"/>
        </w:rPr>
        <w:t xml:space="preserve">Cross-border </w:t>
      </w:r>
      <w:r w:rsidR="0020548E" w:rsidRPr="002121A4">
        <w:rPr>
          <w:lang w:val="en-GB"/>
        </w:rPr>
        <w:t>issues</w:t>
      </w:r>
      <w:r w:rsidRPr="002121A4">
        <w:rPr>
          <w:lang w:val="en-GB"/>
        </w:rPr>
        <w:t xml:space="preserve"> (chapter</w:t>
      </w:r>
      <w:r w:rsidR="0020548E" w:rsidRPr="002121A4">
        <w:rPr>
          <w:lang w:val="en-GB"/>
        </w:rPr>
        <w:t>s</w:t>
      </w:r>
      <w:r w:rsidRPr="002121A4">
        <w:rPr>
          <w:lang w:val="en-GB"/>
        </w:rPr>
        <w:t xml:space="preserve"> V</w:t>
      </w:r>
      <w:r w:rsidR="0020548E" w:rsidRPr="002121A4">
        <w:rPr>
          <w:lang w:val="en-GB"/>
        </w:rPr>
        <w:t xml:space="preserve"> and VI</w:t>
      </w:r>
      <w:r w:rsidRPr="002121A4">
        <w:rPr>
          <w:lang w:val="en-GB"/>
        </w:rPr>
        <w:t xml:space="preserve"> PR)</w:t>
      </w:r>
    </w:p>
    <w:p w14:paraId="1F795163" w14:textId="23155D73" w:rsidR="00B94BBE" w:rsidRPr="002121A4" w:rsidRDefault="00BA3099" w:rsidP="00BA3099">
      <w:pPr>
        <w:pStyle w:val="Standardwithparanumbering"/>
      </w:pPr>
      <w:r w:rsidRPr="002121A4">
        <w:t>A prospectus approved under chapter VI can be used for offerings and admission</w:t>
      </w:r>
      <w:r w:rsidR="00494411" w:rsidRPr="002121A4">
        <w:t>s</w:t>
      </w:r>
      <w:r w:rsidRPr="002121A4">
        <w:t xml:space="preserve"> in any number of EU Member States,</w:t>
      </w:r>
      <w:r w:rsidR="00494411" w:rsidRPr="002121A4">
        <w:rPr>
          <w:rStyle w:val="Funotenzeichen"/>
        </w:rPr>
        <w:footnoteReference w:id="136"/>
      </w:r>
      <w:r w:rsidRPr="002121A4">
        <w:t xml:space="preserve"> provided that the home Member State NCA notifies the NCAs of the host Member States, confirming approval of the prospectus and providing a copy.</w:t>
      </w:r>
      <w:r w:rsidR="005315C8" w:rsidRPr="002121A4">
        <w:rPr>
          <w:rStyle w:val="Funotenzeichen"/>
        </w:rPr>
        <w:footnoteReference w:id="137"/>
      </w:r>
      <w:r w:rsidR="0020548E" w:rsidRPr="002121A4">
        <w:t xml:space="preserve"> </w:t>
      </w:r>
      <w:r w:rsidR="00376A66" w:rsidRPr="002121A4">
        <w:t>The language of the prospectus is the language accepted by the NCA of the home Member State for offerings or admissions to trading in the home Member State.</w:t>
      </w:r>
      <w:r w:rsidR="005315C8" w:rsidRPr="002121A4">
        <w:rPr>
          <w:rStyle w:val="Funotenzeichen"/>
        </w:rPr>
        <w:footnoteReference w:id="138"/>
      </w:r>
      <w:r w:rsidR="00376A66" w:rsidRPr="002121A4">
        <w:t xml:space="preserve"> For offerings or admissions outside the home Member State, the issuer, the offeror or the person seekin</w:t>
      </w:r>
      <w:r w:rsidR="008B07A4" w:rsidRPr="002121A4">
        <w:t>g</w:t>
      </w:r>
      <w:r w:rsidR="00376A66" w:rsidRPr="002121A4">
        <w:t xml:space="preserve"> admission to trading have the choice between </w:t>
      </w:r>
      <w:r w:rsidR="00810A84" w:rsidRPr="002121A4">
        <w:t xml:space="preserve">a </w:t>
      </w:r>
      <w:r w:rsidR="00376A66" w:rsidRPr="002121A4">
        <w:t xml:space="preserve">language </w:t>
      </w:r>
      <w:r w:rsidR="00810A84" w:rsidRPr="002121A4">
        <w:t xml:space="preserve">accepted </w:t>
      </w:r>
      <w:r w:rsidR="00376A66" w:rsidRPr="002121A4">
        <w:t xml:space="preserve">in </w:t>
      </w:r>
      <w:r w:rsidR="00810A84" w:rsidRPr="002121A4">
        <w:t xml:space="preserve">the </w:t>
      </w:r>
      <w:r w:rsidR="00376A66" w:rsidRPr="002121A4">
        <w:t>host Member State and “a language customary in the sphere of international finance”,</w:t>
      </w:r>
      <w:r w:rsidR="00810A84" w:rsidRPr="002121A4">
        <w:rPr>
          <w:rStyle w:val="Funotenzeichen"/>
        </w:rPr>
        <w:footnoteReference w:id="139"/>
      </w:r>
      <w:r w:rsidR="00376A66" w:rsidRPr="002121A4">
        <w:t xml:space="preserve"> i.e., English</w:t>
      </w:r>
      <w:r w:rsidR="002F22DB" w:rsidRPr="002121A4">
        <w:t xml:space="preserve"> (with the exception of summaries: article 27(2)(2) PR)</w:t>
      </w:r>
      <w:r w:rsidR="00376A66" w:rsidRPr="002121A4">
        <w:t>.</w:t>
      </w:r>
      <w:r w:rsidR="002F22DB" w:rsidRPr="002121A4">
        <w:t xml:space="preserve"> </w:t>
      </w:r>
    </w:p>
    <w:p w14:paraId="4CA7C247" w14:textId="019D774A" w:rsidR="00E51CCF" w:rsidRPr="002121A4" w:rsidRDefault="00E51CCF" w:rsidP="00C95627">
      <w:pPr>
        <w:pStyle w:val="berschrift3"/>
        <w:rPr>
          <w:lang w:val="en-GB"/>
        </w:rPr>
      </w:pPr>
      <w:r w:rsidRPr="002121A4">
        <w:rPr>
          <w:lang w:val="en-GB"/>
        </w:rPr>
        <w:t xml:space="preserve">Enforcement </w:t>
      </w:r>
      <w:r w:rsidR="0024664C" w:rsidRPr="002121A4">
        <w:rPr>
          <w:lang w:val="en-GB"/>
        </w:rPr>
        <w:t>(chapters VII and VIII)</w:t>
      </w:r>
    </w:p>
    <w:p w14:paraId="5AD50D0F" w14:textId="5A3E4A2C" w:rsidR="00E51CCF" w:rsidRPr="002121A4" w:rsidRDefault="00E51CCF" w:rsidP="00C95627">
      <w:pPr>
        <w:pStyle w:val="berschrift4"/>
        <w:rPr>
          <w:lang w:val="en-GB"/>
        </w:rPr>
      </w:pPr>
      <w:r w:rsidRPr="002121A4">
        <w:rPr>
          <w:lang w:val="en-GB"/>
        </w:rPr>
        <w:t>Public enforcement</w:t>
      </w:r>
    </w:p>
    <w:p w14:paraId="36589FAD" w14:textId="68813871" w:rsidR="00EB0939" w:rsidRPr="002121A4" w:rsidRDefault="008B07A4" w:rsidP="00AB7E65">
      <w:pPr>
        <w:pStyle w:val="Standardwithparanumbering"/>
      </w:pPr>
      <w:bookmarkStart w:id="92" w:name="_Ref131685420"/>
      <w:r w:rsidRPr="002121A4">
        <w:t xml:space="preserve">As regards public enforcement, Member States will designate a single competent administrative authority under </w:t>
      </w:r>
      <w:r w:rsidR="001870C0" w:rsidRPr="002121A4">
        <w:t>article </w:t>
      </w:r>
      <w:r w:rsidRPr="002121A4">
        <w:t>31(1) PR. In Germany, th</w:t>
      </w:r>
      <w:r w:rsidR="00441F70" w:rsidRPr="002121A4">
        <w:t>is</w:t>
      </w:r>
      <w:r w:rsidRPr="002121A4">
        <w:t xml:space="preserve"> is BaFin, § 17 </w:t>
      </w:r>
      <w:proofErr w:type="spellStart"/>
      <w:r w:rsidRPr="002121A4">
        <w:t>WpPG</w:t>
      </w:r>
      <w:proofErr w:type="spellEnd"/>
      <w:r w:rsidRPr="002121A4">
        <w:t xml:space="preserve">. </w:t>
      </w:r>
      <w:r w:rsidR="00780324" w:rsidRPr="002121A4">
        <w:t>Enforcement of PR requirements happens essentially through the review and approval process which is designed to ensure that prospectuses comply with content and form requirements under the PR framework. In addition, u</w:t>
      </w:r>
      <w:r w:rsidRPr="002121A4">
        <w:t xml:space="preserve">nder </w:t>
      </w:r>
      <w:r w:rsidR="001870C0" w:rsidRPr="002121A4">
        <w:t>article </w:t>
      </w:r>
      <w:r w:rsidRPr="002121A4">
        <w:t>32(1), NCAs have a range of powers, including the power to prohibit offers and admissions to trading if there is a breach of the PR,</w:t>
      </w:r>
      <w:r w:rsidR="00B94A86" w:rsidRPr="002121A4">
        <w:rPr>
          <w:rStyle w:val="Funotenzeichen"/>
        </w:rPr>
        <w:footnoteReference w:id="140"/>
      </w:r>
      <w:r w:rsidRPr="002121A4">
        <w:t xml:space="preserve"> and to make public </w:t>
      </w:r>
      <w:r w:rsidR="00303312" w:rsidRPr="002121A4">
        <w:t xml:space="preserve">any </w:t>
      </w:r>
      <w:r w:rsidRPr="002121A4">
        <w:t>failure to comply with the PR.</w:t>
      </w:r>
      <w:r w:rsidR="00B94A86" w:rsidRPr="002121A4">
        <w:rPr>
          <w:rStyle w:val="Funotenzeichen"/>
        </w:rPr>
        <w:footnoteReference w:id="141"/>
      </w:r>
      <w:r w:rsidRPr="002121A4">
        <w:t xml:space="preserve"> </w:t>
      </w:r>
      <w:r w:rsidR="00EB0939" w:rsidRPr="002121A4">
        <w:t>Administrative sanctions</w:t>
      </w:r>
      <w:r w:rsidR="009839CB" w:rsidRPr="002121A4">
        <w:t xml:space="preserve"> include public statements indicating infringements, disgorgement of profits, and pecuniary sanctions.</w:t>
      </w:r>
      <w:r w:rsidR="00D62B82" w:rsidRPr="002121A4">
        <w:rPr>
          <w:rStyle w:val="Funotenzeichen"/>
        </w:rPr>
        <w:footnoteReference w:id="142"/>
      </w:r>
      <w:r w:rsidR="009839CB" w:rsidRPr="002121A4">
        <w:t xml:space="preserve"> </w:t>
      </w:r>
      <w:r w:rsidR="00303312" w:rsidRPr="002121A4">
        <w:t xml:space="preserve">For legal persons, the pecuniary sanction can </w:t>
      </w:r>
      <w:r w:rsidR="00303312" w:rsidRPr="002121A4">
        <w:lastRenderedPageBreak/>
        <w:t xml:space="preserve">reach the higher of €5m and 3% of the annual turnover of the </w:t>
      </w:r>
      <w:r w:rsidR="00237343" w:rsidRPr="002121A4">
        <w:t>entity</w:t>
      </w:r>
      <w:r w:rsidR="00303312" w:rsidRPr="002121A4">
        <w:t xml:space="preserve"> in question.</w:t>
      </w:r>
      <w:r w:rsidR="00303312" w:rsidRPr="002121A4">
        <w:rPr>
          <w:rStyle w:val="Funotenzeichen"/>
        </w:rPr>
        <w:footnoteReference w:id="143"/>
      </w:r>
      <w:r w:rsidR="00303312" w:rsidRPr="002121A4">
        <w:t xml:space="preserve"> </w:t>
      </w:r>
      <w:r w:rsidR="00F35292" w:rsidRPr="002121A4">
        <w:t xml:space="preserve">Any decision on administrative sanctions or measures will be published in accordance with </w:t>
      </w:r>
      <w:r w:rsidR="001870C0" w:rsidRPr="002121A4">
        <w:t>article </w:t>
      </w:r>
      <w:r w:rsidR="00F35292" w:rsidRPr="002121A4">
        <w:t>42(1) PR</w:t>
      </w:r>
      <w:r w:rsidR="00303312" w:rsidRPr="002121A4">
        <w:t xml:space="preserve"> (so-called “naming and shaming”)</w:t>
      </w:r>
      <w:r w:rsidR="00F35292" w:rsidRPr="002121A4">
        <w:t>.</w:t>
      </w:r>
      <w:r w:rsidR="00006D80" w:rsidRPr="002121A4">
        <w:t xml:space="preserve"> NCAs are required to co-operate with each other and ESMA in line with </w:t>
      </w:r>
      <w:r w:rsidR="001870C0" w:rsidRPr="002121A4">
        <w:t>articles </w:t>
      </w:r>
      <w:r w:rsidR="00006D80" w:rsidRPr="002121A4">
        <w:t>33, 34 PR.</w:t>
      </w:r>
      <w:r w:rsidR="00303312" w:rsidRPr="002121A4">
        <w:t xml:space="preserve"> </w:t>
      </w:r>
      <w:r w:rsidR="00303312" w:rsidRPr="002121A4">
        <w:rPr>
          <w:rFonts w:cs="Times New Roman"/>
        </w:rPr>
        <w:t>→</w:t>
      </w:r>
      <w:r w:rsidR="00303312" w:rsidRPr="002121A4">
        <w:t xml:space="preserve"> see </w:t>
      </w:r>
      <w:r w:rsidR="007C5250" w:rsidRPr="002121A4">
        <w:fldChar w:fldCharType="begin"/>
      </w:r>
      <w:r w:rsidR="007C5250" w:rsidRPr="002121A4">
        <w:instrText xml:space="preserve"> REF _Ref143276504 \r \h </w:instrText>
      </w:r>
      <w:r w:rsidR="007C5250" w:rsidRPr="002121A4">
        <w:fldChar w:fldCharType="separate"/>
      </w:r>
      <w:r w:rsidR="00D56145">
        <w:t>Case Study 16</w:t>
      </w:r>
      <w:r w:rsidR="007C5250" w:rsidRPr="002121A4">
        <w:fldChar w:fldCharType="end"/>
      </w:r>
      <w:r w:rsidR="007C5250" w:rsidRPr="002121A4">
        <w:t>, p. </w:t>
      </w:r>
      <w:r w:rsidR="007C5250" w:rsidRPr="002121A4">
        <w:fldChar w:fldCharType="begin"/>
      </w:r>
      <w:r w:rsidR="007C5250" w:rsidRPr="002121A4">
        <w:instrText xml:space="preserve"> PAGEREF _Ref143276504 \h </w:instrText>
      </w:r>
      <w:r w:rsidR="007C5250" w:rsidRPr="002121A4">
        <w:fldChar w:fldCharType="separate"/>
      </w:r>
      <w:r w:rsidR="00D56145">
        <w:rPr>
          <w:noProof/>
        </w:rPr>
        <w:t>32</w:t>
      </w:r>
      <w:r w:rsidR="007C5250" w:rsidRPr="002121A4">
        <w:fldChar w:fldCharType="end"/>
      </w:r>
      <w:r w:rsidR="008910A2" w:rsidRPr="002121A4">
        <w:t xml:space="preserve"> above</w:t>
      </w:r>
      <w:r w:rsidR="00303312" w:rsidRPr="002121A4">
        <w:t>.</w:t>
      </w:r>
      <w:bookmarkEnd w:id="92"/>
    </w:p>
    <w:p w14:paraId="244D05B4" w14:textId="63B331F7" w:rsidR="002220CE" w:rsidRPr="002121A4" w:rsidRDefault="00FB341C" w:rsidP="00C95627">
      <w:pPr>
        <w:pStyle w:val="berschrift4"/>
        <w:rPr>
          <w:lang w:val="en-GB"/>
        </w:rPr>
      </w:pPr>
      <w:r w:rsidRPr="002121A4">
        <w:rPr>
          <w:lang w:val="en-GB"/>
        </w:rPr>
        <w:t xml:space="preserve">Private </w:t>
      </w:r>
      <w:r w:rsidR="002220CE" w:rsidRPr="002121A4">
        <w:rPr>
          <w:lang w:val="en-GB"/>
        </w:rPr>
        <w:t>enforcement</w:t>
      </w:r>
    </w:p>
    <w:p w14:paraId="7B187836" w14:textId="43A6DCD0" w:rsidR="00310E07" w:rsidRPr="002121A4" w:rsidRDefault="00741224" w:rsidP="00741224">
      <w:pPr>
        <w:pStyle w:val="Standardwithparanumbering"/>
      </w:pPr>
      <w:r w:rsidRPr="002121A4">
        <w:t xml:space="preserve">While the </w:t>
      </w:r>
      <w:r w:rsidR="00237343" w:rsidRPr="002121A4">
        <w:t>Prospectus R</w:t>
      </w:r>
      <w:r w:rsidRPr="002121A4">
        <w:t xml:space="preserve">egulation </w:t>
      </w:r>
      <w:r w:rsidR="00AE5C52" w:rsidRPr="002121A4">
        <w:t xml:space="preserve">makes detailed provision for public enforcement, it leaves legislation on civil liability largely to Member States: </w:t>
      </w:r>
      <w:r w:rsidR="001870C0" w:rsidRPr="002121A4">
        <w:t>article </w:t>
      </w:r>
      <w:r w:rsidR="00AE5C52" w:rsidRPr="002121A4">
        <w:t xml:space="preserve">11(1) </w:t>
      </w:r>
      <w:r w:rsidR="00FF6C5A" w:rsidRPr="002121A4">
        <w:t xml:space="preserve">PR </w:t>
      </w:r>
      <w:r w:rsidR="00AE5C52" w:rsidRPr="002121A4">
        <w:t xml:space="preserve">requires Member States to ensure that responsibility for information given in a prospectus and supplements attaches to “at least the issuer or its </w:t>
      </w:r>
      <w:r w:rsidR="00E96BB4" w:rsidRPr="002121A4">
        <w:t>administrative</w:t>
      </w:r>
      <w:r w:rsidR="00AE5C52" w:rsidRPr="002121A4">
        <w:t xml:space="preserve">, management or supervisory bodies, the offeror, the person asking for the admission to trading or the guarantor, as the case may be”, and such persons must </w:t>
      </w:r>
      <w:r w:rsidR="00E96BB4" w:rsidRPr="002121A4">
        <w:t>be clearly</w:t>
      </w:r>
      <w:r w:rsidR="00AE5C52" w:rsidRPr="002121A4">
        <w:t xml:space="preserve"> identified in the prospectus. Member States must make sure that their laws on civil liability apply to the persons responsible for the prospectus.</w:t>
      </w:r>
      <w:r w:rsidR="00676E51" w:rsidRPr="002121A4">
        <w:rPr>
          <w:rStyle w:val="Funotenzeichen"/>
        </w:rPr>
        <w:footnoteReference w:id="144"/>
      </w:r>
      <w:r w:rsidR="00DA2AAC" w:rsidRPr="002121A4">
        <w:t xml:space="preserve"> </w:t>
      </w:r>
      <w:r w:rsidR="00310E07" w:rsidRPr="002121A4">
        <w:t>Implementation in the Member States is subject to the principles of equivalence and effectiveness (</w:t>
      </w:r>
      <w:r w:rsidR="00FF6C5A" w:rsidRPr="002121A4">
        <w:rPr>
          <w:rFonts w:cs="Times New Roman"/>
        </w:rPr>
        <w:t xml:space="preserve">→ </w:t>
      </w:r>
      <w:r w:rsidR="00310E07" w:rsidRPr="002121A4">
        <w:t xml:space="preserve">see </w:t>
      </w:r>
      <w:r w:rsidR="00310E07" w:rsidRPr="002121A4">
        <w:fldChar w:fldCharType="begin"/>
      </w:r>
      <w:r w:rsidR="00310E07" w:rsidRPr="002121A4">
        <w:instrText xml:space="preserve"> REF _Ref131674326 \r \h </w:instrText>
      </w:r>
      <w:r w:rsidR="00310E07" w:rsidRPr="002121A4">
        <w:fldChar w:fldCharType="separate"/>
      </w:r>
      <w:r w:rsidR="00D56145">
        <w:t>Case Study 14</w:t>
      </w:r>
      <w:r w:rsidR="00310E07" w:rsidRPr="002121A4">
        <w:fldChar w:fldCharType="end"/>
      </w:r>
      <w:r w:rsidR="00310E07" w:rsidRPr="002121A4">
        <w:t xml:space="preserve"> on p. </w:t>
      </w:r>
      <w:r w:rsidR="00310E07" w:rsidRPr="002121A4">
        <w:fldChar w:fldCharType="begin"/>
      </w:r>
      <w:r w:rsidR="00310E07" w:rsidRPr="002121A4">
        <w:instrText xml:space="preserve"> PAGEREF _Ref131674326 \h </w:instrText>
      </w:r>
      <w:r w:rsidR="00310E07" w:rsidRPr="002121A4">
        <w:fldChar w:fldCharType="separate"/>
      </w:r>
      <w:r w:rsidR="00D56145">
        <w:rPr>
          <w:noProof/>
        </w:rPr>
        <w:t>27</w:t>
      </w:r>
      <w:r w:rsidR="00310E07" w:rsidRPr="002121A4">
        <w:fldChar w:fldCharType="end"/>
      </w:r>
      <w:r w:rsidR="00310E07" w:rsidRPr="002121A4">
        <w:t xml:space="preserve"> above).</w:t>
      </w:r>
    </w:p>
    <w:p w14:paraId="46A1DD58" w14:textId="0967FDE3" w:rsidR="009A18B0" w:rsidRDefault="00DA2AAC" w:rsidP="00741224">
      <w:pPr>
        <w:pStyle w:val="Standardwithparanumbering"/>
      </w:pPr>
      <w:r w:rsidRPr="002121A4">
        <w:t xml:space="preserve">Implementing legislation in Germany is contained </w:t>
      </w:r>
      <w:r w:rsidR="00F27C68" w:rsidRPr="002121A4">
        <w:t xml:space="preserve">essentially </w:t>
      </w:r>
      <w:r w:rsidRPr="002121A4">
        <w:t xml:space="preserve">in </w:t>
      </w:r>
      <w:r w:rsidR="00811CD0" w:rsidRPr="002121A4">
        <w:t xml:space="preserve">§§ 8ff. </w:t>
      </w:r>
      <w:proofErr w:type="spellStart"/>
      <w:r w:rsidR="00811CD0" w:rsidRPr="002121A4">
        <w:t>WpPG</w:t>
      </w:r>
      <w:proofErr w:type="spellEnd"/>
      <w:r w:rsidRPr="002121A4">
        <w:t>.</w:t>
      </w:r>
      <w:r w:rsidR="009A18B0">
        <w:t xml:space="preserve"> Liability attaches</w:t>
      </w:r>
      <w:r w:rsidR="009A18B0" w:rsidRPr="002121A4">
        <w:t xml:space="preserve"> where material information in a prospectus is incorrect or incomplete</w:t>
      </w:r>
      <w:r w:rsidR="005E765A">
        <w:t xml:space="preserve"> (§§ 9, 10 </w:t>
      </w:r>
      <w:proofErr w:type="spellStart"/>
      <w:r w:rsidR="005E765A">
        <w:t>WpPG</w:t>
      </w:r>
      <w:proofErr w:type="spellEnd"/>
      <w:r w:rsidR="005E765A">
        <w:t>)</w:t>
      </w:r>
      <w:r w:rsidR="009A18B0" w:rsidRPr="002121A4">
        <w:t>, or when a prospectus is missing altogether</w:t>
      </w:r>
      <w:r w:rsidR="005E765A">
        <w:t xml:space="preserve"> (§ 14 </w:t>
      </w:r>
      <w:proofErr w:type="spellStart"/>
      <w:r w:rsidR="005E765A">
        <w:t>WpPG</w:t>
      </w:r>
      <w:proofErr w:type="spellEnd"/>
      <w:r w:rsidR="005E765A">
        <w:t>)</w:t>
      </w:r>
      <w:r w:rsidR="009A18B0">
        <w:t xml:space="preserve">. </w:t>
      </w:r>
      <w:r w:rsidR="009A18B0" w:rsidRPr="002121A4">
        <w:t xml:space="preserve">As a rule, investors can claim reimbursement of investment plus </w:t>
      </w:r>
      <w:r w:rsidR="00B43583">
        <w:t>customary</w:t>
      </w:r>
      <w:r w:rsidR="009A18B0">
        <w:t xml:space="preserve"> </w:t>
      </w:r>
      <w:r w:rsidR="009A18B0" w:rsidRPr="002121A4">
        <w:t>costs, in return for restitution of the securities that they have acquired.</w:t>
      </w:r>
      <w:r w:rsidR="009A18B0" w:rsidRPr="002121A4">
        <w:rPr>
          <w:rStyle w:val="Funotenzeichen"/>
        </w:rPr>
        <w:footnoteReference w:id="145"/>
      </w:r>
      <w:r w:rsidR="009A18B0" w:rsidRPr="002121A4">
        <w:t xml:space="preserve"> A time limit applies in that liability only attaches to transactions within six months of admission to trading</w:t>
      </w:r>
      <w:r w:rsidR="009A18B0" w:rsidRPr="002121A4">
        <w:rPr>
          <w:rStyle w:val="Funotenzeichen"/>
        </w:rPr>
        <w:footnoteReference w:id="146"/>
      </w:r>
      <w:r w:rsidR="009A18B0" w:rsidRPr="002121A4">
        <w:t xml:space="preserve"> or six months from beginning of the offering.</w:t>
      </w:r>
      <w:r w:rsidR="009A18B0" w:rsidRPr="002121A4">
        <w:rPr>
          <w:rStyle w:val="Funotenzeichen"/>
        </w:rPr>
        <w:footnoteReference w:id="147"/>
      </w:r>
      <w:r w:rsidR="009A18B0" w:rsidRPr="002121A4">
        <w:t xml:space="preserve"> The claim lies against the person responsible for the prospectus within the meaning of § 8 </w:t>
      </w:r>
      <w:proofErr w:type="spellStart"/>
      <w:r w:rsidR="009A18B0" w:rsidRPr="002121A4">
        <w:t>WpPG</w:t>
      </w:r>
      <w:proofErr w:type="spellEnd"/>
      <w:r w:rsidR="009A18B0" w:rsidRPr="002121A4">
        <w:t>, and, in addition, against persons from whom the preparation of the prospectus originates.</w:t>
      </w:r>
      <w:r w:rsidR="009A18B0" w:rsidRPr="002121A4">
        <w:rPr>
          <w:rStyle w:val="Funotenzeichen"/>
        </w:rPr>
        <w:footnoteReference w:id="148"/>
      </w:r>
      <w:r w:rsidR="009A18B0" w:rsidRPr="002121A4">
        <w:t xml:space="preserve"> (</w:t>
      </w:r>
      <w:r w:rsidR="009A18B0" w:rsidRPr="002121A4">
        <w:rPr>
          <w:rFonts w:cs="Times New Roman"/>
        </w:rPr>
        <w:t>→</w:t>
      </w:r>
      <w:r w:rsidR="009A18B0" w:rsidRPr="002121A4">
        <w:t xml:space="preserve"> see </w:t>
      </w:r>
      <w:r w:rsidR="009A18B0" w:rsidRPr="002121A4">
        <w:fldChar w:fldCharType="begin"/>
      </w:r>
      <w:r w:rsidR="009A18B0" w:rsidRPr="002121A4">
        <w:instrText xml:space="preserve"> REF _Ref131682210 \r \h </w:instrText>
      </w:r>
      <w:r w:rsidR="009A18B0" w:rsidRPr="002121A4">
        <w:fldChar w:fldCharType="separate"/>
      </w:r>
      <w:r w:rsidR="00D56145">
        <w:t>Case Study 20</w:t>
      </w:r>
      <w:r w:rsidR="009A18B0" w:rsidRPr="002121A4">
        <w:fldChar w:fldCharType="end"/>
      </w:r>
      <w:r w:rsidR="009A18B0" w:rsidRPr="002121A4">
        <w:t>, p. </w:t>
      </w:r>
      <w:r w:rsidR="009A18B0" w:rsidRPr="002121A4">
        <w:fldChar w:fldCharType="begin"/>
      </w:r>
      <w:r w:rsidR="009A18B0" w:rsidRPr="002121A4">
        <w:instrText xml:space="preserve"> PAGEREF _Ref131682210 \h </w:instrText>
      </w:r>
      <w:r w:rsidR="009A18B0" w:rsidRPr="002121A4">
        <w:fldChar w:fldCharType="separate"/>
      </w:r>
      <w:r w:rsidR="00D56145">
        <w:rPr>
          <w:noProof/>
        </w:rPr>
        <w:t>34</w:t>
      </w:r>
      <w:r w:rsidR="009A18B0" w:rsidRPr="002121A4">
        <w:fldChar w:fldCharType="end"/>
      </w:r>
      <w:r w:rsidR="009A18B0" w:rsidRPr="002121A4">
        <w:t xml:space="preserve"> above).</w:t>
      </w:r>
    </w:p>
    <w:p w14:paraId="642CD2A1" w14:textId="4558C1B7" w:rsidR="009A18B0" w:rsidRDefault="000823DB" w:rsidP="009A18B0">
      <w:pPr>
        <w:pStyle w:val="Standardwithparanumbering"/>
      </w:pPr>
      <w:r>
        <w:t xml:space="preserve">As regards the correctness and completeness of the prospectus, case law applies the test whether the prospectus </w:t>
      </w:r>
      <w:r w:rsidR="00256D17">
        <w:t>informed</w:t>
      </w:r>
      <w:r>
        <w:t xml:space="preserve"> </w:t>
      </w:r>
      <w:r w:rsidR="009A18B0">
        <w:t>investor</w:t>
      </w:r>
      <w:r>
        <w:t>s</w:t>
      </w:r>
      <w:r w:rsidR="009A18B0">
        <w:t xml:space="preserve"> accurately, comprehensibly and completely about all circumstances that are or may be of material importance for </w:t>
      </w:r>
      <w:r>
        <w:t xml:space="preserve">their </w:t>
      </w:r>
      <w:r w:rsidR="009A18B0">
        <w:t>investment decision, in particular about the disadvantages and risks associated with the investment offered.</w:t>
      </w:r>
      <w:r w:rsidR="00DC378B">
        <w:rPr>
          <w:rStyle w:val="Funotenzeichen"/>
        </w:rPr>
        <w:footnoteReference w:id="149"/>
      </w:r>
      <w:r w:rsidR="009A18B0">
        <w:t xml:space="preserve"> This includes information about circumstances that could frustrate the purpose of the transaction and about circumstances that, although not yet certain, make it likely that they will jeopardise the purpose pursued by the investor. For the presentation of a risk, it is necessary for the prospectus to explain which event may lead to the realisation of a certain risk.</w:t>
      </w:r>
      <w:r w:rsidR="00B7794E">
        <w:rPr>
          <w:rStyle w:val="Funotenzeichen"/>
        </w:rPr>
        <w:footnoteReference w:id="150"/>
      </w:r>
      <w:r w:rsidR="009A18B0">
        <w:t xml:space="preserve"> The assessment of whether a prospectus is incorrect or incomplete must be based on the overall picture it conveys to the reasonable investor, taking into account the careful and thorough reading required of him.</w:t>
      </w:r>
      <w:r w:rsidR="00B7794E">
        <w:rPr>
          <w:rStyle w:val="Funotenzeichen"/>
        </w:rPr>
        <w:footnoteReference w:id="151"/>
      </w:r>
      <w:r w:rsidR="009A18B0">
        <w:t xml:space="preserve"> In this respect, the relevant time of assessment is generally the time at which the prospectus was prepared.</w:t>
      </w:r>
      <w:r w:rsidR="00B7794E" w:rsidRPr="00B7794E">
        <w:rPr>
          <w:rStyle w:val="Funotenzeichen"/>
        </w:rPr>
        <w:t xml:space="preserve"> </w:t>
      </w:r>
      <w:r w:rsidR="00B7794E">
        <w:rPr>
          <w:rStyle w:val="Funotenzeichen"/>
        </w:rPr>
        <w:footnoteReference w:id="152"/>
      </w:r>
    </w:p>
    <w:p w14:paraId="7C6DB393" w14:textId="56E8052F" w:rsidR="00DF17AD" w:rsidRPr="002121A4" w:rsidRDefault="00BD7570" w:rsidP="00887968">
      <w:pPr>
        <w:pStyle w:val="Standardwithparanumbering"/>
        <w:keepNext/>
      </w:pPr>
      <w:r w:rsidRPr="002121A4">
        <w:lastRenderedPageBreak/>
        <w:t xml:space="preserve">§ 12 </w:t>
      </w:r>
      <w:proofErr w:type="spellStart"/>
      <w:r w:rsidRPr="002121A4">
        <w:t>WpPG</w:t>
      </w:r>
      <w:proofErr w:type="spellEnd"/>
      <w:r w:rsidRPr="002121A4">
        <w:t xml:space="preserve"> list</w:t>
      </w:r>
      <w:r w:rsidR="009B69BB" w:rsidRPr="002121A4">
        <w:t>s</w:t>
      </w:r>
      <w:r w:rsidRPr="002121A4">
        <w:t xml:space="preserve"> d</w:t>
      </w:r>
      <w:r w:rsidR="00D30D9D" w:rsidRPr="002121A4">
        <w:t>efences</w:t>
      </w:r>
      <w:r w:rsidRPr="002121A4">
        <w:t xml:space="preserve"> against a claim for prospectus liability. </w:t>
      </w:r>
      <w:r w:rsidR="00F13DAA" w:rsidRPr="002121A4">
        <w:t xml:space="preserve">Under § 12(1) </w:t>
      </w:r>
      <w:proofErr w:type="spellStart"/>
      <w:r w:rsidR="00F13DAA" w:rsidRPr="002121A4">
        <w:t>WpPG</w:t>
      </w:r>
      <w:proofErr w:type="spellEnd"/>
      <w:r w:rsidR="00F13DAA" w:rsidRPr="002121A4">
        <w:t xml:space="preserve">, the defendant can avoid liability if he proves that he was not aware of the incorrectness or incompleteness of the information, and that this was not due to gross negligence. In addition, </w:t>
      </w:r>
      <w:r w:rsidR="002E11AB">
        <w:t xml:space="preserve">pursuant to § 12(2) </w:t>
      </w:r>
      <w:proofErr w:type="spellStart"/>
      <w:r w:rsidR="002E11AB">
        <w:t>WpPG</w:t>
      </w:r>
      <w:proofErr w:type="spellEnd"/>
      <w:r w:rsidR="002E11AB">
        <w:t xml:space="preserve">, </w:t>
      </w:r>
      <w:r w:rsidR="00F13DAA" w:rsidRPr="002121A4">
        <w:t>no claim exists</w:t>
      </w:r>
      <w:r w:rsidR="00DF17AD" w:rsidRPr="002121A4">
        <w:t>:</w:t>
      </w:r>
      <w:r w:rsidR="00F13DAA" w:rsidRPr="002121A4">
        <w:t xml:space="preserve"> </w:t>
      </w:r>
    </w:p>
    <w:p w14:paraId="66B600DF" w14:textId="77777777" w:rsidR="00DF17AD" w:rsidRPr="00197714" w:rsidRDefault="00F13DAA" w:rsidP="00AB42AA">
      <w:pPr>
        <w:pStyle w:val="Listenabsatz"/>
        <w:numPr>
          <w:ilvl w:val="0"/>
          <w:numId w:val="11"/>
        </w:numPr>
        <w:rPr>
          <w:lang w:val="en-US"/>
        </w:rPr>
      </w:pPr>
      <w:r w:rsidRPr="00197714">
        <w:rPr>
          <w:lang w:val="en-US"/>
        </w:rPr>
        <w:t xml:space="preserve">if the </w:t>
      </w:r>
      <w:r w:rsidRPr="00EF383F">
        <w:rPr>
          <w:lang w:val="en-GB"/>
        </w:rPr>
        <w:t>acquisition</w:t>
      </w:r>
      <w:r w:rsidRPr="00197714">
        <w:rPr>
          <w:lang w:val="en-US"/>
        </w:rPr>
        <w:t xml:space="preserve"> of the securities was not based on the prospectus, </w:t>
      </w:r>
    </w:p>
    <w:p w14:paraId="4B12025D" w14:textId="28C366D7" w:rsidR="00DF17AD" w:rsidRPr="00197714" w:rsidRDefault="00F13DAA" w:rsidP="00AB42AA">
      <w:pPr>
        <w:pStyle w:val="Listenabsatz"/>
        <w:numPr>
          <w:ilvl w:val="0"/>
          <w:numId w:val="11"/>
        </w:numPr>
        <w:rPr>
          <w:lang w:val="en-US"/>
        </w:rPr>
      </w:pPr>
      <w:r w:rsidRPr="00197714">
        <w:rPr>
          <w:lang w:val="en-US"/>
        </w:rPr>
        <w:t xml:space="preserve">if facts </w:t>
      </w:r>
      <w:r w:rsidRPr="00EF383F">
        <w:rPr>
          <w:lang w:val="en-GB"/>
        </w:rPr>
        <w:t>on</w:t>
      </w:r>
      <w:r w:rsidRPr="00197714">
        <w:rPr>
          <w:lang w:val="en-US"/>
        </w:rPr>
        <w:t xml:space="preserve"> which information in the prospectus was incorrect or incomplete did not contribute to a reduction of the market price of the securities,</w:t>
      </w:r>
    </w:p>
    <w:p w14:paraId="0BE33187" w14:textId="5FCE73F6" w:rsidR="009F3956" w:rsidRPr="00197714" w:rsidRDefault="00F13DAA" w:rsidP="00AB42AA">
      <w:pPr>
        <w:pStyle w:val="Listenabsatz"/>
        <w:numPr>
          <w:ilvl w:val="0"/>
          <w:numId w:val="11"/>
        </w:numPr>
        <w:rPr>
          <w:lang w:val="en-US"/>
        </w:rPr>
      </w:pPr>
      <w:r w:rsidRPr="00197714">
        <w:rPr>
          <w:lang w:val="en-US"/>
        </w:rPr>
        <w:t xml:space="preserve">if the </w:t>
      </w:r>
      <w:r w:rsidRPr="00EF383F">
        <w:rPr>
          <w:lang w:val="en-GB"/>
        </w:rPr>
        <w:t>investor</w:t>
      </w:r>
      <w:r w:rsidRPr="00197714">
        <w:rPr>
          <w:lang w:val="en-US"/>
        </w:rPr>
        <w:t xml:space="preserve"> was aware, at the moment of the investment, of the incorrectness or incompleteness of the prospectus</w:t>
      </w:r>
      <w:r w:rsidR="009F3956" w:rsidRPr="00197714">
        <w:rPr>
          <w:lang w:val="en-US"/>
        </w:rPr>
        <w:t>,</w:t>
      </w:r>
    </w:p>
    <w:p w14:paraId="336F9EAC" w14:textId="06A7716C" w:rsidR="009F3956" w:rsidRPr="00197714" w:rsidRDefault="009F3956" w:rsidP="00AB42AA">
      <w:pPr>
        <w:pStyle w:val="Listenabsatz"/>
        <w:numPr>
          <w:ilvl w:val="0"/>
          <w:numId w:val="11"/>
        </w:numPr>
        <w:rPr>
          <w:lang w:val="en-US"/>
        </w:rPr>
      </w:pPr>
      <w:r w:rsidRPr="00197714">
        <w:rPr>
          <w:lang w:val="en-US"/>
        </w:rPr>
        <w:t xml:space="preserve">if the </w:t>
      </w:r>
      <w:r w:rsidRPr="00EF383F">
        <w:rPr>
          <w:lang w:val="en-GB"/>
        </w:rPr>
        <w:t>incorrectness</w:t>
      </w:r>
      <w:r w:rsidRPr="00197714">
        <w:rPr>
          <w:lang w:val="en-US"/>
        </w:rPr>
        <w:t xml:space="preserve"> or incompleteness was amended through certain types of communications from the issuer (e.g., annual report, disclosure of inside information), and</w:t>
      </w:r>
    </w:p>
    <w:p w14:paraId="4C74B085" w14:textId="3C2B67B1" w:rsidR="00B94BBE" w:rsidRPr="00197714" w:rsidRDefault="009F3956" w:rsidP="00AB42AA">
      <w:pPr>
        <w:pStyle w:val="Listenabsatz"/>
        <w:numPr>
          <w:ilvl w:val="0"/>
          <w:numId w:val="11"/>
        </w:numPr>
        <w:rPr>
          <w:lang w:val="en-US"/>
        </w:rPr>
      </w:pPr>
      <w:r w:rsidRPr="00197714">
        <w:rPr>
          <w:lang w:val="en-US"/>
        </w:rPr>
        <w:t xml:space="preserve">if liability is </w:t>
      </w:r>
      <w:r w:rsidRPr="00EF383F">
        <w:rPr>
          <w:lang w:val="en-GB"/>
        </w:rPr>
        <w:t>based</w:t>
      </w:r>
      <w:r w:rsidRPr="00197714">
        <w:rPr>
          <w:lang w:val="en-US"/>
        </w:rPr>
        <w:t xml:space="preserve"> solely on the summary unless the summary is misleading or incomplete when read together with the rest of the prospectus</w:t>
      </w:r>
      <w:r w:rsidR="00C1189D" w:rsidRPr="00197714">
        <w:rPr>
          <w:lang w:val="en-US"/>
        </w:rPr>
        <w:t xml:space="preserve"> (see article 11(2)(2) PR)</w:t>
      </w:r>
      <w:r w:rsidRPr="00197714">
        <w:rPr>
          <w:lang w:val="en-US"/>
        </w:rPr>
        <w:t>.</w:t>
      </w:r>
    </w:p>
    <w:p w14:paraId="34B75AC7" w14:textId="1DD2E854" w:rsidR="00B94BBE" w:rsidRPr="002121A4" w:rsidRDefault="00485650" w:rsidP="00AB42AA">
      <w:pPr>
        <w:pStyle w:val="Case"/>
        <w:numPr>
          <w:ilvl w:val="0"/>
          <w:numId w:val="14"/>
        </w:numPr>
        <w:ind w:left="567" w:firstLine="0"/>
        <w:rPr>
          <w:szCs w:val="23"/>
        </w:rPr>
      </w:pPr>
      <w:bookmarkStart w:id="93" w:name="_Ref163123026"/>
      <w:r w:rsidRPr="002121A4">
        <w:rPr>
          <w:szCs w:val="23"/>
        </w:rPr>
        <w:t xml:space="preserve">T, an issuer of listed shares, faces damage claims from investors on the bases that an IPO prospectus was incorrect. Can T defend prospectus </w:t>
      </w:r>
      <w:r w:rsidRPr="005152F4">
        <w:t>liability</w:t>
      </w:r>
      <w:r w:rsidRPr="002121A4">
        <w:rPr>
          <w:szCs w:val="23"/>
        </w:rPr>
        <w:t xml:space="preserve"> claims on the basis that (</w:t>
      </w:r>
      <w:proofErr w:type="spellStart"/>
      <w:r w:rsidRPr="002121A4">
        <w:rPr>
          <w:szCs w:val="23"/>
        </w:rPr>
        <w:t>i</w:t>
      </w:r>
      <w:proofErr w:type="spellEnd"/>
      <w:r w:rsidRPr="002121A4">
        <w:rPr>
          <w:szCs w:val="23"/>
        </w:rPr>
        <w:t xml:space="preserve">) the prospectus did not create a positive market sentiment in favour of the offering, (ii) information not included in the prospectus was in the public domain and therefore adequately reflected in the issue price of the shares, and (iii) the discovery of the alleged inaccuracies of the prospectus did not have a negative impact on the share price? </w:t>
      </w:r>
      <w:r w:rsidRPr="008E6AC5">
        <w:rPr>
          <w:szCs w:val="23"/>
          <w:lang w:val="de-DE"/>
        </w:rPr>
        <w:t xml:space="preserve">(BGH, 21 </w:t>
      </w:r>
      <w:proofErr w:type="spellStart"/>
      <w:r w:rsidRPr="008E6AC5">
        <w:rPr>
          <w:szCs w:val="23"/>
          <w:lang w:val="de-DE"/>
        </w:rPr>
        <w:t>October</w:t>
      </w:r>
      <w:proofErr w:type="spellEnd"/>
      <w:r w:rsidRPr="008E6AC5">
        <w:rPr>
          <w:szCs w:val="23"/>
          <w:lang w:val="de-DE"/>
        </w:rPr>
        <w:t xml:space="preserve"> 2014 – XI ZB 12/12, BGHZ 203, 1 – </w:t>
      </w:r>
      <w:r w:rsidRPr="008E6AC5">
        <w:rPr>
          <w:i/>
          <w:szCs w:val="23"/>
          <w:lang w:val="de-DE"/>
        </w:rPr>
        <w:t>Dt. Telekom I</w:t>
      </w:r>
      <w:r w:rsidRPr="008E6AC5">
        <w:rPr>
          <w:szCs w:val="23"/>
          <w:lang w:val="de-DE"/>
        </w:rPr>
        <w:t xml:space="preserve">; 15 </w:t>
      </w:r>
      <w:proofErr w:type="spellStart"/>
      <w:r w:rsidRPr="008E6AC5">
        <w:rPr>
          <w:szCs w:val="23"/>
          <w:lang w:val="de-DE"/>
        </w:rPr>
        <w:t>December</w:t>
      </w:r>
      <w:proofErr w:type="spellEnd"/>
      <w:r w:rsidRPr="008E6AC5">
        <w:rPr>
          <w:szCs w:val="23"/>
          <w:lang w:val="de-DE"/>
        </w:rPr>
        <w:t xml:space="preserve"> 2020 – XI ZB 24/16, NZG 2021, 457 – </w:t>
      </w:r>
      <w:r w:rsidRPr="008E6AC5">
        <w:rPr>
          <w:i/>
          <w:szCs w:val="23"/>
          <w:lang w:val="de-DE"/>
        </w:rPr>
        <w:t xml:space="preserve">Dt. </w:t>
      </w:r>
      <w:r w:rsidRPr="002121A4">
        <w:rPr>
          <w:i/>
          <w:szCs w:val="23"/>
        </w:rPr>
        <w:t>Telekom II</w:t>
      </w:r>
      <w:r w:rsidRPr="002121A4">
        <w:rPr>
          <w:szCs w:val="23"/>
        </w:rPr>
        <w:t>)</w:t>
      </w:r>
      <w:bookmarkEnd w:id="93"/>
    </w:p>
    <w:p w14:paraId="151A4032" w14:textId="5B7177DB" w:rsidR="00C002B8" w:rsidRPr="002121A4" w:rsidRDefault="00C002B8" w:rsidP="00C002B8">
      <w:pPr>
        <w:pStyle w:val="Case"/>
      </w:pPr>
      <w:r w:rsidRPr="002121A4">
        <w:rPr>
          <w:b/>
        </w:rPr>
        <w:t>Notes.</w:t>
      </w:r>
      <w:r w:rsidR="00EB56C4" w:rsidRPr="002121A4">
        <w:rPr>
          <w:b/>
        </w:rPr>
        <w:t xml:space="preserve"> </w:t>
      </w:r>
      <w:r w:rsidR="00DC34FD" w:rsidRPr="002121A4">
        <w:rPr>
          <w:b/>
        </w:rPr>
        <w:br/>
      </w:r>
      <w:r w:rsidR="00DC34FD" w:rsidRPr="002121A4">
        <w:rPr>
          <w:b/>
        </w:rPr>
        <w:br/>
      </w:r>
      <w:r w:rsidR="00DC34FD" w:rsidRPr="002121A4">
        <w:rPr>
          <w:b/>
        </w:rPr>
        <w:br/>
      </w:r>
      <w:r w:rsidR="00DC34FD" w:rsidRPr="002121A4">
        <w:rPr>
          <w:b/>
        </w:rPr>
        <w:br/>
      </w:r>
      <w:r w:rsidR="00DC34FD" w:rsidRPr="002121A4">
        <w:rPr>
          <w:b/>
        </w:rPr>
        <w:br/>
      </w:r>
    </w:p>
    <w:p w14:paraId="3F2A0AA7" w14:textId="3F27A4B9" w:rsidR="00B94BBE" w:rsidRPr="00F9205E" w:rsidRDefault="00B94BBE" w:rsidP="00AB42AA">
      <w:pPr>
        <w:pStyle w:val="Case"/>
        <w:numPr>
          <w:ilvl w:val="0"/>
          <w:numId w:val="14"/>
        </w:numPr>
        <w:ind w:left="567" w:firstLine="0"/>
        <w:rPr>
          <w:szCs w:val="23"/>
          <w:lang w:val="es-ES"/>
        </w:rPr>
      </w:pPr>
      <w:bookmarkStart w:id="94" w:name="_Ref163123027"/>
      <w:r w:rsidRPr="002121A4">
        <w:rPr>
          <w:szCs w:val="23"/>
        </w:rPr>
        <w:t>B issued an offer of shares to the public, divided in two tranches, one for retail, and one for qualified investors. I is an insurance company and purchased shares for €600k. Following a revision of B’s financial statements, the shares lost almost all their value. Can B defend prospectus liability claims raised by I on the basis that, under the Prospectus Regulation, (</w:t>
      </w:r>
      <w:proofErr w:type="spellStart"/>
      <w:r w:rsidRPr="002121A4">
        <w:rPr>
          <w:szCs w:val="23"/>
        </w:rPr>
        <w:t>i</w:t>
      </w:r>
      <w:proofErr w:type="spellEnd"/>
      <w:r w:rsidRPr="002121A4">
        <w:rPr>
          <w:szCs w:val="23"/>
        </w:rPr>
        <w:t xml:space="preserve">) in case of an offer to both retail and qualified investors, only retail investors can rely on prospectus liability, and (ii) account must be taken of the fact that the investor was, or ought to have been aware of the economic situation of the issuer. </w:t>
      </w:r>
      <w:r w:rsidRPr="00F9205E">
        <w:rPr>
          <w:szCs w:val="23"/>
          <w:lang w:val="es-ES"/>
        </w:rPr>
        <w:t>(Case C-910/19</w:t>
      </w:r>
      <w:r w:rsidRPr="00F9205E">
        <w:rPr>
          <w:i/>
          <w:szCs w:val="23"/>
          <w:lang w:val="es-ES"/>
        </w:rPr>
        <w:t>, Bankia SA v. Unión Mutua Asistencial de Seguros</w:t>
      </w:r>
      <w:r w:rsidRPr="00F9205E">
        <w:rPr>
          <w:szCs w:val="23"/>
          <w:lang w:val="es-ES"/>
        </w:rPr>
        <w:t>)</w:t>
      </w:r>
      <w:bookmarkEnd w:id="94"/>
    </w:p>
    <w:p w14:paraId="3015AA03" w14:textId="555F94F0" w:rsidR="00C002B8" w:rsidRPr="002121A4" w:rsidRDefault="00C002B8" w:rsidP="00C002B8">
      <w:pPr>
        <w:pStyle w:val="Case"/>
      </w:pPr>
      <w:r w:rsidRPr="002121A4">
        <w:rPr>
          <w:b/>
        </w:rPr>
        <w:t>Notes.</w:t>
      </w:r>
      <w:r w:rsidR="00DC34FD" w:rsidRPr="002121A4">
        <w:rPr>
          <w:b/>
        </w:rPr>
        <w:br/>
      </w:r>
      <w:r w:rsidR="00DC34FD" w:rsidRPr="002121A4">
        <w:rPr>
          <w:b/>
        </w:rPr>
        <w:br/>
      </w:r>
      <w:r w:rsidR="00DC34FD" w:rsidRPr="002121A4">
        <w:rPr>
          <w:b/>
        </w:rPr>
        <w:br/>
      </w:r>
      <w:r w:rsidR="00DC34FD" w:rsidRPr="002121A4">
        <w:rPr>
          <w:b/>
        </w:rPr>
        <w:br/>
      </w:r>
      <w:r w:rsidR="00DC34FD" w:rsidRPr="002121A4">
        <w:rPr>
          <w:b/>
        </w:rPr>
        <w:br/>
      </w:r>
    </w:p>
    <w:p w14:paraId="68B94CCF" w14:textId="122793AD" w:rsidR="00B94BBE" w:rsidRPr="002121A4" w:rsidRDefault="000827AD" w:rsidP="00DB1C78">
      <w:pPr>
        <w:pStyle w:val="Standardwithparanumbering"/>
      </w:pPr>
      <w:r w:rsidRPr="002121A4">
        <w:t xml:space="preserve">In addition to §§ 9, 10 </w:t>
      </w:r>
      <w:proofErr w:type="spellStart"/>
      <w:r w:rsidRPr="002121A4">
        <w:t>WpPG</w:t>
      </w:r>
      <w:proofErr w:type="spellEnd"/>
      <w:r w:rsidRPr="002121A4">
        <w:t>, civil liabil</w:t>
      </w:r>
      <w:r w:rsidR="00163BDC" w:rsidRPr="002121A4">
        <w:t>i</w:t>
      </w:r>
      <w:r w:rsidRPr="002121A4">
        <w:t>ty can also be based on other grounds</w:t>
      </w:r>
      <w:r w:rsidR="0074427C" w:rsidRPr="002121A4">
        <w:t xml:space="preserve"> (cf. the </w:t>
      </w:r>
      <w:r w:rsidR="00DE04D1" w:rsidRPr="002121A4">
        <w:t xml:space="preserve">box </w:t>
      </w:r>
      <w:r w:rsidR="00404448" w:rsidRPr="002121A4">
        <w:t>at the end of</w:t>
      </w:r>
      <w:r w:rsidR="0074427C" w:rsidRPr="002121A4">
        <w:t xml:space="preserve"> </w:t>
      </w:r>
      <w:r w:rsidR="00C3096B" w:rsidRPr="002121A4">
        <w:t>this chapter</w:t>
      </w:r>
      <w:r w:rsidR="00942612" w:rsidRPr="002121A4">
        <w:t xml:space="preserve"> </w:t>
      </w:r>
      <w:r w:rsidR="002E11AB">
        <w:t>on</w:t>
      </w:r>
      <w:r w:rsidR="00942612" w:rsidRPr="002121A4">
        <w:t xml:space="preserve"> p. 4</w:t>
      </w:r>
      <w:r w:rsidR="007C2F64">
        <w:t>2</w:t>
      </w:r>
      <w:r w:rsidR="0074427C" w:rsidRPr="002121A4">
        <w:t>)</w:t>
      </w:r>
      <w:r w:rsidR="002F4C56" w:rsidRPr="002121A4">
        <w:t>:</w:t>
      </w:r>
      <w:r w:rsidRPr="002121A4">
        <w:t xml:space="preserve"> First, specific liability attaches to prospectus-type disclosure not covered by the PR, e.g., information provided for securities falling under the exemption under </w:t>
      </w:r>
      <w:r w:rsidR="001870C0" w:rsidRPr="002121A4">
        <w:t>article </w:t>
      </w:r>
      <w:r w:rsidRPr="002121A4">
        <w:t>3(2) PR (§§</w:t>
      </w:r>
      <w:r w:rsidR="009655E8">
        <w:t> </w:t>
      </w:r>
      <w:r w:rsidRPr="002121A4">
        <w:t xml:space="preserve">11, 15 </w:t>
      </w:r>
      <w:proofErr w:type="spellStart"/>
      <w:r w:rsidRPr="002121A4">
        <w:t>WpPG</w:t>
      </w:r>
      <w:proofErr w:type="spellEnd"/>
      <w:r w:rsidRPr="002121A4">
        <w:t xml:space="preserve">), or prospectuses for investments that do not qualify as securities under </w:t>
      </w:r>
      <w:r w:rsidR="001870C0" w:rsidRPr="002121A4">
        <w:t>article </w:t>
      </w:r>
      <w:r w:rsidRPr="002121A4">
        <w:t>1(1), (2) PR, e.g., liability relating to prospectuses for investment fund units (§</w:t>
      </w:r>
      <w:r w:rsidR="009655E8">
        <w:t> </w:t>
      </w:r>
      <w:r w:rsidRPr="002121A4">
        <w:t>306 KAGB) and for other types of investments (§§</w:t>
      </w:r>
      <w:r w:rsidR="009655E8">
        <w:t> </w:t>
      </w:r>
      <w:r w:rsidRPr="002121A4">
        <w:t xml:space="preserve">20ff. </w:t>
      </w:r>
      <w:proofErr w:type="spellStart"/>
      <w:r w:rsidRPr="002121A4">
        <w:t>VermAnlG</w:t>
      </w:r>
      <w:proofErr w:type="spellEnd"/>
      <w:r w:rsidRPr="002121A4">
        <w:t>).</w:t>
      </w:r>
      <w:r w:rsidR="002E11AB">
        <w:t xml:space="preserve"> </w:t>
      </w:r>
      <w:r w:rsidR="00F161F7" w:rsidRPr="002121A4">
        <w:t>Second, l</w:t>
      </w:r>
      <w:r w:rsidR="0074427C" w:rsidRPr="002121A4">
        <w:t>eaving aside prospectus-</w:t>
      </w:r>
      <w:r w:rsidR="0074427C" w:rsidRPr="002121A4">
        <w:lastRenderedPageBreak/>
        <w:t xml:space="preserve">specific rules, liability can also exist </w:t>
      </w:r>
      <w:r w:rsidRPr="002121A4">
        <w:t>under general tort law principles</w:t>
      </w:r>
      <w:r w:rsidR="0074427C" w:rsidRPr="002121A4">
        <w:t xml:space="preserve">. Bases for liability under tort include </w:t>
      </w:r>
      <w:r w:rsidRPr="002121A4">
        <w:t>§ 823(2) BGB, e.g., in conjunction with §</w:t>
      </w:r>
      <w:r w:rsidR="0074427C" w:rsidRPr="002121A4">
        <w:t> </w:t>
      </w:r>
      <w:r w:rsidRPr="002121A4">
        <w:t xml:space="preserve">400 </w:t>
      </w:r>
      <w:proofErr w:type="spellStart"/>
      <w:r w:rsidRPr="002121A4">
        <w:t>AktG</w:t>
      </w:r>
      <w:proofErr w:type="spellEnd"/>
      <w:r w:rsidRPr="002121A4">
        <w:t>, §</w:t>
      </w:r>
      <w:r w:rsidR="0074427C" w:rsidRPr="002121A4">
        <w:t> </w:t>
      </w:r>
      <w:r w:rsidRPr="002121A4">
        <w:t xml:space="preserve">332 HGB, §§ 263, 264a </w:t>
      </w:r>
      <w:proofErr w:type="spellStart"/>
      <w:r w:rsidRPr="002121A4">
        <w:t>StGB</w:t>
      </w:r>
      <w:proofErr w:type="spellEnd"/>
      <w:r w:rsidR="0074427C" w:rsidRPr="002121A4">
        <w:t xml:space="preserve">, and </w:t>
      </w:r>
      <w:r w:rsidRPr="002121A4">
        <w:t>§ 826 BGB</w:t>
      </w:r>
      <w:r w:rsidR="0074427C" w:rsidRPr="002121A4">
        <w:t>.</w:t>
      </w:r>
    </w:p>
    <w:p w14:paraId="37C23603" w14:textId="01446271" w:rsidR="00957C37" w:rsidRPr="002121A4" w:rsidRDefault="00957C37" w:rsidP="00957C37">
      <w:pPr>
        <w:pStyle w:val="Standardwithparanumbering"/>
      </w:pPr>
      <w:bookmarkStart w:id="95" w:name="_Ref163144083"/>
      <w:r w:rsidRPr="002121A4">
        <w:t xml:space="preserve">It is worth noting that prior to specific legislation on prospectus liability, German </w:t>
      </w:r>
      <w:r w:rsidR="00613985">
        <w:t>domestic</w:t>
      </w:r>
      <w:r w:rsidRPr="002121A4">
        <w:t xml:space="preserve"> law had developed a </w:t>
      </w:r>
      <w:r w:rsidR="00613985">
        <w:t xml:space="preserve">case-law based </w:t>
      </w:r>
      <w:r w:rsidRPr="002121A4">
        <w:t>principle of civil liability attaching to “prospectuses” for investment opportunities, based on a concept of pre-contractual liability under § 311 BGB. It attached to initiators and sponsors of prospectuses (“</w:t>
      </w:r>
      <w:proofErr w:type="spellStart"/>
      <w:r w:rsidRPr="002121A4">
        <w:rPr>
          <w:i/>
        </w:rPr>
        <w:t>Prospekthaftung</w:t>
      </w:r>
      <w:proofErr w:type="spellEnd"/>
      <w:r w:rsidRPr="002121A4">
        <w:rPr>
          <w:i/>
        </w:rPr>
        <w:t xml:space="preserve"> </w:t>
      </w:r>
      <w:proofErr w:type="spellStart"/>
      <w:r w:rsidRPr="002121A4">
        <w:rPr>
          <w:i/>
        </w:rPr>
        <w:t>im</w:t>
      </w:r>
      <w:proofErr w:type="spellEnd"/>
      <w:r w:rsidRPr="002121A4">
        <w:rPr>
          <w:i/>
        </w:rPr>
        <w:t xml:space="preserve"> </w:t>
      </w:r>
      <w:proofErr w:type="spellStart"/>
      <w:r w:rsidRPr="002121A4">
        <w:rPr>
          <w:i/>
        </w:rPr>
        <w:t>engeren</w:t>
      </w:r>
      <w:proofErr w:type="spellEnd"/>
      <w:r w:rsidRPr="002121A4">
        <w:rPr>
          <w:i/>
        </w:rPr>
        <w:t xml:space="preserve"> Sinne</w:t>
      </w:r>
      <w:r w:rsidRPr="002121A4">
        <w:t>”), and to individuals in a position of particular trust vis-à-vis investors, who are liable for prospectuses used during negotiations (“</w:t>
      </w:r>
      <w:proofErr w:type="spellStart"/>
      <w:r w:rsidRPr="002121A4">
        <w:rPr>
          <w:i/>
        </w:rPr>
        <w:t>Prospekthaftung</w:t>
      </w:r>
      <w:proofErr w:type="spellEnd"/>
      <w:r w:rsidRPr="002121A4">
        <w:rPr>
          <w:i/>
        </w:rPr>
        <w:t xml:space="preserve"> </w:t>
      </w:r>
      <w:proofErr w:type="spellStart"/>
      <w:r w:rsidRPr="002121A4">
        <w:rPr>
          <w:i/>
        </w:rPr>
        <w:t>im</w:t>
      </w:r>
      <w:proofErr w:type="spellEnd"/>
      <w:r w:rsidRPr="002121A4">
        <w:rPr>
          <w:i/>
        </w:rPr>
        <w:t xml:space="preserve"> </w:t>
      </w:r>
      <w:proofErr w:type="spellStart"/>
      <w:r w:rsidRPr="002121A4">
        <w:rPr>
          <w:i/>
        </w:rPr>
        <w:t>weiteren</w:t>
      </w:r>
      <w:proofErr w:type="spellEnd"/>
      <w:r w:rsidRPr="002121A4">
        <w:rPr>
          <w:i/>
        </w:rPr>
        <w:t xml:space="preserve"> Sinne</w:t>
      </w:r>
      <w:r w:rsidRPr="002121A4">
        <w:t xml:space="preserve">”). However, it is now recognised that these general civil law principles do not apply where special legislation exists as is the case for §§ 9ff. </w:t>
      </w:r>
      <w:proofErr w:type="spellStart"/>
      <w:r w:rsidRPr="002121A4">
        <w:t>WpPG</w:t>
      </w:r>
      <w:proofErr w:type="spellEnd"/>
      <w:r w:rsidRPr="002121A4">
        <w:t>.</w:t>
      </w:r>
      <w:bookmarkStart w:id="96" w:name="_Ref126853734"/>
      <w:r w:rsidRPr="002121A4">
        <w:rPr>
          <w:rStyle w:val="Funotenzeichen"/>
        </w:rPr>
        <w:footnoteReference w:id="153"/>
      </w:r>
      <w:bookmarkEnd w:id="96"/>
      <w:r w:rsidRPr="002121A4">
        <w:t xml:space="preserve"> </w:t>
      </w:r>
      <w:r w:rsidR="0011651E" w:rsidRPr="0011651E">
        <w:t xml:space="preserve">For example, where a relevant transaction occurs outside the 6 months window under §§ 9, 10 </w:t>
      </w:r>
      <w:proofErr w:type="spellStart"/>
      <w:r w:rsidR="0011651E" w:rsidRPr="0011651E">
        <w:t>WpPG</w:t>
      </w:r>
      <w:proofErr w:type="spellEnd"/>
      <w:r w:rsidR="0011651E" w:rsidRPr="0011651E">
        <w:t>, prospectus liability cannot be based on general civil law principles.</w:t>
      </w:r>
      <w:r w:rsidR="0011651E">
        <w:rPr>
          <w:rStyle w:val="Funotenzeichen"/>
        </w:rPr>
        <w:footnoteReference w:id="154"/>
      </w:r>
      <w:r w:rsidR="0011651E">
        <w:t xml:space="preserve"> </w:t>
      </w:r>
      <w:r w:rsidRPr="002121A4">
        <w:t xml:space="preserve">As a result, such (pre-)contractual civil law liability is </w:t>
      </w:r>
      <w:r w:rsidR="000E5EA9">
        <w:t xml:space="preserve">at best of limited </w:t>
      </w:r>
      <w:r w:rsidRPr="002121A4">
        <w:t>of practical importance in the context of prospectuses.</w:t>
      </w:r>
      <w:r w:rsidRPr="002121A4">
        <w:rPr>
          <w:rStyle w:val="Funotenzeichen"/>
        </w:rPr>
        <w:footnoteReference w:id="155"/>
      </w:r>
      <w:r w:rsidRPr="002121A4">
        <w:t xml:space="preserve"> </w:t>
      </w:r>
      <w:r w:rsidR="00DC3724" w:rsidRPr="002121A4">
        <w:t xml:space="preserve">It can only attach to statements </w:t>
      </w:r>
      <w:r w:rsidR="009726FD">
        <w:t xml:space="preserve">that go beyond </w:t>
      </w:r>
      <w:r w:rsidR="00DC3724" w:rsidRPr="002121A4">
        <w:t xml:space="preserve">the prospectus, e.g., </w:t>
      </w:r>
      <w:r w:rsidR="00A8022F" w:rsidRPr="002121A4">
        <w:t xml:space="preserve">incorrect </w:t>
      </w:r>
      <w:r w:rsidR="00DC3724" w:rsidRPr="002121A4">
        <w:t>oral advice</w:t>
      </w:r>
      <w:r w:rsidR="00A8022F" w:rsidRPr="002121A4">
        <w:t xml:space="preserve"> or assurance</w:t>
      </w:r>
      <w:r w:rsidR="00D277E4">
        <w:t>,</w:t>
      </w:r>
      <w:r w:rsidR="00A8022F" w:rsidRPr="002121A4">
        <w:rPr>
          <w:rStyle w:val="Funotenzeichen"/>
        </w:rPr>
        <w:footnoteReference w:id="156"/>
      </w:r>
      <w:bookmarkEnd w:id="95"/>
      <w:r w:rsidR="007069A8">
        <w:t xml:space="preserve"> or where an individual is involved in or responsible for the distribution of the securities in question to investors.</w:t>
      </w:r>
      <w:r w:rsidR="007069A8">
        <w:rPr>
          <w:rStyle w:val="Funotenzeichen"/>
        </w:rPr>
        <w:footnoteReference w:id="157"/>
      </w:r>
      <w:r w:rsidR="007069A8">
        <w:t xml:space="preserve"> Liability in </w:t>
      </w:r>
      <w:r w:rsidR="007826C7">
        <w:t>such cases follows</w:t>
      </w:r>
      <w:r w:rsidR="00D277E4">
        <w:t xml:space="preserve"> the general principles of contractual liability for mis-selling (</w:t>
      </w:r>
      <w:r w:rsidR="0050289E" w:rsidRPr="0050289E">
        <w:t xml:space="preserve">→ </w:t>
      </w:r>
      <w:r w:rsidR="00D277E4">
        <w:fldChar w:fldCharType="begin"/>
      </w:r>
      <w:r w:rsidR="00D277E4">
        <w:instrText xml:space="preserve"> REF _Ref131674326 \r \h </w:instrText>
      </w:r>
      <w:r w:rsidR="00D277E4">
        <w:fldChar w:fldCharType="separate"/>
      </w:r>
      <w:r w:rsidR="00D56145">
        <w:t>Case Study 14</w:t>
      </w:r>
      <w:r w:rsidR="00D277E4">
        <w:fldChar w:fldCharType="end"/>
      </w:r>
      <w:r w:rsidR="00D277E4">
        <w:t>, p.</w:t>
      </w:r>
      <w:r w:rsidR="000539EC">
        <w:t> </w:t>
      </w:r>
      <w:r w:rsidR="00D277E4">
        <w:fldChar w:fldCharType="begin"/>
      </w:r>
      <w:r w:rsidR="00D277E4">
        <w:instrText xml:space="preserve"> PAGEREF _Ref131674326 \h </w:instrText>
      </w:r>
      <w:r w:rsidR="00D277E4">
        <w:fldChar w:fldCharType="separate"/>
      </w:r>
      <w:r w:rsidR="00D56145">
        <w:rPr>
          <w:noProof/>
        </w:rPr>
        <w:t>27</w:t>
      </w:r>
      <w:r w:rsidR="00D277E4">
        <w:fldChar w:fldCharType="end"/>
      </w:r>
      <w:r w:rsidR="00D277E4">
        <w:t xml:space="preserve"> above).</w:t>
      </w:r>
      <w:r w:rsidR="0011651E">
        <w:t xml:space="preserve"> </w:t>
      </w:r>
    </w:p>
    <w:p w14:paraId="55CE2296" w14:textId="744F34F6" w:rsidR="00CD2142" w:rsidRPr="002121A4" w:rsidRDefault="00CD2142" w:rsidP="000822DD">
      <w:pPr>
        <w:pStyle w:val="Standardwithparanumbering"/>
        <w:tabs>
          <w:tab w:val="left" w:pos="1257"/>
        </w:tabs>
      </w:pPr>
      <w:r w:rsidRPr="002121A4">
        <w:t>For an overview on prospectus-related liability, see the box after para. </w:t>
      </w:r>
      <w:r w:rsidRPr="002121A4">
        <w:fldChar w:fldCharType="begin"/>
      </w:r>
      <w:r w:rsidRPr="002121A4">
        <w:instrText xml:space="preserve"> REF _Ref127632487 \r \h </w:instrText>
      </w:r>
      <w:r w:rsidRPr="002121A4">
        <w:fldChar w:fldCharType="separate"/>
      </w:r>
      <w:r w:rsidR="00D56145">
        <w:t>99</w:t>
      </w:r>
      <w:r w:rsidRPr="002121A4">
        <w:fldChar w:fldCharType="end"/>
      </w:r>
      <w:r w:rsidRPr="002121A4">
        <w:t xml:space="preserve"> below.</w:t>
      </w:r>
    </w:p>
    <w:p w14:paraId="3C1BA989" w14:textId="68C99431" w:rsidR="00B94BBE" w:rsidRPr="002121A4" w:rsidRDefault="00B94BBE" w:rsidP="00AB42AA">
      <w:pPr>
        <w:pStyle w:val="Case"/>
        <w:numPr>
          <w:ilvl w:val="0"/>
          <w:numId w:val="14"/>
        </w:numPr>
        <w:ind w:left="567" w:firstLine="0"/>
        <w:rPr>
          <w:szCs w:val="23"/>
        </w:rPr>
      </w:pPr>
      <w:bookmarkStart w:id="97" w:name="_Ref163123118"/>
      <w:r w:rsidRPr="002121A4">
        <w:rPr>
          <w:szCs w:val="23"/>
        </w:rPr>
        <w:t xml:space="preserve">Issuer I issues notes on the basis of an offering prospectus. None of I’s securities is listed on a </w:t>
      </w:r>
      <w:r w:rsidR="00B143C0">
        <w:rPr>
          <w:szCs w:val="23"/>
        </w:rPr>
        <w:t>r</w:t>
      </w:r>
      <w:r w:rsidRPr="002121A4">
        <w:rPr>
          <w:szCs w:val="23"/>
        </w:rPr>
        <w:t xml:space="preserve">egulated </w:t>
      </w:r>
      <w:r w:rsidR="00B143C0">
        <w:rPr>
          <w:szCs w:val="23"/>
        </w:rPr>
        <w:t>m</w:t>
      </w:r>
      <w:r w:rsidRPr="002121A4">
        <w:rPr>
          <w:szCs w:val="23"/>
        </w:rPr>
        <w:t>arket. The prospectus contains audited annual reports together with the auditor’s report confirming that the issuer’s annual report is free from material misstatements and that the management report accurately reflect</w:t>
      </w:r>
      <w:r w:rsidR="00807655">
        <w:rPr>
          <w:szCs w:val="23"/>
        </w:rPr>
        <w:t>s</w:t>
      </w:r>
      <w:r w:rsidRPr="002121A4">
        <w:rPr>
          <w:szCs w:val="23"/>
        </w:rPr>
        <w:t xml:space="preserve"> the issuer’s situation and the risks associated with its activities. Can investors </w:t>
      </w:r>
      <w:r w:rsidRPr="005152F4">
        <w:t>claim</w:t>
      </w:r>
      <w:r w:rsidRPr="002121A4">
        <w:rPr>
          <w:szCs w:val="23"/>
        </w:rPr>
        <w:t xml:space="preserve"> damages from the auditor on the basis that the auditor’s statement is incorrect and that the auditor failed to conduct the most basic inquiries into the issuer’s activities? (BGH, 12 March 2020 – VII ZR 236/19,</w:t>
      </w:r>
      <w:r w:rsidRPr="002121A4">
        <w:t xml:space="preserve"> </w:t>
      </w:r>
      <w:r w:rsidRPr="002121A4">
        <w:rPr>
          <w:szCs w:val="23"/>
        </w:rPr>
        <w:t xml:space="preserve">NZG 2020, 1030 – </w:t>
      </w:r>
      <w:proofErr w:type="spellStart"/>
      <w:r w:rsidRPr="002121A4">
        <w:rPr>
          <w:i/>
          <w:szCs w:val="23"/>
        </w:rPr>
        <w:t>Infinus</w:t>
      </w:r>
      <w:proofErr w:type="spellEnd"/>
      <w:r w:rsidRPr="002121A4">
        <w:rPr>
          <w:szCs w:val="23"/>
        </w:rPr>
        <w:t>)</w:t>
      </w:r>
      <w:bookmarkEnd w:id="97"/>
    </w:p>
    <w:p w14:paraId="166BFCD9" w14:textId="3D226362" w:rsidR="00CD4F5B" w:rsidRPr="002121A4" w:rsidRDefault="00D644BC" w:rsidP="00CD2142">
      <w:pPr>
        <w:pStyle w:val="Case"/>
      </w:pPr>
      <w:r w:rsidRPr="002121A4">
        <w:rPr>
          <w:b/>
        </w:rPr>
        <w:t>Notes.</w:t>
      </w:r>
      <w:r w:rsidR="006A1B10" w:rsidRPr="002121A4">
        <w:t xml:space="preserve"> </w:t>
      </w:r>
      <w:r w:rsidR="004344A7" w:rsidRPr="002121A4">
        <w:br/>
      </w:r>
      <w:r w:rsidR="004344A7" w:rsidRPr="002121A4">
        <w:br/>
      </w:r>
      <w:r w:rsidR="004344A7" w:rsidRPr="002121A4">
        <w:br/>
      </w:r>
      <w:r w:rsidR="004344A7" w:rsidRPr="002121A4">
        <w:br/>
      </w:r>
      <w:r w:rsidR="004344A7" w:rsidRPr="002121A4">
        <w:br/>
      </w:r>
    </w:p>
    <w:p w14:paraId="68302543" w14:textId="4EE5C077" w:rsidR="000368C7" w:rsidRPr="002121A4" w:rsidRDefault="000368C7" w:rsidP="000368C7">
      <w:pPr>
        <w:pStyle w:val="berschrift3"/>
        <w:rPr>
          <w:lang w:val="en-GB"/>
        </w:rPr>
      </w:pPr>
      <w:bookmarkStart w:id="98" w:name="_Ref129713099"/>
      <w:r w:rsidRPr="002121A4">
        <w:rPr>
          <w:lang w:val="en-GB"/>
        </w:rPr>
        <w:lastRenderedPageBreak/>
        <w:t>Prospectus requirements outside the Prospectus Regulation</w:t>
      </w:r>
      <w:bookmarkEnd w:id="98"/>
    </w:p>
    <w:p w14:paraId="1A125A80" w14:textId="39E71D6A" w:rsidR="000368C7" w:rsidRPr="002121A4" w:rsidRDefault="000368C7" w:rsidP="0065118C">
      <w:pPr>
        <w:pStyle w:val="Standardwithparanumbering"/>
      </w:pPr>
      <w:bookmarkStart w:id="99" w:name="_Ref127632487"/>
      <w:r w:rsidRPr="002121A4">
        <w:t>Specific prospectus requirements also exist for certain transactions or instruments that are not covered by the Prospectus Regulation. This is the case, under EU law, for disclosure relating to the sale of fund units of UCITS funds</w:t>
      </w:r>
      <w:bookmarkEnd w:id="99"/>
      <w:r w:rsidR="00F161F7" w:rsidRPr="002121A4">
        <w:t xml:space="preserve">: </w:t>
      </w:r>
      <w:r w:rsidR="001870C0" w:rsidRPr="002121A4">
        <w:t>article </w:t>
      </w:r>
      <w:r w:rsidR="00F161F7" w:rsidRPr="002121A4">
        <w:t xml:space="preserve">68(1)(a) UCITS Directive requires the publication of a prospectus that must be kept up to date pursuant to </w:t>
      </w:r>
      <w:r w:rsidR="001870C0" w:rsidRPr="002121A4">
        <w:t>article </w:t>
      </w:r>
      <w:r w:rsidR="00F161F7" w:rsidRPr="002121A4">
        <w:t>72 UCITS Directive.</w:t>
      </w:r>
      <w:r w:rsidR="00A90D99" w:rsidRPr="002121A4">
        <w:t xml:space="preserve"> </w:t>
      </w:r>
      <w:r w:rsidR="00F161F7" w:rsidRPr="002121A4">
        <w:t xml:space="preserve">Under domestic German law, </w:t>
      </w:r>
      <w:r w:rsidR="00C71FA3" w:rsidRPr="002121A4">
        <w:t xml:space="preserve">a </w:t>
      </w:r>
      <w:r w:rsidR="00A90D99" w:rsidRPr="002121A4">
        <w:t>prospectus</w:t>
      </w:r>
      <w:r w:rsidR="00F161F7" w:rsidRPr="002121A4">
        <w:t xml:space="preserve"> </w:t>
      </w:r>
      <w:r w:rsidR="00C71FA3" w:rsidRPr="002121A4">
        <w:t xml:space="preserve">is needed </w:t>
      </w:r>
      <w:r w:rsidR="00A90D99" w:rsidRPr="002121A4">
        <w:t>for investment instruments (“</w:t>
      </w:r>
      <w:proofErr w:type="spellStart"/>
      <w:r w:rsidR="00A90D99" w:rsidRPr="002121A4">
        <w:rPr>
          <w:i/>
        </w:rPr>
        <w:t>Vermögensanlagen</w:t>
      </w:r>
      <w:proofErr w:type="spellEnd"/>
      <w:r w:rsidR="00A90D99" w:rsidRPr="002121A4">
        <w:t xml:space="preserve">”) within the meaning of § 2 </w:t>
      </w:r>
      <w:proofErr w:type="spellStart"/>
      <w:r w:rsidR="00A90D99" w:rsidRPr="002121A4">
        <w:t>VermAnlG</w:t>
      </w:r>
      <w:proofErr w:type="spellEnd"/>
      <w:r w:rsidR="00A90D99" w:rsidRPr="002121A4">
        <w:t>. In both cases, civil liability claims attach to incorrect or incomplete disclosure in these prospectuses (§ 306 KAGB</w:t>
      </w:r>
      <w:r w:rsidR="00C71FA3" w:rsidRPr="002121A4">
        <w:t xml:space="preserve">, §§ 20ff. </w:t>
      </w:r>
      <w:proofErr w:type="spellStart"/>
      <w:r w:rsidR="00C71FA3" w:rsidRPr="002121A4">
        <w:t>VermAnlG</w:t>
      </w:r>
      <w:proofErr w:type="spellEnd"/>
      <w:r w:rsidR="00A90D99" w:rsidRPr="002121A4">
        <w:t>)</w:t>
      </w:r>
      <w:r w:rsidR="000F3FF2" w:rsidRPr="002121A4">
        <w:t>.</w:t>
      </w:r>
    </w:p>
    <w:p w14:paraId="0E08DCC0" w14:textId="7354B3E0" w:rsidR="00524245" w:rsidRPr="002121A4" w:rsidRDefault="00524245" w:rsidP="00AB42AA">
      <w:pPr>
        <w:pStyle w:val="Case"/>
        <w:numPr>
          <w:ilvl w:val="0"/>
          <w:numId w:val="14"/>
        </w:numPr>
        <w:ind w:left="567" w:firstLine="0"/>
      </w:pPr>
      <w:bookmarkStart w:id="100" w:name="_Ref163123170"/>
      <w:r w:rsidRPr="002121A4">
        <w:t xml:space="preserve">IFM is a licensed UCITS management company. On 28 August 2019, two new members </w:t>
      </w:r>
      <w:r w:rsidRPr="002121A4">
        <w:rPr>
          <w:szCs w:val="23"/>
        </w:rPr>
        <w:t>are</w:t>
      </w:r>
      <w:r w:rsidRPr="002121A4">
        <w:t xml:space="preserve"> appointed to IFM’s supervisory board. Does this change require an update of the </w:t>
      </w:r>
      <w:r w:rsidRPr="005152F4">
        <w:rPr>
          <w:szCs w:val="23"/>
        </w:rPr>
        <w:t>fund</w:t>
      </w:r>
      <w:r w:rsidRPr="002121A4">
        <w:t xml:space="preserve"> prospectuses for the funds managed by IFM? (Case C-473/20, </w:t>
      </w:r>
      <w:r w:rsidRPr="002121A4">
        <w:rPr>
          <w:i/>
        </w:rPr>
        <w:t xml:space="preserve">Invest Fund Management AD v. </w:t>
      </w:r>
      <w:proofErr w:type="spellStart"/>
      <w:r w:rsidRPr="002121A4">
        <w:rPr>
          <w:i/>
        </w:rPr>
        <w:t>Komisia</w:t>
      </w:r>
      <w:proofErr w:type="spellEnd"/>
      <w:r w:rsidRPr="002121A4">
        <w:rPr>
          <w:i/>
        </w:rPr>
        <w:t xml:space="preserve"> za </w:t>
      </w:r>
      <w:proofErr w:type="spellStart"/>
      <w:r w:rsidRPr="002121A4">
        <w:rPr>
          <w:i/>
        </w:rPr>
        <w:t>finansov</w:t>
      </w:r>
      <w:proofErr w:type="spellEnd"/>
      <w:r w:rsidRPr="002121A4">
        <w:rPr>
          <w:i/>
        </w:rPr>
        <w:t xml:space="preserve"> </w:t>
      </w:r>
      <w:proofErr w:type="spellStart"/>
      <w:r w:rsidRPr="002121A4">
        <w:rPr>
          <w:i/>
        </w:rPr>
        <w:t>nadzor</w:t>
      </w:r>
      <w:proofErr w:type="spellEnd"/>
      <w:r w:rsidRPr="002121A4">
        <w:t>)</w:t>
      </w:r>
      <w:bookmarkEnd w:id="100"/>
    </w:p>
    <w:p w14:paraId="756F3CCA" w14:textId="6DC61E22" w:rsidR="001969BC" w:rsidRPr="002121A4" w:rsidRDefault="000368C7" w:rsidP="005152F4">
      <w:pPr>
        <w:pStyle w:val="Case"/>
        <w:rPr>
          <w:b/>
        </w:rPr>
      </w:pPr>
      <w:r w:rsidRPr="002121A4">
        <w:rPr>
          <w:b/>
        </w:rPr>
        <w:t>Notes.</w:t>
      </w:r>
      <w:r w:rsidR="000858E2" w:rsidRPr="002121A4">
        <w:br/>
      </w:r>
      <w:r w:rsidR="000858E2" w:rsidRPr="002121A4">
        <w:br/>
      </w:r>
      <w:r w:rsidR="000858E2" w:rsidRPr="002121A4">
        <w:br/>
      </w:r>
      <w:r w:rsidR="000858E2" w:rsidRPr="002121A4">
        <w:br/>
      </w:r>
      <w:r w:rsidR="000858E2" w:rsidRPr="002121A4">
        <w:br/>
      </w:r>
    </w:p>
    <w:p w14:paraId="725916C8" w14:textId="77777777" w:rsidR="0091678E" w:rsidRDefault="0091678E">
      <w:pPr>
        <w:spacing w:before="0" w:after="160" w:line="259" w:lineRule="auto"/>
        <w:jc w:val="left"/>
        <w:rPr>
          <w:sz w:val="20"/>
          <w:szCs w:val="23"/>
          <w:lang w:val="en-GB"/>
        </w:rPr>
      </w:pPr>
      <w:bookmarkStart w:id="101" w:name="_Ref163123172"/>
      <w:r>
        <w:rPr>
          <w:szCs w:val="23"/>
        </w:rPr>
        <w:br w:type="page"/>
      </w:r>
    </w:p>
    <w:p w14:paraId="428F2DF2" w14:textId="718E1218" w:rsidR="001969BC" w:rsidRPr="002121A4" w:rsidRDefault="001969BC" w:rsidP="00AB42AA">
      <w:pPr>
        <w:pStyle w:val="Case"/>
        <w:numPr>
          <w:ilvl w:val="0"/>
          <w:numId w:val="14"/>
        </w:numPr>
        <w:ind w:left="567" w:firstLine="0"/>
        <w:rPr>
          <w:szCs w:val="23"/>
        </w:rPr>
      </w:pPr>
      <w:r w:rsidRPr="002121A4">
        <w:rPr>
          <w:szCs w:val="23"/>
        </w:rPr>
        <w:lastRenderedPageBreak/>
        <w:t xml:space="preserve">A </w:t>
      </w:r>
      <w:r w:rsidR="00430C6C" w:rsidRPr="002121A4">
        <w:rPr>
          <w:szCs w:val="23"/>
        </w:rPr>
        <w:t xml:space="preserve">real estate fund </w:t>
      </w:r>
      <w:r w:rsidRPr="002121A4">
        <w:rPr>
          <w:szCs w:val="23"/>
        </w:rPr>
        <w:t xml:space="preserve">prospectus contains the following language: “The offering targets all investors, even those who are unfamiliar with investments in immovable property and who want to use the investment as a convenient savings product.” </w:t>
      </w:r>
      <w:r w:rsidR="0084033A" w:rsidRPr="002121A4">
        <w:rPr>
          <w:szCs w:val="23"/>
        </w:rPr>
        <w:t>The prospectus also describes the process for redemption of fund units, including the power for the fund</w:t>
      </w:r>
      <w:r w:rsidR="00941F1F" w:rsidRPr="002121A4">
        <w:rPr>
          <w:szCs w:val="23"/>
        </w:rPr>
        <w:t xml:space="preserve"> </w:t>
      </w:r>
      <w:r w:rsidR="00941F1F" w:rsidRPr="005152F4">
        <w:t>management</w:t>
      </w:r>
      <w:r w:rsidR="0084033A" w:rsidRPr="002121A4">
        <w:rPr>
          <w:szCs w:val="23"/>
        </w:rPr>
        <w:t xml:space="preserve"> to suspend redemption when there is insufficient liquidity. </w:t>
      </w:r>
      <w:r w:rsidRPr="002121A4">
        <w:rPr>
          <w:szCs w:val="23"/>
        </w:rPr>
        <w:t>Certain investors suffer significant losses</w:t>
      </w:r>
      <w:r w:rsidR="00430C6C" w:rsidRPr="002121A4">
        <w:rPr>
          <w:szCs w:val="23"/>
        </w:rPr>
        <w:t xml:space="preserve"> when the fund suspends redemption of fund units because of liquidity </w:t>
      </w:r>
      <w:r w:rsidR="0084033A" w:rsidRPr="002121A4">
        <w:rPr>
          <w:szCs w:val="23"/>
        </w:rPr>
        <w:t>constraints</w:t>
      </w:r>
      <w:r w:rsidRPr="002121A4">
        <w:rPr>
          <w:szCs w:val="23"/>
        </w:rPr>
        <w:t xml:space="preserve">. Can investors raise liability claims on the basis that the prospectus is </w:t>
      </w:r>
      <w:r w:rsidR="00FD7D0C" w:rsidRPr="002121A4">
        <w:rPr>
          <w:szCs w:val="23"/>
        </w:rPr>
        <w:t>misleading</w:t>
      </w:r>
      <w:r w:rsidRPr="002121A4">
        <w:rPr>
          <w:szCs w:val="23"/>
        </w:rPr>
        <w:t xml:space="preserve"> as regards risks? (BGH, 23 October 2018 – XI ZB 3/16, BGHZ 220, 100 = NJW-RR 2019, 301 – </w:t>
      </w:r>
      <w:r w:rsidRPr="002121A4">
        <w:rPr>
          <w:i/>
          <w:szCs w:val="23"/>
        </w:rPr>
        <w:t>Morgan Stanley P2 Value</w:t>
      </w:r>
      <w:r w:rsidRPr="002121A4">
        <w:rPr>
          <w:szCs w:val="23"/>
        </w:rPr>
        <w:t>)</w:t>
      </w:r>
      <w:bookmarkEnd w:id="101"/>
    </w:p>
    <w:p w14:paraId="524CD264" w14:textId="701D0CBF" w:rsidR="000368C7" w:rsidRPr="002121A4" w:rsidRDefault="001969BC" w:rsidP="000368C7">
      <w:pPr>
        <w:pStyle w:val="Case"/>
      </w:pPr>
      <w:r w:rsidRPr="002121A4">
        <w:rPr>
          <w:b/>
        </w:rPr>
        <w:t>Notes.</w:t>
      </w:r>
      <w:r w:rsidR="006A1B10" w:rsidRPr="002121A4">
        <w:rPr>
          <w:b/>
        </w:rPr>
        <w:t xml:space="preserve"> </w:t>
      </w:r>
      <w:r w:rsidR="000858E2" w:rsidRPr="002121A4">
        <w:rPr>
          <w:b/>
        </w:rPr>
        <w:br/>
      </w:r>
      <w:r w:rsidR="000858E2" w:rsidRPr="002121A4">
        <w:rPr>
          <w:b/>
        </w:rPr>
        <w:br/>
      </w:r>
      <w:r w:rsidR="000858E2" w:rsidRPr="002121A4">
        <w:rPr>
          <w:b/>
        </w:rPr>
        <w:br/>
      </w:r>
      <w:r w:rsidR="000858E2" w:rsidRPr="002121A4">
        <w:rPr>
          <w:b/>
        </w:rPr>
        <w:br/>
      </w:r>
      <w:r w:rsidR="000858E2" w:rsidRPr="002121A4">
        <w:rPr>
          <w:b/>
        </w:rPr>
        <w:br/>
      </w:r>
    </w:p>
    <w:p w14:paraId="4BD9FABD" w14:textId="2A056E75" w:rsidR="002A1E3A" w:rsidRPr="002121A4" w:rsidRDefault="002A1E3A" w:rsidP="00524AB0">
      <w:pPr>
        <w:pStyle w:val="berschrift2"/>
        <w:rPr>
          <w:lang w:val="en-GB"/>
        </w:rPr>
      </w:pPr>
      <w:bookmarkStart w:id="102" w:name="_Toc194577772"/>
      <w:r w:rsidRPr="002121A4">
        <w:rPr>
          <w:lang w:val="en-GB"/>
        </w:rPr>
        <w:t>Reading assignment</w:t>
      </w:r>
      <w:bookmarkEnd w:id="102"/>
      <w:r w:rsidRPr="002121A4">
        <w:rPr>
          <w:lang w:val="en-GB"/>
        </w:rPr>
        <w:t xml:space="preserve"> </w:t>
      </w:r>
    </w:p>
    <w:p w14:paraId="1117DE13" w14:textId="63119409" w:rsidR="002A1E3A" w:rsidRPr="002121A4" w:rsidRDefault="002A1E3A" w:rsidP="00770B04">
      <w:pPr>
        <w:rPr>
          <w:lang w:val="en-GB"/>
        </w:rPr>
      </w:pPr>
      <w:r w:rsidRPr="002121A4">
        <w:rPr>
          <w:szCs w:val="23"/>
          <w:lang w:val="en-GB"/>
        </w:rPr>
        <w:t xml:space="preserve">Buck-Heeb, </w:t>
      </w:r>
      <w:proofErr w:type="spellStart"/>
      <w:r w:rsidRPr="002121A4">
        <w:rPr>
          <w:i/>
          <w:szCs w:val="23"/>
          <w:lang w:val="en-GB"/>
        </w:rPr>
        <w:t>Kapitalmarktrecht</w:t>
      </w:r>
      <w:proofErr w:type="spellEnd"/>
      <w:r w:rsidRPr="002121A4">
        <w:rPr>
          <w:szCs w:val="23"/>
          <w:lang w:val="en-GB"/>
        </w:rPr>
        <w:t xml:space="preserve">, §§ 4–5, 11–13; Veil, </w:t>
      </w:r>
      <w:r w:rsidRPr="002121A4">
        <w:rPr>
          <w:i/>
          <w:szCs w:val="23"/>
          <w:lang w:val="en-GB"/>
        </w:rPr>
        <w:t>European Capital Markets Law</w:t>
      </w:r>
      <w:r w:rsidRPr="002121A4">
        <w:rPr>
          <w:szCs w:val="23"/>
          <w:lang w:val="en-GB"/>
        </w:rPr>
        <w:t xml:space="preserve">, §§ 17, 29–34. Further material: Fischer-Appelt, “Reforming EU securities laws: the new EU Prospectus Regulation” (2017) 18(4) </w:t>
      </w:r>
      <w:r w:rsidRPr="002121A4">
        <w:rPr>
          <w:i/>
          <w:szCs w:val="23"/>
          <w:lang w:val="en-GB"/>
        </w:rPr>
        <w:t xml:space="preserve">J. Inv. </w:t>
      </w:r>
      <w:proofErr w:type="spellStart"/>
      <w:r w:rsidRPr="002121A4">
        <w:rPr>
          <w:i/>
          <w:szCs w:val="23"/>
          <w:lang w:val="en-GB"/>
        </w:rPr>
        <w:t>Compl</w:t>
      </w:r>
      <w:proofErr w:type="spellEnd"/>
      <w:r w:rsidRPr="002121A4">
        <w:rPr>
          <w:szCs w:val="23"/>
          <w:lang w:val="en-GB"/>
        </w:rPr>
        <w:t>. 53–58.</w:t>
      </w:r>
    </w:p>
    <w:p w14:paraId="04B49412" w14:textId="77777777" w:rsidR="00524AB0" w:rsidRDefault="00524AB0">
      <w:pPr>
        <w:spacing w:before="0" w:after="160" w:line="259" w:lineRule="auto"/>
        <w:jc w:val="left"/>
        <w:rPr>
          <w:sz w:val="19"/>
          <w:szCs w:val="19"/>
          <w:lang w:val="en-GB"/>
        </w:rPr>
      </w:pPr>
      <w:bookmarkStart w:id="103" w:name="_Hlk126836672"/>
      <w:r>
        <w:rPr>
          <w:sz w:val="19"/>
          <w:szCs w:val="19"/>
          <w:lang w:val="en-GB"/>
        </w:rPr>
        <w:br w:type="page"/>
      </w:r>
    </w:p>
    <w:p w14:paraId="003759CE" w14:textId="1EA13508" w:rsidR="0014483E" w:rsidRPr="002121A4" w:rsidRDefault="00770B04" w:rsidP="00AE63B1">
      <w:pPr>
        <w:rPr>
          <w:sz w:val="19"/>
          <w:szCs w:val="19"/>
          <w:lang w:val="en-GB"/>
        </w:rPr>
      </w:pPr>
      <w:r w:rsidRPr="002121A4">
        <w:rPr>
          <w:noProof/>
          <w:lang w:val="en-GB"/>
        </w:rPr>
        <w:lastRenderedPageBreak/>
        <mc:AlternateContent>
          <mc:Choice Requires="wps">
            <w:drawing>
              <wp:anchor distT="0" distB="0" distL="114300" distR="114300" simplePos="0" relativeHeight="251671040" behindDoc="0" locked="0" layoutInCell="1" allowOverlap="1" wp14:anchorId="5459715C" wp14:editId="6C0D1243">
                <wp:simplePos x="0" y="0"/>
                <wp:positionH relativeFrom="column">
                  <wp:posOffset>-172192</wp:posOffset>
                </wp:positionH>
                <wp:positionV relativeFrom="paragraph">
                  <wp:posOffset>2094</wp:posOffset>
                </wp:positionV>
                <wp:extent cx="6103620" cy="8663049"/>
                <wp:effectExtent l="0" t="0" r="11430" b="241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8663049"/>
                        </a:xfrm>
                        <a:prstGeom prst="rect">
                          <a:avLst/>
                        </a:prstGeom>
                        <a:solidFill>
                          <a:srgbClr val="FFFFFF"/>
                        </a:solidFill>
                        <a:ln w="9525">
                          <a:solidFill>
                            <a:schemeClr val="bg1">
                              <a:lumMod val="65000"/>
                            </a:schemeClr>
                          </a:solidFill>
                          <a:miter lim="800000"/>
                          <a:headEnd/>
                          <a:tailEnd/>
                        </a:ln>
                      </wps:spPr>
                      <wps:txbx>
                        <w:txbxContent>
                          <w:p w14:paraId="4CB1B957" w14:textId="1615588F" w:rsidR="00524AB0" w:rsidRPr="00524AB0" w:rsidRDefault="00524AB0" w:rsidP="00524AB0">
                            <w:pPr>
                              <w:jc w:val="center"/>
                              <w:rPr>
                                <w:b/>
                                <w:sz w:val="19"/>
                                <w:szCs w:val="19"/>
                                <w:u w:val="single"/>
                                <w:lang w:val="en-GB"/>
                              </w:rPr>
                            </w:pPr>
                            <w:r w:rsidRPr="00524AB0">
                              <w:rPr>
                                <w:b/>
                                <w:sz w:val="19"/>
                                <w:szCs w:val="19"/>
                                <w:u w:val="single"/>
                                <w:lang w:val="en-GB"/>
                              </w:rPr>
                              <w:t>Prospectus Liability</w:t>
                            </w:r>
                          </w:p>
                          <w:p w14:paraId="01749E20" w14:textId="38DB35F5" w:rsidR="00CD4F5B" w:rsidRPr="00C321F2" w:rsidRDefault="00CD4F5B" w:rsidP="00CD4F5B">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w:t>
                            </w:r>
                            <w:r w:rsidRPr="00C321F2">
                              <w:rPr>
                                <w:sz w:val="19"/>
                                <w:szCs w:val="19"/>
                                <w:lang w:val="en-GB"/>
                              </w:rPr>
                              <w:t xml:space="preserve">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4A409B13" w14:textId="026B3925" w:rsidR="0007670A" w:rsidRPr="00C321F2" w:rsidRDefault="0007670A" w:rsidP="00AB42AA">
                            <w:pPr>
                              <w:pStyle w:val="Listenabsatz"/>
                              <w:numPr>
                                <w:ilvl w:val="0"/>
                                <w:numId w:val="4"/>
                              </w:numPr>
                              <w:contextualSpacing w:val="0"/>
                              <w:rPr>
                                <w:b/>
                                <w:sz w:val="19"/>
                                <w:szCs w:val="19"/>
                                <w:lang w:val="en-GB"/>
                              </w:rPr>
                            </w:pPr>
                            <w:r>
                              <w:rPr>
                                <w:b/>
                                <w:sz w:val="19"/>
                                <w:szCs w:val="19"/>
                                <w:lang w:val="en-GB"/>
                              </w:rPr>
                              <w:t>(</w:t>
                            </w:r>
                            <w:r w:rsidRPr="00C321F2">
                              <w:rPr>
                                <w:b/>
                                <w:sz w:val="19"/>
                                <w:szCs w:val="19"/>
                                <w:lang w:val="en-GB"/>
                              </w:rPr>
                              <w:t>Pre-</w:t>
                            </w:r>
                            <w:r>
                              <w:rPr>
                                <w:b/>
                                <w:sz w:val="19"/>
                                <w:szCs w:val="19"/>
                                <w:lang w:val="en-GB"/>
                              </w:rPr>
                              <w:t>)</w:t>
                            </w:r>
                            <w:r w:rsidRPr="00C321F2">
                              <w:rPr>
                                <w:b/>
                                <w:sz w:val="19"/>
                                <w:szCs w:val="19"/>
                                <w:lang w:val="en-GB"/>
                              </w:rPr>
                              <w:t>contractual liability under §§ 280, 311 BGB</w:t>
                            </w:r>
                          </w:p>
                          <w:p w14:paraId="2B8A1380" w14:textId="326096F6" w:rsidR="0007670A" w:rsidRPr="00C321F2" w:rsidRDefault="0007670A" w:rsidP="0007670A">
                            <w:pPr>
                              <w:rPr>
                                <w:sz w:val="19"/>
                                <w:szCs w:val="19"/>
                                <w:lang w:val="en-GB"/>
                              </w:rPr>
                            </w:pPr>
                            <w:r w:rsidRPr="00C321F2">
                              <w:rPr>
                                <w:sz w:val="19"/>
                                <w:szCs w:val="19"/>
                                <w:u w:val="single"/>
                                <w:lang w:val="en-GB"/>
                              </w:rPr>
                              <w:t>Note</w:t>
                            </w:r>
                            <w:r w:rsidRPr="00C321F2">
                              <w:rPr>
                                <w:sz w:val="19"/>
                                <w:szCs w:val="19"/>
                                <w:lang w:val="en-GB"/>
                              </w:rPr>
                              <w:t xml:space="preserve">: </w:t>
                            </w:r>
                            <w:r>
                              <w:rPr>
                                <w:sz w:val="19"/>
                                <w:szCs w:val="19"/>
                                <w:lang w:val="en-GB"/>
                              </w:rPr>
                              <w:t>W</w:t>
                            </w:r>
                            <w:r w:rsidRPr="00C321F2">
                              <w:rPr>
                                <w:sz w:val="19"/>
                                <w:szCs w:val="19"/>
                                <w:lang w:val="en-GB"/>
                              </w:rPr>
                              <w:t xml:space="preserve">here special legislation exists </w:t>
                            </w:r>
                            <w:r>
                              <w:rPr>
                                <w:sz w:val="19"/>
                                <w:szCs w:val="19"/>
                                <w:lang w:val="en-GB"/>
                              </w:rPr>
                              <w:t>as regards prospectus liability,</w:t>
                            </w:r>
                            <w:r w:rsidR="004245A1">
                              <w:rPr>
                                <w:sz w:val="19"/>
                                <w:szCs w:val="19"/>
                                <w:lang w:val="en-GB"/>
                              </w:rPr>
                              <w:t xml:space="preserve"> this is regarded precluding </w:t>
                            </w:r>
                            <w:r>
                              <w:rPr>
                                <w:sz w:val="19"/>
                                <w:szCs w:val="19"/>
                                <w:lang w:val="en-GB"/>
                              </w:rPr>
                              <w:t xml:space="preserve">(pre-)contractual liability </w:t>
                            </w:r>
                            <w:r w:rsidR="004245A1">
                              <w:rPr>
                                <w:sz w:val="19"/>
                                <w:szCs w:val="19"/>
                                <w:lang w:val="en-GB"/>
                              </w:rPr>
                              <w:t xml:space="preserve">for statements in prospectuses. Accordingly, (pre-)contractual liability </w:t>
                            </w:r>
                            <w:r>
                              <w:rPr>
                                <w:sz w:val="19"/>
                                <w:szCs w:val="19"/>
                                <w:lang w:val="en-GB"/>
                              </w:rPr>
                              <w:t>can only attach to statements made outside the prospectus</w:t>
                            </w:r>
                            <w:r w:rsidR="004450B0">
                              <w:rPr>
                                <w:sz w:val="19"/>
                                <w:szCs w:val="19"/>
                                <w:lang w:val="en-GB"/>
                              </w:rPr>
                              <w:t xml:space="preserve">, </w:t>
                            </w:r>
                            <w:r>
                              <w:rPr>
                                <w:sz w:val="19"/>
                                <w:szCs w:val="19"/>
                                <w:lang w:val="en-GB"/>
                              </w:rPr>
                              <w:t xml:space="preserve">e.g., </w:t>
                            </w:r>
                            <w:r w:rsidR="004807FF">
                              <w:rPr>
                                <w:sz w:val="19"/>
                                <w:szCs w:val="19"/>
                                <w:lang w:val="en-GB"/>
                              </w:rPr>
                              <w:t xml:space="preserve">oral </w:t>
                            </w:r>
                            <w:r>
                              <w:rPr>
                                <w:sz w:val="19"/>
                                <w:szCs w:val="19"/>
                                <w:lang w:val="en-GB"/>
                              </w:rPr>
                              <w:t>statements</w:t>
                            </w:r>
                            <w:r w:rsidR="004807FF">
                              <w:rPr>
                                <w:sz w:val="19"/>
                                <w:szCs w:val="19"/>
                                <w:lang w:val="en-GB"/>
                              </w:rPr>
                              <w:t xml:space="preserve"> in the distribution process </w:t>
                            </w:r>
                            <w:r w:rsidR="001F6D6B">
                              <w:rPr>
                                <w:sz w:val="19"/>
                                <w:szCs w:val="19"/>
                                <w:lang w:val="en-GB"/>
                              </w:rPr>
                              <w:t xml:space="preserve">(beyond the prospectus content) </w:t>
                            </w:r>
                            <w:r w:rsidR="004807FF">
                              <w:rPr>
                                <w:sz w:val="19"/>
                                <w:szCs w:val="19"/>
                                <w:lang w:val="en-GB"/>
                              </w:rPr>
                              <w:t>that are incorrect or misleading</w:t>
                            </w:r>
                            <w:r w:rsidR="004450B0">
                              <w:rPr>
                                <w:sz w:val="19"/>
                                <w:szCs w:val="19"/>
                                <w:lang w:val="en-GB"/>
                              </w:rPr>
                              <w:t xml:space="preserve"> (</w:t>
                            </w:r>
                            <w:r>
                              <w:rPr>
                                <w:sz w:val="19"/>
                                <w:szCs w:val="19"/>
                                <w:lang w:val="en-GB"/>
                              </w:rPr>
                              <w:t>para. </w:t>
                            </w:r>
                            <w:r>
                              <w:rPr>
                                <w:sz w:val="19"/>
                                <w:szCs w:val="19"/>
                                <w:lang w:val="en-GB"/>
                              </w:rPr>
                              <w:fldChar w:fldCharType="begin"/>
                            </w:r>
                            <w:r>
                              <w:rPr>
                                <w:sz w:val="19"/>
                                <w:szCs w:val="19"/>
                                <w:lang w:val="en-GB"/>
                              </w:rPr>
                              <w:instrText xml:space="preserve"> REF _Ref163144083 \r \h </w:instrText>
                            </w:r>
                            <w:r>
                              <w:rPr>
                                <w:sz w:val="19"/>
                                <w:szCs w:val="19"/>
                                <w:lang w:val="en-GB"/>
                              </w:rPr>
                            </w:r>
                            <w:r>
                              <w:rPr>
                                <w:sz w:val="19"/>
                                <w:szCs w:val="19"/>
                                <w:lang w:val="en-GB"/>
                              </w:rPr>
                              <w:fldChar w:fldCharType="separate"/>
                            </w:r>
                            <w:r w:rsidR="00D56145">
                              <w:rPr>
                                <w:sz w:val="19"/>
                                <w:szCs w:val="19"/>
                                <w:lang w:val="en-GB"/>
                              </w:rPr>
                              <w:t>97</w:t>
                            </w:r>
                            <w:r>
                              <w:rPr>
                                <w:sz w:val="19"/>
                                <w:szCs w:val="19"/>
                                <w:lang w:val="en-GB"/>
                              </w:rPr>
                              <w:fldChar w:fldCharType="end"/>
                            </w:r>
                            <w:r>
                              <w:rPr>
                                <w:sz w:val="19"/>
                                <w:szCs w:val="19"/>
                                <w:lang w:val="en-GB"/>
                              </w:rPr>
                              <w:t xml:space="preserve"> above</w:t>
                            </w:r>
                            <w:r w:rsidR="004450B0">
                              <w:rPr>
                                <w:sz w:val="19"/>
                                <w:szCs w:val="19"/>
                                <w:lang w:val="en-GB"/>
                              </w:rPr>
                              <w:t>)</w:t>
                            </w:r>
                            <w:r w:rsidRPr="00C321F2">
                              <w:rPr>
                                <w:sz w:val="19"/>
                                <w:szCs w:val="19"/>
                                <w:lang w:val="en-GB"/>
                              </w:rPr>
                              <w:t>.</w:t>
                            </w:r>
                          </w:p>
                          <w:p w14:paraId="71E2D6A3" w14:textId="5F2F7B3D" w:rsidR="00CD4F5B" w:rsidRPr="00C321F2" w:rsidRDefault="00CD4F5B" w:rsidP="00AB42AA">
                            <w:pPr>
                              <w:pStyle w:val="Listenabsatz"/>
                              <w:numPr>
                                <w:ilvl w:val="0"/>
                                <w:numId w:val="4"/>
                              </w:numPr>
                              <w:contextualSpacing w:val="0"/>
                              <w:jc w:val="left"/>
                              <w:rPr>
                                <w:b/>
                                <w:sz w:val="19"/>
                                <w:szCs w:val="19"/>
                                <w:lang w:val="en-GB"/>
                              </w:rPr>
                            </w:pPr>
                            <w:r w:rsidRPr="00C321F2">
                              <w:rPr>
                                <w:b/>
                                <w:sz w:val="19"/>
                                <w:szCs w:val="19"/>
                                <w:lang w:val="en-GB"/>
                              </w:rPr>
                              <w:t>Liability under §§ 9, 10 WpPG (</w:t>
                            </w:r>
                            <w:r w:rsidR="003D38C9">
                              <w:rPr>
                                <w:b/>
                                <w:sz w:val="19"/>
                                <w:szCs w:val="19"/>
                                <w:lang w:val="en-GB"/>
                              </w:rPr>
                              <w:t xml:space="preserve">these provisions </w:t>
                            </w:r>
                            <w:r w:rsidRPr="00C321F2">
                              <w:rPr>
                                <w:b/>
                                <w:sz w:val="19"/>
                                <w:szCs w:val="19"/>
                                <w:lang w:val="en-GB"/>
                              </w:rPr>
                              <w:t>appl</w:t>
                            </w:r>
                            <w:r w:rsidR="003D38C9">
                              <w:rPr>
                                <w:b/>
                                <w:sz w:val="19"/>
                                <w:szCs w:val="19"/>
                                <w:lang w:val="en-GB"/>
                              </w:rPr>
                              <w:t>y</w:t>
                            </w:r>
                            <w:r w:rsidRPr="00C321F2">
                              <w:rPr>
                                <w:b/>
                                <w:sz w:val="19"/>
                                <w:szCs w:val="19"/>
                                <w:lang w:val="en-GB"/>
                              </w:rPr>
                              <w:t xml:space="preserve"> mutatis mutandis </w:t>
                            </w:r>
                            <w:bookmarkStart w:id="104" w:name="_Hlk126836739"/>
                            <w:r w:rsidRPr="00C321F2">
                              <w:rPr>
                                <w:b/>
                                <w:sz w:val="19"/>
                                <w:szCs w:val="19"/>
                                <w:lang w:val="en-GB"/>
                              </w:rPr>
                              <w:t xml:space="preserve">to </w:t>
                            </w:r>
                            <w:r w:rsidR="00AB3E99">
                              <w:rPr>
                                <w:b/>
                                <w:sz w:val="19"/>
                                <w:szCs w:val="19"/>
                                <w:lang w:val="en-GB"/>
                              </w:rPr>
                              <w:br/>
                            </w:r>
                            <w:r w:rsidR="00F25DA9">
                              <w:rPr>
                                <w:b/>
                                <w:sz w:val="19"/>
                                <w:szCs w:val="19"/>
                                <w:lang w:val="en-GB"/>
                              </w:rPr>
                              <w:t xml:space="preserve">(i) cases where a prospectus is missing altogether (§ 14 WpPG), and </w:t>
                            </w:r>
                            <w:r w:rsidR="00AB3E99">
                              <w:rPr>
                                <w:b/>
                                <w:sz w:val="19"/>
                                <w:szCs w:val="19"/>
                                <w:lang w:val="en-GB"/>
                              </w:rPr>
                              <w:br/>
                            </w:r>
                            <w:r w:rsidR="00F25DA9">
                              <w:rPr>
                                <w:b/>
                                <w:sz w:val="19"/>
                                <w:szCs w:val="19"/>
                                <w:lang w:val="en-GB"/>
                              </w:rPr>
                              <w:t>(ii) incorrect, incomplete, or missing securities information leaflets (</w:t>
                            </w:r>
                            <w:r w:rsidRPr="00C321F2">
                              <w:rPr>
                                <w:b/>
                                <w:sz w:val="19"/>
                                <w:szCs w:val="19"/>
                                <w:lang w:val="en-GB"/>
                              </w:rPr>
                              <w:t>§§ 11, 15 WpPG</w:t>
                            </w:r>
                            <w:bookmarkEnd w:id="104"/>
                            <w:r w:rsidRPr="00C321F2">
                              <w:rPr>
                                <w:b/>
                                <w:sz w:val="19"/>
                                <w:szCs w:val="19"/>
                                <w:lang w:val="en-GB"/>
                              </w:rPr>
                              <w:t>)</w:t>
                            </w:r>
                          </w:p>
                          <w:p w14:paraId="26512115"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Scope of transactions covered</w:t>
                            </w:r>
                          </w:p>
                          <w:p w14:paraId="116ED702"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Securities covered: § 2 Nr. 1 WpPG, Art. 2 lit. a PR</w:t>
                            </w:r>
                          </w:p>
                          <w:p w14:paraId="643B19ED" w14:textId="77777777" w:rsidR="00CD4F5B" w:rsidRPr="00C321F2" w:rsidRDefault="00CD4F5B" w:rsidP="00AB42AA">
                            <w:pPr>
                              <w:pStyle w:val="Listenabsatz"/>
                              <w:numPr>
                                <w:ilvl w:val="2"/>
                                <w:numId w:val="4"/>
                              </w:numPr>
                              <w:contextualSpacing w:val="0"/>
                              <w:rPr>
                                <w:sz w:val="19"/>
                                <w:szCs w:val="19"/>
                                <w:lang w:val="en-GB"/>
                              </w:rPr>
                            </w:pPr>
                            <w:r>
                              <w:rPr>
                                <w:sz w:val="19"/>
                                <w:szCs w:val="19"/>
                                <w:lang w:val="en-GB"/>
                              </w:rPr>
                              <w:t xml:space="preserve">Relevant transactions </w:t>
                            </w:r>
                          </w:p>
                          <w:p w14:paraId="4A5E8DC3" w14:textId="77777777" w:rsidR="00CD4F5B" w:rsidRDefault="00CD4F5B" w:rsidP="00AB42AA">
                            <w:pPr>
                              <w:pStyle w:val="Listenabsatz"/>
                              <w:numPr>
                                <w:ilvl w:val="3"/>
                                <w:numId w:val="4"/>
                              </w:numPr>
                              <w:contextualSpacing w:val="0"/>
                              <w:rPr>
                                <w:sz w:val="19"/>
                                <w:szCs w:val="19"/>
                                <w:lang w:val="en-GB"/>
                              </w:rPr>
                            </w:pPr>
                            <w:r>
                              <w:rPr>
                                <w:sz w:val="19"/>
                                <w:szCs w:val="19"/>
                                <w:lang w:val="en-GB"/>
                              </w:rPr>
                              <w:t xml:space="preserve">Admission </w:t>
                            </w:r>
                            <w:r w:rsidRPr="00C321F2">
                              <w:rPr>
                                <w:sz w:val="19"/>
                                <w:szCs w:val="19"/>
                                <w:lang w:val="en-GB"/>
                              </w:rPr>
                              <w:t xml:space="preserve">to regulated market (§ 2 Nr. 8 WpPG, Art. 2 lit. j PR), </w:t>
                            </w:r>
                            <w:r>
                              <w:rPr>
                                <w:sz w:val="19"/>
                                <w:szCs w:val="19"/>
                                <w:lang w:val="en-GB"/>
                              </w:rPr>
                              <w:t>or</w:t>
                            </w:r>
                          </w:p>
                          <w:p w14:paraId="28714490" w14:textId="77777777" w:rsidR="00CD4F5B" w:rsidRPr="00C321F2" w:rsidRDefault="00CD4F5B" w:rsidP="00AB42AA">
                            <w:pPr>
                              <w:pStyle w:val="Listenabsatz"/>
                              <w:numPr>
                                <w:ilvl w:val="3"/>
                                <w:numId w:val="4"/>
                              </w:numPr>
                              <w:contextualSpacing w:val="0"/>
                              <w:rPr>
                                <w:sz w:val="19"/>
                                <w:szCs w:val="19"/>
                                <w:lang w:val="en-GB"/>
                              </w:rPr>
                            </w:pPr>
                            <w:r>
                              <w:rPr>
                                <w:sz w:val="19"/>
                                <w:szCs w:val="19"/>
                                <w:lang w:val="en-GB"/>
                              </w:rPr>
                              <w:t>P</w:t>
                            </w:r>
                            <w:r w:rsidRPr="00C321F2">
                              <w:rPr>
                                <w:sz w:val="19"/>
                                <w:szCs w:val="19"/>
                                <w:lang w:val="en-GB"/>
                              </w:rPr>
                              <w:t xml:space="preserve">ublic </w:t>
                            </w:r>
                            <w:r>
                              <w:rPr>
                                <w:sz w:val="19"/>
                                <w:szCs w:val="19"/>
                                <w:lang w:val="en-GB"/>
                              </w:rPr>
                              <w:t xml:space="preserve">offering </w:t>
                            </w:r>
                            <w:r w:rsidRPr="00C321F2">
                              <w:rPr>
                                <w:sz w:val="19"/>
                                <w:szCs w:val="19"/>
                                <w:lang w:val="en-GB"/>
                              </w:rPr>
                              <w:t>(§ 2 Nr. 2 WpPG, Art. 2 lit. d PR)</w:t>
                            </w:r>
                          </w:p>
                          <w:p w14:paraId="1C60102C"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Acquisition 6 mths after admission (§ 9(1) WpPG) or start of offering (§ 10 WpPG)</w:t>
                            </w:r>
                          </w:p>
                          <w:p w14:paraId="2C5922E1"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Prospectus is incorrect or incomplete in material aspects, § 9 I 1 WpPG</w:t>
                            </w:r>
                          </w:p>
                          <w:p w14:paraId="729BE2BC"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Relevant documents</w:t>
                            </w:r>
                          </w:p>
                          <w:p w14:paraId="61562DB2"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Incorrect or incomplete in material aspects, </w:t>
                            </w:r>
                            <w:r>
                              <w:rPr>
                                <w:sz w:val="19"/>
                                <w:szCs w:val="19"/>
                                <w:lang w:val="en-GB"/>
                              </w:rPr>
                              <w:t>e.g.</w:t>
                            </w:r>
                          </w:p>
                          <w:p w14:paraId="4223F8FB" w14:textId="77777777" w:rsidR="00CD4F5B" w:rsidRDefault="00CD4F5B" w:rsidP="00AB42AA">
                            <w:pPr>
                              <w:pStyle w:val="Listenabsatz"/>
                              <w:numPr>
                                <w:ilvl w:val="3"/>
                                <w:numId w:val="4"/>
                              </w:numPr>
                              <w:contextualSpacing w:val="0"/>
                              <w:rPr>
                                <w:sz w:val="19"/>
                                <w:szCs w:val="19"/>
                                <w:lang w:val="en-GB"/>
                              </w:rPr>
                            </w:pPr>
                            <w:r>
                              <w:rPr>
                                <w:sz w:val="19"/>
                                <w:szCs w:val="19"/>
                                <w:lang w:val="en-GB"/>
                              </w:rPr>
                              <w:t>A</w:t>
                            </w:r>
                            <w:r w:rsidRPr="00C321F2">
                              <w:rPr>
                                <w:sz w:val="19"/>
                                <w:szCs w:val="19"/>
                                <w:lang w:val="en-GB"/>
                              </w:rPr>
                              <w:t>rt. 6(1), (2) PR: “necessary information material to investor for making informed assessment”, “easily analysable, concise and comprehensible”</w:t>
                            </w:r>
                          </w:p>
                          <w:p w14:paraId="79137D90" w14:textId="77777777" w:rsidR="00CD4F5B" w:rsidRPr="00C321F2" w:rsidRDefault="00CD4F5B" w:rsidP="00AB42AA">
                            <w:pPr>
                              <w:pStyle w:val="Listenabsatz"/>
                              <w:numPr>
                                <w:ilvl w:val="3"/>
                                <w:numId w:val="4"/>
                              </w:numPr>
                              <w:contextualSpacing w:val="0"/>
                              <w:rPr>
                                <w:sz w:val="19"/>
                                <w:szCs w:val="19"/>
                                <w:lang w:val="en-GB"/>
                              </w:rPr>
                            </w:pPr>
                            <w:r>
                              <w:rPr>
                                <w:sz w:val="19"/>
                                <w:szCs w:val="19"/>
                                <w:lang w:val="en-GB"/>
                              </w:rPr>
                              <w:t>A</w:t>
                            </w:r>
                            <w:r w:rsidRPr="00C321F2">
                              <w:rPr>
                                <w:sz w:val="19"/>
                                <w:szCs w:val="19"/>
                                <w:lang w:val="en-GB"/>
                              </w:rPr>
                              <w:t>rt. 13 PR, delegated regulation 980/2019: minimum requirements</w:t>
                            </w:r>
                          </w:p>
                          <w:p w14:paraId="7BC4E8FB" w14:textId="77777777" w:rsidR="00CD4F5B" w:rsidRPr="00C321F2" w:rsidRDefault="00CD4F5B" w:rsidP="00AB42AA">
                            <w:pPr>
                              <w:pStyle w:val="Listenabsatz"/>
                              <w:numPr>
                                <w:ilvl w:val="3"/>
                                <w:numId w:val="4"/>
                              </w:numPr>
                              <w:contextualSpacing w:val="0"/>
                              <w:rPr>
                                <w:sz w:val="19"/>
                                <w:szCs w:val="19"/>
                                <w:lang w:val="en-GB"/>
                              </w:rPr>
                            </w:pPr>
                            <w:r>
                              <w:rPr>
                                <w:sz w:val="19"/>
                                <w:szCs w:val="19"/>
                                <w:lang w:val="en-GB"/>
                              </w:rPr>
                              <w:t>Art. 16 PR, risk factors</w:t>
                            </w:r>
                          </w:p>
                          <w:p w14:paraId="4C2AE623"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Failure to publish appropriate supplement, art.  23 PR</w:t>
                            </w:r>
                          </w:p>
                          <w:p w14:paraId="24CB976C"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Persons liable for damages</w:t>
                            </w:r>
                          </w:p>
                          <w:p w14:paraId="317CC162"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Persons responsible for the prospectus, § 9(1)(1), § 8 WpPG, art. 11(1) PR</w:t>
                            </w:r>
                          </w:p>
                          <w:p w14:paraId="1A139A74"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Persons sponsoring/initiating the prospectus, § 9(1)(2) WpPG</w:t>
                            </w:r>
                          </w:p>
                          <w:p w14:paraId="7D192369"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No exclusion of liability</w:t>
                            </w:r>
                          </w:p>
                          <w:p w14:paraId="48707A17"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Lack of gross negligence/intentional conduct, § 12(1) WpPG</w:t>
                            </w:r>
                          </w:p>
                          <w:p w14:paraId="1E08A371" w14:textId="51D88611"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Liability excluded under </w:t>
                            </w:r>
                            <w:r w:rsidR="009B69BB">
                              <w:rPr>
                                <w:sz w:val="19"/>
                                <w:szCs w:val="19"/>
                                <w:lang w:val="en-GB"/>
                              </w:rPr>
                              <w:t>§ </w:t>
                            </w:r>
                            <w:r w:rsidRPr="00C321F2">
                              <w:rPr>
                                <w:sz w:val="19"/>
                                <w:szCs w:val="19"/>
                                <w:lang w:val="en-GB"/>
                              </w:rPr>
                              <w:t>12(2) WpPG, - most relevant examples:</w:t>
                            </w:r>
                          </w:p>
                          <w:p w14:paraId="4C72ECC8" w14:textId="77777777" w:rsidR="00CD4F5B" w:rsidRPr="00C321F2" w:rsidRDefault="00CD4F5B" w:rsidP="00AB42AA">
                            <w:pPr>
                              <w:pStyle w:val="Listenabsatz"/>
                              <w:numPr>
                                <w:ilvl w:val="3"/>
                                <w:numId w:val="4"/>
                              </w:numPr>
                              <w:contextualSpacing w:val="0"/>
                              <w:rPr>
                                <w:sz w:val="19"/>
                                <w:szCs w:val="19"/>
                                <w:lang w:val="en-GB"/>
                              </w:rPr>
                            </w:pPr>
                            <w:r w:rsidRPr="00C321F2">
                              <w:rPr>
                                <w:sz w:val="19"/>
                                <w:szCs w:val="19"/>
                                <w:lang w:val="en-GB"/>
                              </w:rPr>
                              <w:t>Securities not acquired on the basis of the prospectus, § 12(2)(1) WpPG</w:t>
                            </w:r>
                          </w:p>
                          <w:p w14:paraId="6FF2A07A" w14:textId="77777777" w:rsidR="00CD4F5B" w:rsidRPr="00C321F2" w:rsidRDefault="00CD4F5B" w:rsidP="00AB42AA">
                            <w:pPr>
                              <w:pStyle w:val="Listenabsatz"/>
                              <w:numPr>
                                <w:ilvl w:val="3"/>
                                <w:numId w:val="4"/>
                              </w:numPr>
                              <w:contextualSpacing w:val="0"/>
                              <w:rPr>
                                <w:sz w:val="19"/>
                                <w:szCs w:val="19"/>
                                <w:lang w:val="en-GB"/>
                              </w:rPr>
                            </w:pPr>
                            <w:r w:rsidRPr="00C321F2">
                              <w:rPr>
                                <w:sz w:val="19"/>
                                <w:szCs w:val="19"/>
                                <w:lang w:val="en-GB"/>
                              </w:rPr>
                              <w:t>Facts did not contribute to reduction of price, § 12(2)(2) WpPG</w:t>
                            </w:r>
                          </w:p>
                          <w:p w14:paraId="4A0350C5"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Damages</w:t>
                            </w:r>
                          </w:p>
                          <w:p w14:paraId="7C3E777F" w14:textId="37BDC486"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Acquisition price (max. placement price) + </w:t>
                            </w:r>
                            <w:r w:rsidR="009B762B">
                              <w:rPr>
                                <w:sz w:val="19"/>
                                <w:szCs w:val="19"/>
                                <w:lang w:val="en-GB"/>
                              </w:rPr>
                              <w:t xml:space="preserve">usual </w:t>
                            </w:r>
                            <w:r w:rsidRPr="00C321F2">
                              <w:rPr>
                                <w:sz w:val="19"/>
                                <w:szCs w:val="19"/>
                                <w:lang w:val="en-GB"/>
                              </w:rPr>
                              <w:t>costs, § 9(1) WpPG, vs. transfer of securities</w:t>
                            </w:r>
                          </w:p>
                          <w:p w14:paraId="037B2C7D" w14:textId="476DEDE9"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Difference between acquisition price (max. placement price) and proceeds from sale, </w:t>
                            </w:r>
                            <w:r w:rsidR="00986335">
                              <w:rPr>
                                <w:sz w:val="19"/>
                                <w:szCs w:val="19"/>
                                <w:lang w:val="en-GB"/>
                              </w:rPr>
                              <w:t xml:space="preserve">usual </w:t>
                            </w:r>
                            <w:r w:rsidRPr="00C321F2">
                              <w:rPr>
                                <w:sz w:val="19"/>
                                <w:szCs w:val="19"/>
                                <w:lang w:val="en-GB"/>
                              </w:rPr>
                              <w:t>costs, § 9(2) WpPG</w:t>
                            </w:r>
                          </w:p>
                          <w:p w14:paraId="276679E0" w14:textId="77777777" w:rsidR="00CD4F5B" w:rsidRPr="00C321F2" w:rsidRDefault="00CD4F5B" w:rsidP="00AB42AA">
                            <w:pPr>
                              <w:pStyle w:val="Listenabsatz"/>
                              <w:numPr>
                                <w:ilvl w:val="0"/>
                                <w:numId w:val="4"/>
                              </w:numPr>
                              <w:contextualSpacing w:val="0"/>
                              <w:rPr>
                                <w:b/>
                                <w:sz w:val="19"/>
                                <w:szCs w:val="19"/>
                                <w:lang w:val="en-GB"/>
                              </w:rPr>
                            </w:pPr>
                            <w:r w:rsidRPr="00C321F2">
                              <w:rPr>
                                <w:b/>
                                <w:sz w:val="19"/>
                                <w:szCs w:val="19"/>
                                <w:lang w:val="en-GB"/>
                              </w:rPr>
                              <w:t>Other bases for liability attaching to prospectuses, e.g., §§ 20ff. VermAnlG, § 306 KAGB</w:t>
                            </w:r>
                          </w:p>
                          <w:p w14:paraId="6F665296" w14:textId="77777777" w:rsidR="00CD4F5B" w:rsidRPr="00C321F2" w:rsidRDefault="00CD4F5B" w:rsidP="00AB42AA">
                            <w:pPr>
                              <w:pStyle w:val="Listenabsatz"/>
                              <w:numPr>
                                <w:ilvl w:val="0"/>
                                <w:numId w:val="4"/>
                              </w:numPr>
                              <w:contextualSpacing w:val="0"/>
                              <w:rPr>
                                <w:b/>
                                <w:sz w:val="19"/>
                                <w:szCs w:val="19"/>
                                <w:lang w:val="en-GB"/>
                              </w:rPr>
                            </w:pPr>
                            <w:r w:rsidRPr="00C321F2">
                              <w:rPr>
                                <w:b/>
                                <w:sz w:val="19"/>
                                <w:szCs w:val="19"/>
                                <w:lang w:val="en-GB"/>
                              </w:rPr>
                              <w:t>Liability under general tort law principles</w:t>
                            </w:r>
                          </w:p>
                          <w:p w14:paraId="437B28D2"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 823(2) BGB, e.g., in conjunction with § 400 AktG, § 332 HGB, §§ 263, 264a StGB</w:t>
                            </w:r>
                          </w:p>
                          <w:p w14:paraId="1A3FBF99" w14:textId="622DE260" w:rsidR="00CD4F5B" w:rsidRPr="009B69BB" w:rsidRDefault="00CD4F5B" w:rsidP="00AB42AA">
                            <w:pPr>
                              <w:pStyle w:val="Listenabsatz"/>
                              <w:numPr>
                                <w:ilvl w:val="1"/>
                                <w:numId w:val="4"/>
                              </w:numPr>
                              <w:contextualSpacing w:val="0"/>
                              <w:rPr>
                                <w:sz w:val="19"/>
                                <w:szCs w:val="19"/>
                                <w:lang w:val="en-GB"/>
                              </w:rPr>
                            </w:pPr>
                            <w:r w:rsidRPr="00C321F2">
                              <w:rPr>
                                <w:sz w:val="19"/>
                                <w:szCs w:val="19"/>
                                <w:lang w:val="en-GB"/>
                              </w:rPr>
                              <w:t>§ 826 BGB</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459715C" id="_x0000_s1031" type="#_x0000_t202" style="position:absolute;left:0;text-align:left;margin-left:-13.55pt;margin-top:.15pt;width:480.6pt;height:682.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" strokecolor="#a5a5a5 [2092]">
                <v:textbox>
                  <w:txbxContent>
                    <w:p w14:paraId="4CB1B957" w14:textId="1615588F" w:rsidR="00524AB0" w:rsidRPr="00524AB0" w:rsidRDefault="00524AB0" w:rsidP="00524AB0">
                      <w:pPr>
                        <w:jc w:val="center"/>
                        <w:rPr>
                          <w:b/>
                          <w:sz w:val="19"/>
                          <w:szCs w:val="19"/>
                          <w:u w:val="single"/>
                          <w:lang w:val="en-GB"/>
                        </w:rPr>
                      </w:pPr>
                      <w:r w:rsidRPr="00524AB0">
                        <w:rPr>
                          <w:b/>
                          <w:sz w:val="19"/>
                          <w:szCs w:val="19"/>
                          <w:u w:val="single"/>
                          <w:lang w:val="en-GB"/>
                        </w:rPr>
                        <w:t>Prospectus Liability</w:t>
                      </w:r>
                    </w:p>
                    <w:p w14:paraId="01749E20" w14:textId="38DB35F5" w:rsidR="00CD4F5B" w:rsidRPr="00C321F2" w:rsidRDefault="00CD4F5B" w:rsidP="00CD4F5B">
                      <w:pPr>
                        <w:rPr>
                          <w:sz w:val="19"/>
                          <w:szCs w:val="19"/>
                          <w:lang w:val="en-GB"/>
                        </w:rPr>
                      </w:pPr>
                      <w:r w:rsidRPr="00E9147E">
                        <w:rPr>
                          <w:sz w:val="19"/>
                          <w:szCs w:val="19"/>
                          <w:u w:val="single"/>
                          <w:lang w:val="en-GB"/>
                        </w:rPr>
                        <w:t>Note:</w:t>
                      </w:r>
                      <w:r w:rsidRPr="00C321F2">
                        <w:rPr>
                          <w:sz w:val="19"/>
                          <w:szCs w:val="19"/>
                          <w:lang w:val="en-GB"/>
                        </w:rPr>
                        <w:t xml:space="preserve"> </w:t>
                      </w:r>
                      <w:r>
                        <w:rPr>
                          <w:sz w:val="19"/>
                          <w:szCs w:val="19"/>
                          <w:lang w:val="en-GB"/>
                        </w:rPr>
                        <w:t>I</w:t>
                      </w:r>
                      <w:r w:rsidRPr="00C321F2">
                        <w:rPr>
                          <w:sz w:val="19"/>
                          <w:szCs w:val="19"/>
                          <w:lang w:val="en-GB"/>
                        </w:rPr>
                        <w:t xml:space="preserve">n an international context, a conflict of law analysis </w:t>
                      </w:r>
                      <w:r>
                        <w:rPr>
                          <w:sz w:val="19"/>
                          <w:szCs w:val="19"/>
                          <w:lang w:val="en-GB"/>
                        </w:rPr>
                        <w:t xml:space="preserve">is </w:t>
                      </w:r>
                      <w:r w:rsidRPr="00C321F2">
                        <w:rPr>
                          <w:sz w:val="19"/>
                          <w:szCs w:val="19"/>
                          <w:lang w:val="en-GB"/>
                        </w:rPr>
                        <w:t>necessary to determine the applicable law under the Rome</w:t>
                      </w:r>
                      <w:r>
                        <w:rPr>
                          <w:sz w:val="19"/>
                          <w:szCs w:val="19"/>
                          <w:lang w:val="en-GB"/>
                        </w:rPr>
                        <w:t> </w:t>
                      </w:r>
                      <w:r w:rsidRPr="00C321F2">
                        <w:rPr>
                          <w:sz w:val="19"/>
                          <w:szCs w:val="19"/>
                          <w:lang w:val="en-GB"/>
                        </w:rPr>
                        <w:t>I and Rome II Regulation</w:t>
                      </w:r>
                      <w:r>
                        <w:rPr>
                          <w:sz w:val="19"/>
                          <w:szCs w:val="19"/>
                          <w:lang w:val="en-GB"/>
                        </w:rPr>
                        <w:t>s,</w:t>
                      </w:r>
                      <w:r w:rsidRPr="00C321F2">
                        <w:rPr>
                          <w:sz w:val="19"/>
                          <w:szCs w:val="19"/>
                          <w:lang w:val="en-GB"/>
                        </w:rPr>
                        <w:t xml:space="preserve"> and jurisdiction under the Brussels </w:t>
                      </w:r>
                      <w:r w:rsidRPr="00C321F2">
                        <w:rPr>
                          <w:sz w:val="19"/>
                          <w:szCs w:val="19"/>
                          <w:lang w:val="en-GB"/>
                        </w:rPr>
                        <w:t xml:space="preserve">Ia Regulation. On these issues, see Case C-304/17, </w:t>
                      </w:r>
                      <w:r w:rsidRPr="00C321F2">
                        <w:rPr>
                          <w:i/>
                          <w:sz w:val="19"/>
                          <w:szCs w:val="19"/>
                          <w:lang w:val="en-GB"/>
                        </w:rPr>
                        <w:t>Löber</w:t>
                      </w:r>
                      <w:r w:rsidRPr="00C321F2">
                        <w:rPr>
                          <w:sz w:val="19"/>
                          <w:szCs w:val="19"/>
                          <w:lang w:val="en-GB"/>
                        </w:rPr>
                        <w:t xml:space="preserve">, and Case C-375/13, </w:t>
                      </w:r>
                      <w:r w:rsidRPr="00C321F2">
                        <w:rPr>
                          <w:i/>
                          <w:sz w:val="19"/>
                          <w:szCs w:val="19"/>
                          <w:lang w:val="en-GB"/>
                        </w:rPr>
                        <w:t>Kolassa</w:t>
                      </w:r>
                      <w:r w:rsidRPr="00C321F2">
                        <w:rPr>
                          <w:sz w:val="19"/>
                          <w:szCs w:val="19"/>
                          <w:lang w:val="en-GB"/>
                        </w:rPr>
                        <w:t>.</w:t>
                      </w:r>
                    </w:p>
                    <w:p w14:paraId="4A409B13" w14:textId="026B3925" w:rsidR="0007670A" w:rsidRPr="00C321F2" w:rsidRDefault="0007670A" w:rsidP="00AB42AA">
                      <w:pPr>
                        <w:pStyle w:val="Listenabsatz"/>
                        <w:numPr>
                          <w:ilvl w:val="0"/>
                          <w:numId w:val="4"/>
                        </w:numPr>
                        <w:contextualSpacing w:val="0"/>
                        <w:rPr>
                          <w:b/>
                          <w:sz w:val="19"/>
                          <w:szCs w:val="19"/>
                          <w:lang w:val="en-GB"/>
                        </w:rPr>
                      </w:pPr>
                      <w:r>
                        <w:rPr>
                          <w:b/>
                          <w:sz w:val="19"/>
                          <w:szCs w:val="19"/>
                          <w:lang w:val="en-GB"/>
                        </w:rPr>
                        <w:t>(</w:t>
                      </w:r>
                      <w:r w:rsidRPr="00C321F2">
                        <w:rPr>
                          <w:b/>
                          <w:sz w:val="19"/>
                          <w:szCs w:val="19"/>
                          <w:lang w:val="en-GB"/>
                        </w:rPr>
                        <w:t>Pre-</w:t>
                      </w:r>
                      <w:r>
                        <w:rPr>
                          <w:b/>
                          <w:sz w:val="19"/>
                          <w:szCs w:val="19"/>
                          <w:lang w:val="en-GB"/>
                        </w:rPr>
                        <w:t>)</w:t>
                      </w:r>
                      <w:r w:rsidRPr="00C321F2">
                        <w:rPr>
                          <w:b/>
                          <w:sz w:val="19"/>
                          <w:szCs w:val="19"/>
                          <w:lang w:val="en-GB"/>
                        </w:rPr>
                        <w:t>contractual liability under §§ 280, 311 BGB</w:t>
                      </w:r>
                    </w:p>
                    <w:p w14:paraId="2B8A1380" w14:textId="326096F6" w:rsidR="0007670A" w:rsidRPr="00C321F2" w:rsidRDefault="0007670A" w:rsidP="0007670A">
                      <w:pPr>
                        <w:rPr>
                          <w:sz w:val="19"/>
                          <w:szCs w:val="19"/>
                          <w:lang w:val="en-GB"/>
                        </w:rPr>
                      </w:pPr>
                      <w:r w:rsidRPr="00C321F2">
                        <w:rPr>
                          <w:sz w:val="19"/>
                          <w:szCs w:val="19"/>
                          <w:u w:val="single"/>
                          <w:lang w:val="en-GB"/>
                        </w:rPr>
                        <w:t>Note</w:t>
                      </w:r>
                      <w:r w:rsidRPr="00C321F2">
                        <w:rPr>
                          <w:sz w:val="19"/>
                          <w:szCs w:val="19"/>
                          <w:lang w:val="en-GB"/>
                        </w:rPr>
                        <w:t xml:space="preserve">: </w:t>
                      </w:r>
                      <w:r>
                        <w:rPr>
                          <w:sz w:val="19"/>
                          <w:szCs w:val="19"/>
                          <w:lang w:val="en-GB"/>
                        </w:rPr>
                        <w:t>W</w:t>
                      </w:r>
                      <w:r w:rsidRPr="00C321F2">
                        <w:rPr>
                          <w:sz w:val="19"/>
                          <w:szCs w:val="19"/>
                          <w:lang w:val="en-GB"/>
                        </w:rPr>
                        <w:t xml:space="preserve">here special legislation exists </w:t>
                      </w:r>
                      <w:r>
                        <w:rPr>
                          <w:sz w:val="19"/>
                          <w:szCs w:val="19"/>
                          <w:lang w:val="en-GB"/>
                        </w:rPr>
                        <w:t>as regards prospectus liability,</w:t>
                      </w:r>
                      <w:r w:rsidR="004245A1">
                        <w:rPr>
                          <w:sz w:val="19"/>
                          <w:szCs w:val="19"/>
                          <w:lang w:val="en-GB"/>
                        </w:rPr>
                        <w:t xml:space="preserve"> this is regarded precluding </w:t>
                      </w:r>
                      <w:r>
                        <w:rPr>
                          <w:sz w:val="19"/>
                          <w:szCs w:val="19"/>
                          <w:lang w:val="en-GB"/>
                        </w:rPr>
                        <w:t xml:space="preserve">(pre-)contractual liability </w:t>
                      </w:r>
                      <w:r w:rsidR="004245A1">
                        <w:rPr>
                          <w:sz w:val="19"/>
                          <w:szCs w:val="19"/>
                          <w:lang w:val="en-GB"/>
                        </w:rPr>
                        <w:t xml:space="preserve">for statements in prospectuses. Accordingly, (pre-)contractual liability </w:t>
                      </w:r>
                      <w:r>
                        <w:rPr>
                          <w:sz w:val="19"/>
                          <w:szCs w:val="19"/>
                          <w:lang w:val="en-GB"/>
                        </w:rPr>
                        <w:t>can only attach to statements made outside the prospectus</w:t>
                      </w:r>
                      <w:r w:rsidR="004450B0">
                        <w:rPr>
                          <w:sz w:val="19"/>
                          <w:szCs w:val="19"/>
                          <w:lang w:val="en-GB"/>
                        </w:rPr>
                        <w:t xml:space="preserve">, </w:t>
                      </w:r>
                      <w:r>
                        <w:rPr>
                          <w:sz w:val="19"/>
                          <w:szCs w:val="19"/>
                          <w:lang w:val="en-GB"/>
                        </w:rPr>
                        <w:t xml:space="preserve">e.g., </w:t>
                      </w:r>
                      <w:r w:rsidR="004807FF">
                        <w:rPr>
                          <w:sz w:val="19"/>
                          <w:szCs w:val="19"/>
                          <w:lang w:val="en-GB"/>
                        </w:rPr>
                        <w:t xml:space="preserve">oral </w:t>
                      </w:r>
                      <w:r>
                        <w:rPr>
                          <w:sz w:val="19"/>
                          <w:szCs w:val="19"/>
                          <w:lang w:val="en-GB"/>
                        </w:rPr>
                        <w:t>statements</w:t>
                      </w:r>
                      <w:r w:rsidR="004807FF">
                        <w:rPr>
                          <w:sz w:val="19"/>
                          <w:szCs w:val="19"/>
                          <w:lang w:val="en-GB"/>
                        </w:rPr>
                        <w:t xml:space="preserve"> in the distribution process </w:t>
                      </w:r>
                      <w:r w:rsidR="001F6D6B">
                        <w:rPr>
                          <w:sz w:val="19"/>
                          <w:szCs w:val="19"/>
                          <w:lang w:val="en-GB"/>
                        </w:rPr>
                        <w:t xml:space="preserve">(beyond the prospectus content) </w:t>
                      </w:r>
                      <w:r w:rsidR="004807FF">
                        <w:rPr>
                          <w:sz w:val="19"/>
                          <w:szCs w:val="19"/>
                          <w:lang w:val="en-GB"/>
                        </w:rPr>
                        <w:t>that are incorrect or misleading</w:t>
                      </w:r>
                      <w:r w:rsidR="004450B0">
                        <w:rPr>
                          <w:sz w:val="19"/>
                          <w:szCs w:val="19"/>
                          <w:lang w:val="en-GB"/>
                        </w:rPr>
                        <w:t xml:space="preserve"> (</w:t>
                      </w:r>
                      <w:r>
                        <w:rPr>
                          <w:sz w:val="19"/>
                          <w:szCs w:val="19"/>
                          <w:lang w:val="en-GB"/>
                        </w:rPr>
                        <w:t>para. </w:t>
                      </w:r>
                      <w:r>
                        <w:rPr>
                          <w:sz w:val="19"/>
                          <w:szCs w:val="19"/>
                          <w:lang w:val="en-GB"/>
                        </w:rPr>
                        <w:fldChar w:fldCharType="begin"/>
                      </w:r>
                      <w:r>
                        <w:rPr>
                          <w:sz w:val="19"/>
                          <w:szCs w:val="19"/>
                          <w:lang w:val="en-GB"/>
                        </w:rPr>
                        <w:instrText xml:space="preserve"> REF _Ref163144083 \r \h </w:instrText>
                      </w:r>
                      <w:r>
                        <w:rPr>
                          <w:sz w:val="19"/>
                          <w:szCs w:val="19"/>
                          <w:lang w:val="en-GB"/>
                        </w:rPr>
                      </w:r>
                      <w:r>
                        <w:rPr>
                          <w:sz w:val="19"/>
                          <w:szCs w:val="19"/>
                          <w:lang w:val="en-GB"/>
                        </w:rPr>
                        <w:fldChar w:fldCharType="separate"/>
                      </w:r>
                      <w:r w:rsidR="00D56145">
                        <w:rPr>
                          <w:sz w:val="19"/>
                          <w:szCs w:val="19"/>
                          <w:lang w:val="en-GB"/>
                        </w:rPr>
                        <w:t>97</w:t>
                      </w:r>
                      <w:r>
                        <w:rPr>
                          <w:sz w:val="19"/>
                          <w:szCs w:val="19"/>
                          <w:lang w:val="en-GB"/>
                        </w:rPr>
                        <w:fldChar w:fldCharType="end"/>
                      </w:r>
                      <w:r>
                        <w:rPr>
                          <w:sz w:val="19"/>
                          <w:szCs w:val="19"/>
                          <w:lang w:val="en-GB"/>
                        </w:rPr>
                        <w:t xml:space="preserve"> above</w:t>
                      </w:r>
                      <w:r w:rsidR="004450B0">
                        <w:rPr>
                          <w:sz w:val="19"/>
                          <w:szCs w:val="19"/>
                          <w:lang w:val="en-GB"/>
                        </w:rPr>
                        <w:t>)</w:t>
                      </w:r>
                      <w:r w:rsidRPr="00C321F2">
                        <w:rPr>
                          <w:sz w:val="19"/>
                          <w:szCs w:val="19"/>
                          <w:lang w:val="en-GB"/>
                        </w:rPr>
                        <w:t>.</w:t>
                      </w:r>
                    </w:p>
                    <w:p w14:paraId="71E2D6A3" w14:textId="5F2F7B3D" w:rsidR="00CD4F5B" w:rsidRPr="00C321F2" w:rsidRDefault="00CD4F5B" w:rsidP="00AB42AA">
                      <w:pPr>
                        <w:pStyle w:val="Listenabsatz"/>
                        <w:numPr>
                          <w:ilvl w:val="0"/>
                          <w:numId w:val="4"/>
                        </w:numPr>
                        <w:contextualSpacing w:val="0"/>
                        <w:jc w:val="left"/>
                        <w:rPr>
                          <w:b/>
                          <w:sz w:val="19"/>
                          <w:szCs w:val="19"/>
                          <w:lang w:val="en-GB"/>
                        </w:rPr>
                      </w:pPr>
                      <w:r w:rsidRPr="00C321F2">
                        <w:rPr>
                          <w:b/>
                          <w:sz w:val="19"/>
                          <w:szCs w:val="19"/>
                          <w:lang w:val="en-GB"/>
                        </w:rPr>
                        <w:t>Liability under §§ 9, 10 WpPG (</w:t>
                      </w:r>
                      <w:r w:rsidR="003D38C9">
                        <w:rPr>
                          <w:b/>
                          <w:sz w:val="19"/>
                          <w:szCs w:val="19"/>
                          <w:lang w:val="en-GB"/>
                        </w:rPr>
                        <w:t xml:space="preserve">these provisions </w:t>
                      </w:r>
                      <w:r w:rsidRPr="00C321F2">
                        <w:rPr>
                          <w:b/>
                          <w:sz w:val="19"/>
                          <w:szCs w:val="19"/>
                          <w:lang w:val="en-GB"/>
                        </w:rPr>
                        <w:t>appl</w:t>
                      </w:r>
                      <w:r w:rsidR="003D38C9">
                        <w:rPr>
                          <w:b/>
                          <w:sz w:val="19"/>
                          <w:szCs w:val="19"/>
                          <w:lang w:val="en-GB"/>
                        </w:rPr>
                        <w:t>y</w:t>
                      </w:r>
                      <w:r w:rsidRPr="00C321F2">
                        <w:rPr>
                          <w:b/>
                          <w:sz w:val="19"/>
                          <w:szCs w:val="19"/>
                          <w:lang w:val="en-GB"/>
                        </w:rPr>
                        <w:t xml:space="preserve"> mutatis mutandis </w:t>
                      </w:r>
                      <w:bookmarkStart w:id="105" w:name="_Hlk126836739"/>
                      <w:r w:rsidRPr="00C321F2">
                        <w:rPr>
                          <w:b/>
                          <w:sz w:val="19"/>
                          <w:szCs w:val="19"/>
                          <w:lang w:val="en-GB"/>
                        </w:rPr>
                        <w:t xml:space="preserve">to </w:t>
                      </w:r>
                      <w:r w:rsidR="00AB3E99">
                        <w:rPr>
                          <w:b/>
                          <w:sz w:val="19"/>
                          <w:szCs w:val="19"/>
                          <w:lang w:val="en-GB"/>
                        </w:rPr>
                        <w:br/>
                      </w:r>
                      <w:r w:rsidR="00F25DA9">
                        <w:rPr>
                          <w:b/>
                          <w:sz w:val="19"/>
                          <w:szCs w:val="19"/>
                          <w:lang w:val="en-GB"/>
                        </w:rPr>
                        <w:t xml:space="preserve">(i) cases where a prospectus is missing altogether (§ 14 WpPG), and </w:t>
                      </w:r>
                      <w:r w:rsidR="00AB3E99">
                        <w:rPr>
                          <w:b/>
                          <w:sz w:val="19"/>
                          <w:szCs w:val="19"/>
                          <w:lang w:val="en-GB"/>
                        </w:rPr>
                        <w:br/>
                      </w:r>
                      <w:r w:rsidR="00F25DA9">
                        <w:rPr>
                          <w:b/>
                          <w:sz w:val="19"/>
                          <w:szCs w:val="19"/>
                          <w:lang w:val="en-GB"/>
                        </w:rPr>
                        <w:t>(ii) incorrect, incomplete, or missing securities information leaflets (</w:t>
                      </w:r>
                      <w:r w:rsidRPr="00C321F2">
                        <w:rPr>
                          <w:b/>
                          <w:sz w:val="19"/>
                          <w:szCs w:val="19"/>
                          <w:lang w:val="en-GB"/>
                        </w:rPr>
                        <w:t>§§ 11, 15 WpPG</w:t>
                      </w:r>
                      <w:bookmarkEnd w:id="105"/>
                      <w:r w:rsidRPr="00C321F2">
                        <w:rPr>
                          <w:b/>
                          <w:sz w:val="19"/>
                          <w:szCs w:val="19"/>
                          <w:lang w:val="en-GB"/>
                        </w:rPr>
                        <w:t>)</w:t>
                      </w:r>
                    </w:p>
                    <w:p w14:paraId="26512115"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Scope of transactions covered</w:t>
                      </w:r>
                    </w:p>
                    <w:p w14:paraId="116ED702"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Securities covered: § 2 Nr. 1 WpPG, Art. 2 lit. a PR</w:t>
                      </w:r>
                    </w:p>
                    <w:p w14:paraId="643B19ED" w14:textId="77777777" w:rsidR="00CD4F5B" w:rsidRPr="00C321F2" w:rsidRDefault="00CD4F5B" w:rsidP="00AB42AA">
                      <w:pPr>
                        <w:pStyle w:val="Listenabsatz"/>
                        <w:numPr>
                          <w:ilvl w:val="2"/>
                          <w:numId w:val="4"/>
                        </w:numPr>
                        <w:contextualSpacing w:val="0"/>
                        <w:rPr>
                          <w:sz w:val="19"/>
                          <w:szCs w:val="19"/>
                          <w:lang w:val="en-GB"/>
                        </w:rPr>
                      </w:pPr>
                      <w:r>
                        <w:rPr>
                          <w:sz w:val="19"/>
                          <w:szCs w:val="19"/>
                          <w:lang w:val="en-GB"/>
                        </w:rPr>
                        <w:t xml:space="preserve">Relevant transactions </w:t>
                      </w:r>
                    </w:p>
                    <w:p w14:paraId="4A5E8DC3" w14:textId="77777777" w:rsidR="00CD4F5B" w:rsidRDefault="00CD4F5B" w:rsidP="00AB42AA">
                      <w:pPr>
                        <w:pStyle w:val="Listenabsatz"/>
                        <w:numPr>
                          <w:ilvl w:val="3"/>
                          <w:numId w:val="4"/>
                        </w:numPr>
                        <w:contextualSpacing w:val="0"/>
                        <w:rPr>
                          <w:sz w:val="19"/>
                          <w:szCs w:val="19"/>
                          <w:lang w:val="en-GB"/>
                        </w:rPr>
                      </w:pPr>
                      <w:r>
                        <w:rPr>
                          <w:sz w:val="19"/>
                          <w:szCs w:val="19"/>
                          <w:lang w:val="en-GB"/>
                        </w:rPr>
                        <w:t xml:space="preserve">Admission </w:t>
                      </w:r>
                      <w:r w:rsidRPr="00C321F2">
                        <w:rPr>
                          <w:sz w:val="19"/>
                          <w:szCs w:val="19"/>
                          <w:lang w:val="en-GB"/>
                        </w:rPr>
                        <w:t xml:space="preserve">to regulated market (§ 2 Nr. 8 WpPG, Art. 2 lit. j PR), </w:t>
                      </w:r>
                      <w:r>
                        <w:rPr>
                          <w:sz w:val="19"/>
                          <w:szCs w:val="19"/>
                          <w:lang w:val="en-GB"/>
                        </w:rPr>
                        <w:t>or</w:t>
                      </w:r>
                    </w:p>
                    <w:p w14:paraId="28714490" w14:textId="77777777" w:rsidR="00CD4F5B" w:rsidRPr="00C321F2" w:rsidRDefault="00CD4F5B" w:rsidP="00AB42AA">
                      <w:pPr>
                        <w:pStyle w:val="Listenabsatz"/>
                        <w:numPr>
                          <w:ilvl w:val="3"/>
                          <w:numId w:val="4"/>
                        </w:numPr>
                        <w:contextualSpacing w:val="0"/>
                        <w:rPr>
                          <w:sz w:val="19"/>
                          <w:szCs w:val="19"/>
                          <w:lang w:val="en-GB"/>
                        </w:rPr>
                      </w:pPr>
                      <w:r>
                        <w:rPr>
                          <w:sz w:val="19"/>
                          <w:szCs w:val="19"/>
                          <w:lang w:val="en-GB"/>
                        </w:rPr>
                        <w:t>P</w:t>
                      </w:r>
                      <w:r w:rsidRPr="00C321F2">
                        <w:rPr>
                          <w:sz w:val="19"/>
                          <w:szCs w:val="19"/>
                          <w:lang w:val="en-GB"/>
                        </w:rPr>
                        <w:t xml:space="preserve">ublic </w:t>
                      </w:r>
                      <w:r>
                        <w:rPr>
                          <w:sz w:val="19"/>
                          <w:szCs w:val="19"/>
                          <w:lang w:val="en-GB"/>
                        </w:rPr>
                        <w:t xml:space="preserve">offering </w:t>
                      </w:r>
                      <w:r w:rsidRPr="00C321F2">
                        <w:rPr>
                          <w:sz w:val="19"/>
                          <w:szCs w:val="19"/>
                          <w:lang w:val="en-GB"/>
                        </w:rPr>
                        <w:t>(§ 2 Nr. 2 WpPG, Art. 2 lit. d PR)</w:t>
                      </w:r>
                    </w:p>
                    <w:p w14:paraId="1C60102C"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Acquisition 6 mths after admission (§ 9(1) WpPG) or start of offering (§ 10 WpPG)</w:t>
                      </w:r>
                    </w:p>
                    <w:p w14:paraId="2C5922E1"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Prospectus is incorrect or incomplete in material aspects, § 9 I 1 WpPG</w:t>
                      </w:r>
                    </w:p>
                    <w:p w14:paraId="729BE2BC"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Relevant documents</w:t>
                      </w:r>
                    </w:p>
                    <w:p w14:paraId="61562DB2"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Incorrect or incomplete in material aspects, </w:t>
                      </w:r>
                      <w:r>
                        <w:rPr>
                          <w:sz w:val="19"/>
                          <w:szCs w:val="19"/>
                          <w:lang w:val="en-GB"/>
                        </w:rPr>
                        <w:t>e.g.</w:t>
                      </w:r>
                    </w:p>
                    <w:p w14:paraId="4223F8FB" w14:textId="77777777" w:rsidR="00CD4F5B" w:rsidRDefault="00CD4F5B" w:rsidP="00AB42AA">
                      <w:pPr>
                        <w:pStyle w:val="Listenabsatz"/>
                        <w:numPr>
                          <w:ilvl w:val="3"/>
                          <w:numId w:val="4"/>
                        </w:numPr>
                        <w:contextualSpacing w:val="0"/>
                        <w:rPr>
                          <w:sz w:val="19"/>
                          <w:szCs w:val="19"/>
                          <w:lang w:val="en-GB"/>
                        </w:rPr>
                      </w:pPr>
                      <w:r>
                        <w:rPr>
                          <w:sz w:val="19"/>
                          <w:szCs w:val="19"/>
                          <w:lang w:val="en-GB"/>
                        </w:rPr>
                        <w:t>A</w:t>
                      </w:r>
                      <w:r w:rsidRPr="00C321F2">
                        <w:rPr>
                          <w:sz w:val="19"/>
                          <w:szCs w:val="19"/>
                          <w:lang w:val="en-GB"/>
                        </w:rPr>
                        <w:t>rt. 6(1), (2) PR: “necessary information material to investor for making informed assessment”, “easily analysable, concise and comprehensible”</w:t>
                      </w:r>
                    </w:p>
                    <w:p w14:paraId="79137D90" w14:textId="77777777" w:rsidR="00CD4F5B" w:rsidRPr="00C321F2" w:rsidRDefault="00CD4F5B" w:rsidP="00AB42AA">
                      <w:pPr>
                        <w:pStyle w:val="Listenabsatz"/>
                        <w:numPr>
                          <w:ilvl w:val="3"/>
                          <w:numId w:val="4"/>
                        </w:numPr>
                        <w:contextualSpacing w:val="0"/>
                        <w:rPr>
                          <w:sz w:val="19"/>
                          <w:szCs w:val="19"/>
                          <w:lang w:val="en-GB"/>
                        </w:rPr>
                      </w:pPr>
                      <w:r>
                        <w:rPr>
                          <w:sz w:val="19"/>
                          <w:szCs w:val="19"/>
                          <w:lang w:val="en-GB"/>
                        </w:rPr>
                        <w:t>A</w:t>
                      </w:r>
                      <w:r w:rsidRPr="00C321F2">
                        <w:rPr>
                          <w:sz w:val="19"/>
                          <w:szCs w:val="19"/>
                          <w:lang w:val="en-GB"/>
                        </w:rPr>
                        <w:t>rt. 13 PR, delegated regulation 980/2019: minimum requirements</w:t>
                      </w:r>
                    </w:p>
                    <w:p w14:paraId="7BC4E8FB" w14:textId="77777777" w:rsidR="00CD4F5B" w:rsidRPr="00C321F2" w:rsidRDefault="00CD4F5B" w:rsidP="00AB42AA">
                      <w:pPr>
                        <w:pStyle w:val="Listenabsatz"/>
                        <w:numPr>
                          <w:ilvl w:val="3"/>
                          <w:numId w:val="4"/>
                        </w:numPr>
                        <w:contextualSpacing w:val="0"/>
                        <w:rPr>
                          <w:sz w:val="19"/>
                          <w:szCs w:val="19"/>
                          <w:lang w:val="en-GB"/>
                        </w:rPr>
                      </w:pPr>
                      <w:r>
                        <w:rPr>
                          <w:sz w:val="19"/>
                          <w:szCs w:val="19"/>
                          <w:lang w:val="en-GB"/>
                        </w:rPr>
                        <w:t>Art. 16 PR, risk factors</w:t>
                      </w:r>
                    </w:p>
                    <w:p w14:paraId="4C2AE623"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Failure to publish appropriate supplement, art.  23 PR</w:t>
                      </w:r>
                    </w:p>
                    <w:p w14:paraId="24CB976C"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Persons liable for damages</w:t>
                      </w:r>
                    </w:p>
                    <w:p w14:paraId="317CC162"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Persons responsible for the prospectus, § 9(1)(1), § 8 WpPG, art. 11(1) PR</w:t>
                      </w:r>
                    </w:p>
                    <w:p w14:paraId="1A139A74"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Persons sponsoring/initiating the prospectus, § 9(1)(2) WpPG</w:t>
                      </w:r>
                    </w:p>
                    <w:p w14:paraId="7D192369"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No exclusion of liability</w:t>
                      </w:r>
                    </w:p>
                    <w:p w14:paraId="48707A17" w14:textId="77777777"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Lack of gross negligence/intentional conduct, § 12(1) WpPG</w:t>
                      </w:r>
                    </w:p>
                    <w:p w14:paraId="1E08A371" w14:textId="51D88611"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Liability excluded under </w:t>
                      </w:r>
                      <w:r w:rsidR="009B69BB">
                        <w:rPr>
                          <w:sz w:val="19"/>
                          <w:szCs w:val="19"/>
                          <w:lang w:val="en-GB"/>
                        </w:rPr>
                        <w:t>§ </w:t>
                      </w:r>
                      <w:r w:rsidRPr="00C321F2">
                        <w:rPr>
                          <w:sz w:val="19"/>
                          <w:szCs w:val="19"/>
                          <w:lang w:val="en-GB"/>
                        </w:rPr>
                        <w:t>12(2) WpPG, - most relevant examples:</w:t>
                      </w:r>
                    </w:p>
                    <w:p w14:paraId="4C72ECC8" w14:textId="77777777" w:rsidR="00CD4F5B" w:rsidRPr="00C321F2" w:rsidRDefault="00CD4F5B" w:rsidP="00AB42AA">
                      <w:pPr>
                        <w:pStyle w:val="Listenabsatz"/>
                        <w:numPr>
                          <w:ilvl w:val="3"/>
                          <w:numId w:val="4"/>
                        </w:numPr>
                        <w:contextualSpacing w:val="0"/>
                        <w:rPr>
                          <w:sz w:val="19"/>
                          <w:szCs w:val="19"/>
                          <w:lang w:val="en-GB"/>
                        </w:rPr>
                      </w:pPr>
                      <w:r w:rsidRPr="00C321F2">
                        <w:rPr>
                          <w:sz w:val="19"/>
                          <w:szCs w:val="19"/>
                          <w:lang w:val="en-GB"/>
                        </w:rPr>
                        <w:t>Securities not acquired on the basis of the prospectus, § 12(2)(1) WpPG</w:t>
                      </w:r>
                    </w:p>
                    <w:p w14:paraId="6FF2A07A" w14:textId="77777777" w:rsidR="00CD4F5B" w:rsidRPr="00C321F2" w:rsidRDefault="00CD4F5B" w:rsidP="00AB42AA">
                      <w:pPr>
                        <w:pStyle w:val="Listenabsatz"/>
                        <w:numPr>
                          <w:ilvl w:val="3"/>
                          <w:numId w:val="4"/>
                        </w:numPr>
                        <w:contextualSpacing w:val="0"/>
                        <w:rPr>
                          <w:sz w:val="19"/>
                          <w:szCs w:val="19"/>
                          <w:lang w:val="en-GB"/>
                        </w:rPr>
                      </w:pPr>
                      <w:r w:rsidRPr="00C321F2">
                        <w:rPr>
                          <w:sz w:val="19"/>
                          <w:szCs w:val="19"/>
                          <w:lang w:val="en-GB"/>
                        </w:rPr>
                        <w:t>Facts did not contribute to reduction of price, § 12(2)(2) WpPG</w:t>
                      </w:r>
                    </w:p>
                    <w:p w14:paraId="4A0350C5"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Damages</w:t>
                      </w:r>
                    </w:p>
                    <w:p w14:paraId="7C3E777F" w14:textId="37BDC486"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Acquisition price (max. placement price) + </w:t>
                      </w:r>
                      <w:r w:rsidR="009B762B">
                        <w:rPr>
                          <w:sz w:val="19"/>
                          <w:szCs w:val="19"/>
                          <w:lang w:val="en-GB"/>
                        </w:rPr>
                        <w:t xml:space="preserve">usual </w:t>
                      </w:r>
                      <w:r w:rsidRPr="00C321F2">
                        <w:rPr>
                          <w:sz w:val="19"/>
                          <w:szCs w:val="19"/>
                          <w:lang w:val="en-GB"/>
                        </w:rPr>
                        <w:t>costs, § 9(1) WpPG, vs. transfer of securities</w:t>
                      </w:r>
                    </w:p>
                    <w:p w14:paraId="037B2C7D" w14:textId="476DEDE9" w:rsidR="00CD4F5B" w:rsidRPr="00C321F2" w:rsidRDefault="00CD4F5B" w:rsidP="00AB42AA">
                      <w:pPr>
                        <w:pStyle w:val="Listenabsatz"/>
                        <w:numPr>
                          <w:ilvl w:val="2"/>
                          <w:numId w:val="4"/>
                        </w:numPr>
                        <w:contextualSpacing w:val="0"/>
                        <w:rPr>
                          <w:sz w:val="19"/>
                          <w:szCs w:val="19"/>
                          <w:lang w:val="en-GB"/>
                        </w:rPr>
                      </w:pPr>
                      <w:r w:rsidRPr="00C321F2">
                        <w:rPr>
                          <w:sz w:val="19"/>
                          <w:szCs w:val="19"/>
                          <w:lang w:val="en-GB"/>
                        </w:rPr>
                        <w:t xml:space="preserve">Difference between acquisition price (max. placement price) and proceeds from sale, </w:t>
                      </w:r>
                      <w:r w:rsidR="00986335">
                        <w:rPr>
                          <w:sz w:val="19"/>
                          <w:szCs w:val="19"/>
                          <w:lang w:val="en-GB"/>
                        </w:rPr>
                        <w:t xml:space="preserve">usual </w:t>
                      </w:r>
                      <w:r w:rsidRPr="00C321F2">
                        <w:rPr>
                          <w:sz w:val="19"/>
                          <w:szCs w:val="19"/>
                          <w:lang w:val="en-GB"/>
                        </w:rPr>
                        <w:t>costs, § 9(2) WpPG</w:t>
                      </w:r>
                    </w:p>
                    <w:p w14:paraId="276679E0" w14:textId="77777777" w:rsidR="00CD4F5B" w:rsidRPr="00C321F2" w:rsidRDefault="00CD4F5B" w:rsidP="00AB42AA">
                      <w:pPr>
                        <w:pStyle w:val="Listenabsatz"/>
                        <w:numPr>
                          <w:ilvl w:val="0"/>
                          <w:numId w:val="4"/>
                        </w:numPr>
                        <w:contextualSpacing w:val="0"/>
                        <w:rPr>
                          <w:b/>
                          <w:sz w:val="19"/>
                          <w:szCs w:val="19"/>
                          <w:lang w:val="en-GB"/>
                        </w:rPr>
                      </w:pPr>
                      <w:r w:rsidRPr="00C321F2">
                        <w:rPr>
                          <w:b/>
                          <w:sz w:val="19"/>
                          <w:szCs w:val="19"/>
                          <w:lang w:val="en-GB"/>
                        </w:rPr>
                        <w:t>Other bases for liability attaching to prospectuses, e.g., §§ 20ff. VermAnlG, § 306 KAGB</w:t>
                      </w:r>
                    </w:p>
                    <w:p w14:paraId="6F665296" w14:textId="77777777" w:rsidR="00CD4F5B" w:rsidRPr="00C321F2" w:rsidRDefault="00CD4F5B" w:rsidP="00AB42AA">
                      <w:pPr>
                        <w:pStyle w:val="Listenabsatz"/>
                        <w:numPr>
                          <w:ilvl w:val="0"/>
                          <w:numId w:val="4"/>
                        </w:numPr>
                        <w:contextualSpacing w:val="0"/>
                        <w:rPr>
                          <w:b/>
                          <w:sz w:val="19"/>
                          <w:szCs w:val="19"/>
                          <w:lang w:val="en-GB"/>
                        </w:rPr>
                      </w:pPr>
                      <w:r w:rsidRPr="00C321F2">
                        <w:rPr>
                          <w:b/>
                          <w:sz w:val="19"/>
                          <w:szCs w:val="19"/>
                          <w:lang w:val="en-GB"/>
                        </w:rPr>
                        <w:t>Liability under general tort law principles</w:t>
                      </w:r>
                    </w:p>
                    <w:p w14:paraId="437B28D2" w14:textId="77777777" w:rsidR="00CD4F5B" w:rsidRPr="00C321F2" w:rsidRDefault="00CD4F5B" w:rsidP="00AB42AA">
                      <w:pPr>
                        <w:pStyle w:val="Listenabsatz"/>
                        <w:numPr>
                          <w:ilvl w:val="1"/>
                          <w:numId w:val="4"/>
                        </w:numPr>
                        <w:contextualSpacing w:val="0"/>
                        <w:rPr>
                          <w:sz w:val="19"/>
                          <w:szCs w:val="19"/>
                          <w:lang w:val="en-GB"/>
                        </w:rPr>
                      </w:pPr>
                      <w:r w:rsidRPr="00C321F2">
                        <w:rPr>
                          <w:sz w:val="19"/>
                          <w:szCs w:val="19"/>
                          <w:lang w:val="en-GB"/>
                        </w:rPr>
                        <w:t>§ 823(2) BGB, e.g., in conjunction with § 400 AktG, § 332 HGB, §§ 263, 264a StGB</w:t>
                      </w:r>
                    </w:p>
                    <w:p w14:paraId="1A3FBF99" w14:textId="622DE260" w:rsidR="00CD4F5B" w:rsidRPr="009B69BB" w:rsidRDefault="00CD4F5B" w:rsidP="00AB42AA">
                      <w:pPr>
                        <w:pStyle w:val="Listenabsatz"/>
                        <w:numPr>
                          <w:ilvl w:val="1"/>
                          <w:numId w:val="4"/>
                        </w:numPr>
                        <w:contextualSpacing w:val="0"/>
                        <w:rPr>
                          <w:sz w:val="19"/>
                          <w:szCs w:val="19"/>
                          <w:lang w:val="en-GB"/>
                        </w:rPr>
                      </w:pPr>
                      <w:r w:rsidRPr="00C321F2">
                        <w:rPr>
                          <w:sz w:val="19"/>
                          <w:szCs w:val="19"/>
                          <w:lang w:val="en-GB"/>
                        </w:rPr>
                        <w:t>§ 826 BGB</w:t>
                      </w:r>
                    </w:p>
                  </w:txbxContent>
                </v:textbox>
              </v:shape>
            </w:pict>
          </mc:Fallback>
        </mc:AlternateContent>
      </w:r>
    </w:p>
    <w:p w14:paraId="6E143F5D" w14:textId="34EA943E" w:rsidR="00E51CCF" w:rsidRPr="002121A4" w:rsidRDefault="00E51CCF" w:rsidP="00A83093">
      <w:pPr>
        <w:pStyle w:val="berschrift1"/>
        <w:rPr>
          <w:lang w:val="en-GB"/>
        </w:rPr>
      </w:pPr>
      <w:bookmarkStart w:id="106" w:name="_Ref125374739"/>
      <w:bookmarkStart w:id="107" w:name="_Toc194577773"/>
      <w:bookmarkEnd w:id="103"/>
      <w:r w:rsidRPr="002121A4">
        <w:rPr>
          <w:lang w:val="en-GB"/>
        </w:rPr>
        <w:lastRenderedPageBreak/>
        <w:t>Market Abuse</w:t>
      </w:r>
      <w:bookmarkEnd w:id="106"/>
      <w:bookmarkEnd w:id="107"/>
      <w:r w:rsidRPr="002121A4">
        <w:rPr>
          <w:lang w:val="en-GB"/>
        </w:rPr>
        <w:t xml:space="preserve"> </w:t>
      </w:r>
    </w:p>
    <w:p w14:paraId="19CFBA1D" w14:textId="3480D6FA" w:rsidR="00E51CCF" w:rsidRPr="002121A4" w:rsidRDefault="00B01813" w:rsidP="00A83093">
      <w:pPr>
        <w:pStyle w:val="berschrift2"/>
        <w:rPr>
          <w:lang w:val="en-GB"/>
        </w:rPr>
      </w:pPr>
      <w:bookmarkStart w:id="108" w:name="_Toc194577774"/>
      <w:r w:rsidRPr="002121A4">
        <w:rPr>
          <w:lang w:val="en-GB"/>
        </w:rPr>
        <w:t>Overview</w:t>
      </w:r>
      <w:bookmarkEnd w:id="108"/>
    </w:p>
    <w:p w14:paraId="5497B14D" w14:textId="0B6D7126" w:rsidR="003705A5" w:rsidRPr="002121A4" w:rsidRDefault="00D75A1C" w:rsidP="006A2CFC">
      <w:pPr>
        <w:pStyle w:val="Standardwithparanumbering"/>
      </w:pPr>
      <w:bookmarkStart w:id="109" w:name="_Ref129767603"/>
      <w:r w:rsidRPr="002121A4">
        <w:rPr>
          <w:noProof/>
        </w:rPr>
        <mc:AlternateContent>
          <mc:Choice Requires="wps">
            <w:drawing>
              <wp:anchor distT="0" distB="0" distL="114300" distR="114300" simplePos="0" relativeHeight="251659776" behindDoc="0" locked="0" layoutInCell="1" allowOverlap="1" wp14:anchorId="562ADE00" wp14:editId="79B00C32">
                <wp:simplePos x="0" y="0"/>
                <wp:positionH relativeFrom="margin">
                  <wp:posOffset>3200400</wp:posOffset>
                </wp:positionH>
                <wp:positionV relativeFrom="paragraph">
                  <wp:posOffset>787400</wp:posOffset>
                </wp:positionV>
                <wp:extent cx="2565400" cy="2818130"/>
                <wp:effectExtent l="0" t="0" r="25400" b="2032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2818130"/>
                        </a:xfrm>
                        <a:prstGeom prst="rect">
                          <a:avLst/>
                        </a:prstGeom>
                        <a:solidFill>
                          <a:srgbClr val="FFFFFF"/>
                        </a:solidFill>
                        <a:ln w="9525">
                          <a:solidFill>
                            <a:schemeClr val="bg1">
                              <a:lumMod val="65000"/>
                            </a:schemeClr>
                          </a:solidFill>
                          <a:miter lim="800000"/>
                          <a:headEnd/>
                          <a:tailEnd/>
                        </a:ln>
                      </wps:spPr>
                      <wps:txbx>
                        <w:txbxContent>
                          <w:p w14:paraId="76F97146" w14:textId="3D5308E4" w:rsidR="00D75A1C" w:rsidRPr="0049581C" w:rsidRDefault="00D75A1C" w:rsidP="00D75A1C">
                            <w:pPr>
                              <w:spacing w:before="0"/>
                              <w:ind w:left="714" w:hanging="357"/>
                              <w:jc w:val="center"/>
                              <w:rPr>
                                <w:b/>
                                <w:sz w:val="19"/>
                                <w:szCs w:val="19"/>
                                <w:lang w:val="en-US"/>
                              </w:rPr>
                            </w:pPr>
                            <w:r>
                              <w:rPr>
                                <w:b/>
                                <w:sz w:val="19"/>
                                <w:szCs w:val="19"/>
                                <w:lang w:val="en-US"/>
                              </w:rPr>
                              <w:t>MAR level 2</w:t>
                            </w:r>
                            <w:r w:rsidR="00764D61">
                              <w:rPr>
                                <w:b/>
                                <w:sz w:val="19"/>
                                <w:szCs w:val="19"/>
                                <w:lang w:val="en-US"/>
                              </w:rPr>
                              <w:t xml:space="preserve"> and</w:t>
                            </w:r>
                            <w:r>
                              <w:rPr>
                                <w:b/>
                                <w:sz w:val="19"/>
                                <w:szCs w:val="19"/>
                                <w:lang w:val="en-US"/>
                              </w:rPr>
                              <w:t xml:space="preserve"> 3 texts</w:t>
                            </w:r>
                          </w:p>
                          <w:p w14:paraId="4CD869CF" w14:textId="3D753E5F" w:rsidR="00D75A1C" w:rsidRDefault="00D75A1C" w:rsidP="00D75A1C">
                            <w:pPr>
                              <w:pStyle w:val="Standardwithparanumbering"/>
                              <w:numPr>
                                <w:ilvl w:val="0"/>
                                <w:numId w:val="0"/>
                              </w:numPr>
                              <w:spacing w:before="0"/>
                              <w:rPr>
                                <w:sz w:val="19"/>
                                <w:szCs w:val="19"/>
                              </w:rPr>
                            </w:pPr>
                            <w:r>
                              <w:rPr>
                                <w:sz w:val="19"/>
                                <w:szCs w:val="19"/>
                              </w:rPr>
                              <w:t>The most essential texts at level 2, 3 and 4 are:</w:t>
                            </w:r>
                          </w:p>
                          <w:p w14:paraId="06964D2C" w14:textId="535B8E3F" w:rsidR="00D75A1C" w:rsidRPr="00D75A1C" w:rsidRDefault="00D75A1C" w:rsidP="00AB42AA">
                            <w:pPr>
                              <w:pStyle w:val="Standardwithparanumbering"/>
                              <w:numPr>
                                <w:ilvl w:val="0"/>
                                <w:numId w:val="12"/>
                              </w:numPr>
                              <w:spacing w:before="0"/>
                              <w:jc w:val="left"/>
                              <w:rPr>
                                <w:sz w:val="19"/>
                                <w:szCs w:val="19"/>
                              </w:rPr>
                            </w:pPr>
                            <w:r w:rsidRPr="00D75A1C">
                              <w:rPr>
                                <w:sz w:val="19"/>
                                <w:szCs w:val="19"/>
                              </w:rPr>
                              <w:t xml:space="preserve">Commission Implementing Regulation (EU) 2016/1055 of 29 June 2016 for appropriate public disclosure of inside information </w:t>
                            </w:r>
                          </w:p>
                          <w:p w14:paraId="770E39C0" w14:textId="073B3CC0" w:rsidR="00D75A1C" w:rsidRDefault="00D75A1C" w:rsidP="00AB42AA">
                            <w:pPr>
                              <w:pStyle w:val="Standardwithparanumbering"/>
                              <w:numPr>
                                <w:ilvl w:val="0"/>
                                <w:numId w:val="12"/>
                              </w:numPr>
                              <w:spacing w:before="0"/>
                              <w:jc w:val="left"/>
                              <w:rPr>
                                <w:sz w:val="19"/>
                                <w:szCs w:val="19"/>
                              </w:rPr>
                            </w:pPr>
                            <w:r>
                              <w:rPr>
                                <w:sz w:val="19"/>
                                <w:szCs w:val="19"/>
                              </w:rPr>
                              <w:t>ESMA Guideline on delay of disclosure (</w:t>
                            </w:r>
                            <w:hyperlink r:id="rId25" w:history="1">
                              <w:r w:rsidRPr="00951D98">
                                <w:rPr>
                                  <w:rStyle w:val="Hyperlink"/>
                                  <w:sz w:val="19"/>
                                  <w:szCs w:val="19"/>
                                </w:rPr>
                                <w:t>https://www.esma.europa.eu/sites/default/files/library/2016-1478_mar_guidelines_-_legitimate_interests.pdf</w:t>
                              </w:r>
                            </w:hyperlink>
                            <w:r>
                              <w:rPr>
                                <w:sz w:val="19"/>
                                <w:szCs w:val="19"/>
                              </w:rPr>
                              <w:t xml:space="preserve">) </w:t>
                            </w:r>
                          </w:p>
                          <w:p w14:paraId="55E69708" w14:textId="7D1DB0A2" w:rsidR="00D75A1C" w:rsidRPr="00881EF0" w:rsidRDefault="00D75A1C" w:rsidP="00AB42AA">
                            <w:pPr>
                              <w:pStyle w:val="Standardwithparanumbering"/>
                              <w:numPr>
                                <w:ilvl w:val="0"/>
                                <w:numId w:val="12"/>
                              </w:numPr>
                              <w:spacing w:before="0"/>
                              <w:jc w:val="left"/>
                              <w:rPr>
                                <w:sz w:val="19"/>
                                <w:szCs w:val="19"/>
                                <w:lang w:val="pt-BR"/>
                              </w:rPr>
                            </w:pPr>
                            <w:r w:rsidRPr="00881EF0">
                              <w:rPr>
                                <w:sz w:val="19"/>
                                <w:szCs w:val="19"/>
                                <w:lang w:val="pt-BR"/>
                              </w:rPr>
                              <w:t>ESMA Q&amp;A (</w:t>
                            </w:r>
                            <w:hyperlink r:id="rId26" w:history="1">
                              <w:r w:rsidRPr="00881EF0">
                                <w:rPr>
                                  <w:rStyle w:val="Hyperlink"/>
                                  <w:sz w:val="19"/>
                                  <w:szCs w:val="19"/>
                                  <w:lang w:val="pt-BR"/>
                                </w:rPr>
                                <w:t>https://www.esma.europa.eu/sites/default/files/library/esma70-145-111_qa_on_mar.pdf</w:t>
                              </w:r>
                            </w:hyperlink>
                            <w:r w:rsidRPr="00881EF0">
                              <w:rPr>
                                <w:sz w:val="19"/>
                                <w:szCs w:val="19"/>
                                <w:lang w:val="pt-BR"/>
                              </w:rPr>
                              <w:t xml:space="preserve">) </w:t>
                            </w:r>
                          </w:p>
                          <w:p w14:paraId="5A7B7CFE" w14:textId="79E658BC" w:rsidR="00D75A1C" w:rsidRPr="0049581C" w:rsidRDefault="005364F3" w:rsidP="00D75A1C">
                            <w:pPr>
                              <w:pStyle w:val="Standardwithparanumbering"/>
                              <w:numPr>
                                <w:ilvl w:val="0"/>
                                <w:numId w:val="0"/>
                              </w:numPr>
                              <w:spacing w:before="0"/>
                              <w:rPr>
                                <w:sz w:val="19"/>
                                <w:szCs w:val="19"/>
                              </w:rPr>
                            </w:pPr>
                            <w:r>
                              <w:rPr>
                                <w:sz w:val="19"/>
                                <w:szCs w:val="19"/>
                              </w:rPr>
                              <w:t xml:space="preserve">For additional </w:t>
                            </w:r>
                            <w:r w:rsidR="00D75A1C">
                              <w:rPr>
                                <w:sz w:val="19"/>
                                <w:szCs w:val="19"/>
                              </w:rPr>
                              <w:t xml:space="preserve">level 2 texts relating to MAR </w:t>
                            </w:r>
                            <w:r>
                              <w:rPr>
                                <w:sz w:val="19"/>
                                <w:szCs w:val="19"/>
                              </w:rPr>
                              <w:t>see:</w:t>
                            </w:r>
                            <w:r w:rsidR="00D75A1C">
                              <w:rPr>
                                <w:sz w:val="19"/>
                                <w:szCs w:val="19"/>
                              </w:rPr>
                              <w:t xml:space="preserve"> </w:t>
                            </w:r>
                            <w:hyperlink r:id="rId27" w:history="1">
                              <w:r w:rsidR="00D75A1C" w:rsidRPr="00951D98">
                                <w:rPr>
                                  <w:rStyle w:val="Hyperlink"/>
                                  <w:sz w:val="19"/>
                                  <w:szCs w:val="19"/>
                                </w:rPr>
                                <w:t>https://finance.ec.europa.eu/system/files/2022-10/mar-level-2-measures-full_en.pdf</w:t>
                              </w:r>
                            </w:hyperlink>
                            <w:r w:rsidR="00D75A1C">
                              <w:rPr>
                                <w:sz w:val="19"/>
                                <w:szCs w:val="19"/>
                              </w:rPr>
                              <w:t xml:space="preserve">. </w:t>
                            </w:r>
                          </w:p>
                          <w:p w14:paraId="4E771223" w14:textId="5D9FC20A" w:rsidR="00D75A1C" w:rsidRPr="00D75A1C" w:rsidRDefault="004C0B7D" w:rsidP="004C0B7D">
                            <w:pPr>
                              <w:pStyle w:val="Standardwithparanumbering"/>
                              <w:numPr>
                                <w:ilvl w:val="0"/>
                                <w:numId w:val="0"/>
                              </w:numPr>
                              <w:rPr>
                                <w:sz w:val="19"/>
                                <w:szCs w:val="19"/>
                              </w:rPr>
                            </w:pPr>
                            <w:r>
                              <w:rPr>
                                <w:sz w:val="19"/>
                                <w:szCs w:val="19"/>
                              </w:rPr>
                              <w:t xml:space="preserve">(links accessed </w:t>
                            </w:r>
                            <w:r w:rsidR="002C742D">
                              <w:rPr>
                                <w:sz w:val="19"/>
                                <w:szCs w:val="19"/>
                              </w:rPr>
                              <w:t>2 April 2025</w:t>
                            </w:r>
                            <w:r>
                              <w:rPr>
                                <w:sz w:val="19"/>
                                <w:szCs w:val="19"/>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62ADE00" id="_x0000_s1032" type="#_x0000_t202" style="position:absolute;left:0;text-align:left;margin-left:252pt;margin-top:62pt;width:202pt;height:221.9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" strokecolor="#a5a5a5 [2092]">
                <v:textbox>
                  <w:txbxContent>
                    <w:p w14:paraId="76F97146" w14:textId="3D5308E4" w:rsidR="00D75A1C" w:rsidRPr="0049581C" w:rsidRDefault="00D75A1C" w:rsidP="00D75A1C">
                      <w:pPr>
                        <w:spacing w:before="0"/>
                        <w:ind w:left="714" w:hanging="357"/>
                        <w:jc w:val="center"/>
                        <w:rPr>
                          <w:b/>
                          <w:sz w:val="19"/>
                          <w:szCs w:val="19"/>
                          <w:lang w:val="en-US"/>
                        </w:rPr>
                      </w:pPr>
                      <w:r>
                        <w:rPr>
                          <w:b/>
                          <w:sz w:val="19"/>
                          <w:szCs w:val="19"/>
                          <w:lang w:val="en-US"/>
                        </w:rPr>
                        <w:t>MAR level 2</w:t>
                      </w:r>
                      <w:r w:rsidR="00764D61">
                        <w:rPr>
                          <w:b/>
                          <w:sz w:val="19"/>
                          <w:szCs w:val="19"/>
                          <w:lang w:val="en-US"/>
                        </w:rPr>
                        <w:t xml:space="preserve"> and</w:t>
                      </w:r>
                      <w:r>
                        <w:rPr>
                          <w:b/>
                          <w:sz w:val="19"/>
                          <w:szCs w:val="19"/>
                          <w:lang w:val="en-US"/>
                        </w:rPr>
                        <w:t xml:space="preserve"> 3 texts</w:t>
                      </w:r>
                    </w:p>
                    <w:p w14:paraId="4CD869CF" w14:textId="3D753E5F" w:rsidR="00D75A1C" w:rsidRDefault="00D75A1C" w:rsidP="00D75A1C">
                      <w:pPr>
                        <w:pStyle w:val="Standardwithparanumbering"/>
                        <w:numPr>
                          <w:ilvl w:val="0"/>
                          <w:numId w:val="0"/>
                        </w:numPr>
                        <w:spacing w:before="0"/>
                        <w:rPr>
                          <w:sz w:val="19"/>
                          <w:szCs w:val="19"/>
                        </w:rPr>
                      </w:pPr>
                      <w:r>
                        <w:rPr>
                          <w:sz w:val="19"/>
                          <w:szCs w:val="19"/>
                        </w:rPr>
                        <w:t>The most essential texts at level 2, 3 and 4 are:</w:t>
                      </w:r>
                    </w:p>
                    <w:p w14:paraId="06964D2C" w14:textId="535B8E3F" w:rsidR="00D75A1C" w:rsidRPr="00D75A1C" w:rsidRDefault="00D75A1C" w:rsidP="00AB42AA">
                      <w:pPr>
                        <w:pStyle w:val="Standardwithparanumbering"/>
                        <w:numPr>
                          <w:ilvl w:val="0"/>
                          <w:numId w:val="12"/>
                        </w:numPr>
                        <w:spacing w:before="0"/>
                        <w:jc w:val="left"/>
                        <w:rPr>
                          <w:sz w:val="19"/>
                          <w:szCs w:val="19"/>
                        </w:rPr>
                      </w:pPr>
                      <w:r w:rsidRPr="00D75A1C">
                        <w:rPr>
                          <w:sz w:val="19"/>
                          <w:szCs w:val="19"/>
                        </w:rPr>
                        <w:t xml:space="preserve">Commission Implementing Regulation (EU) 2016/1055 of 29 June 2016 for appropriate public disclosure of inside information </w:t>
                      </w:r>
                    </w:p>
                    <w:p w14:paraId="770E39C0" w14:textId="073B3CC0" w:rsidR="00D75A1C" w:rsidRDefault="00D75A1C" w:rsidP="00AB42AA">
                      <w:pPr>
                        <w:pStyle w:val="Standardwithparanumbering"/>
                        <w:numPr>
                          <w:ilvl w:val="0"/>
                          <w:numId w:val="12"/>
                        </w:numPr>
                        <w:spacing w:before="0"/>
                        <w:jc w:val="left"/>
                        <w:rPr>
                          <w:sz w:val="19"/>
                          <w:szCs w:val="19"/>
                        </w:rPr>
                      </w:pPr>
                      <w:r>
                        <w:rPr>
                          <w:sz w:val="19"/>
                          <w:szCs w:val="19"/>
                        </w:rPr>
                        <w:t>ESMA Guideline on delay of disclosure (</w:t>
                      </w:r>
                      <w:hyperlink r:id="rId28" w:history="1">
                        <w:r w:rsidRPr="00951D98">
                          <w:rPr>
                            <w:rStyle w:val="Hyperlink"/>
                            <w:sz w:val="19"/>
                            <w:szCs w:val="19"/>
                          </w:rPr>
                          <w:t>https://www.esma.europa.eu/sites/default/files/library/2016-1478_mar_guidelines_-_legitimate_interests.pdf</w:t>
                        </w:r>
                      </w:hyperlink>
                      <w:r>
                        <w:rPr>
                          <w:sz w:val="19"/>
                          <w:szCs w:val="19"/>
                        </w:rPr>
                        <w:t xml:space="preserve">) </w:t>
                      </w:r>
                    </w:p>
                    <w:p w14:paraId="55E69708" w14:textId="7D1DB0A2" w:rsidR="00D75A1C" w:rsidRPr="00881EF0" w:rsidRDefault="00D75A1C" w:rsidP="00AB42AA">
                      <w:pPr>
                        <w:pStyle w:val="Standardwithparanumbering"/>
                        <w:numPr>
                          <w:ilvl w:val="0"/>
                          <w:numId w:val="12"/>
                        </w:numPr>
                        <w:spacing w:before="0"/>
                        <w:jc w:val="left"/>
                        <w:rPr>
                          <w:sz w:val="19"/>
                          <w:szCs w:val="19"/>
                          <w:lang w:val="pt-BR"/>
                        </w:rPr>
                      </w:pPr>
                      <w:r w:rsidRPr="00881EF0">
                        <w:rPr>
                          <w:sz w:val="19"/>
                          <w:szCs w:val="19"/>
                          <w:lang w:val="pt-BR"/>
                        </w:rPr>
                        <w:t>ESMA Q&amp;A (</w:t>
                      </w:r>
                      <w:hyperlink r:id="rId29" w:history="1">
                        <w:r w:rsidRPr="00881EF0">
                          <w:rPr>
                            <w:rStyle w:val="Hyperlink"/>
                            <w:sz w:val="19"/>
                            <w:szCs w:val="19"/>
                            <w:lang w:val="pt-BR"/>
                          </w:rPr>
                          <w:t>https://www.esma.europa.eu/sites/default/files/library/esma70-145-111_qa_on_mar.pdf</w:t>
                        </w:r>
                      </w:hyperlink>
                      <w:r w:rsidRPr="00881EF0">
                        <w:rPr>
                          <w:sz w:val="19"/>
                          <w:szCs w:val="19"/>
                          <w:lang w:val="pt-BR"/>
                        </w:rPr>
                        <w:t xml:space="preserve">) </w:t>
                      </w:r>
                    </w:p>
                    <w:p w14:paraId="5A7B7CFE" w14:textId="79E658BC" w:rsidR="00D75A1C" w:rsidRPr="0049581C" w:rsidRDefault="005364F3" w:rsidP="00D75A1C">
                      <w:pPr>
                        <w:pStyle w:val="Standardwithparanumbering"/>
                        <w:numPr>
                          <w:ilvl w:val="0"/>
                          <w:numId w:val="0"/>
                        </w:numPr>
                        <w:spacing w:before="0"/>
                        <w:rPr>
                          <w:sz w:val="19"/>
                          <w:szCs w:val="19"/>
                        </w:rPr>
                      </w:pPr>
                      <w:r>
                        <w:rPr>
                          <w:sz w:val="19"/>
                          <w:szCs w:val="19"/>
                        </w:rPr>
                        <w:t xml:space="preserve">For additional </w:t>
                      </w:r>
                      <w:r w:rsidR="00D75A1C">
                        <w:rPr>
                          <w:sz w:val="19"/>
                          <w:szCs w:val="19"/>
                        </w:rPr>
                        <w:t xml:space="preserve">level 2 texts relating to MAR </w:t>
                      </w:r>
                      <w:r>
                        <w:rPr>
                          <w:sz w:val="19"/>
                          <w:szCs w:val="19"/>
                        </w:rPr>
                        <w:t>see:</w:t>
                      </w:r>
                      <w:r w:rsidR="00D75A1C">
                        <w:rPr>
                          <w:sz w:val="19"/>
                          <w:szCs w:val="19"/>
                        </w:rPr>
                        <w:t xml:space="preserve"> </w:t>
                      </w:r>
                      <w:hyperlink r:id="rId30" w:history="1">
                        <w:r w:rsidR="00D75A1C" w:rsidRPr="00951D98">
                          <w:rPr>
                            <w:rStyle w:val="Hyperlink"/>
                            <w:sz w:val="19"/>
                            <w:szCs w:val="19"/>
                          </w:rPr>
                          <w:t>https://finance.ec.europa.eu/system/files/2022-10/mar-level-2-measures-full_en.pdf</w:t>
                        </w:r>
                      </w:hyperlink>
                      <w:r w:rsidR="00D75A1C">
                        <w:rPr>
                          <w:sz w:val="19"/>
                          <w:szCs w:val="19"/>
                        </w:rPr>
                        <w:t xml:space="preserve">. </w:t>
                      </w:r>
                    </w:p>
                    <w:p w14:paraId="4E771223" w14:textId="5D9FC20A" w:rsidR="00D75A1C" w:rsidRPr="00D75A1C" w:rsidRDefault="004C0B7D" w:rsidP="004C0B7D">
                      <w:pPr>
                        <w:pStyle w:val="Standardwithparanumbering"/>
                        <w:numPr>
                          <w:ilvl w:val="0"/>
                          <w:numId w:val="0"/>
                        </w:numPr>
                        <w:rPr>
                          <w:sz w:val="19"/>
                          <w:szCs w:val="19"/>
                        </w:rPr>
                      </w:pPr>
                      <w:r>
                        <w:rPr>
                          <w:sz w:val="19"/>
                          <w:szCs w:val="19"/>
                        </w:rPr>
                        <w:t xml:space="preserve">(links accessed </w:t>
                      </w:r>
                      <w:r w:rsidR="002C742D">
                        <w:rPr>
                          <w:sz w:val="19"/>
                          <w:szCs w:val="19"/>
                        </w:rPr>
                        <w:t>2 April 2025</w:t>
                      </w:r>
                      <w:r>
                        <w:rPr>
                          <w:sz w:val="19"/>
                          <w:szCs w:val="19"/>
                        </w:rPr>
                        <w:t>)</w:t>
                      </w:r>
                    </w:p>
                  </w:txbxContent>
                </v:textbox>
                <w10:wrap type="square" anchorx="margin"/>
              </v:shape>
            </w:pict>
          </mc:Fallback>
        </mc:AlternateContent>
      </w:r>
      <w:r w:rsidR="001D2C01" w:rsidRPr="002121A4">
        <w:t>It is universally accepted</w:t>
      </w:r>
      <w:r w:rsidR="005D2A45" w:rsidRPr="002121A4">
        <w:t xml:space="preserve"> </w:t>
      </w:r>
      <w:r w:rsidR="000418C4" w:rsidRPr="002121A4">
        <w:t>that a</w:t>
      </w:r>
      <w:r w:rsidR="00A0630C" w:rsidRPr="002121A4">
        <w:t>n integrated, efficient and transparent financial market requires market integrity</w:t>
      </w:r>
      <w:r w:rsidR="000418C4" w:rsidRPr="002121A4">
        <w:t xml:space="preserve"> </w:t>
      </w:r>
      <w:r w:rsidR="00A0630C" w:rsidRPr="002121A4">
        <w:t>and public confidence in the integrity of financial markets.</w:t>
      </w:r>
      <w:r w:rsidR="00901332" w:rsidRPr="002121A4">
        <w:rPr>
          <w:rStyle w:val="Funotenzeichen"/>
        </w:rPr>
        <w:footnoteReference w:id="158"/>
      </w:r>
      <w:bookmarkStart w:id="110" w:name="_Hlk127354007"/>
      <w:r w:rsidR="000D4EB0" w:rsidRPr="002121A4">
        <w:t xml:space="preserve"> </w:t>
      </w:r>
      <w:r w:rsidR="001D2C01" w:rsidRPr="002121A4">
        <w:t>Therefore, EU capital market legislation in the EU deals specifically with market abuse that may harm market integrity and public confidence. The term “market abuse” encompasses insider dealing, the unlawful disclosure of inside information, and market manipulation.</w:t>
      </w:r>
      <w:r w:rsidR="001D2C01" w:rsidRPr="002121A4">
        <w:rPr>
          <w:rStyle w:val="Funotenzeichen"/>
        </w:rPr>
        <w:footnoteReference w:id="159"/>
      </w:r>
      <w:r w:rsidR="001D2C01" w:rsidRPr="002121A4">
        <w:t xml:space="preserve"> </w:t>
      </w:r>
      <w:r w:rsidR="00901332" w:rsidRPr="002121A4">
        <w:t>Pr</w:t>
      </w:r>
      <w:r w:rsidR="007E2003">
        <w:t>ev</w:t>
      </w:r>
      <w:r w:rsidR="00901332" w:rsidRPr="002121A4">
        <w:t>io</w:t>
      </w:r>
      <w:r w:rsidR="007E2003">
        <w:t>us</w:t>
      </w:r>
      <w:r w:rsidR="00901332" w:rsidRPr="002121A4">
        <w:t xml:space="preserve"> </w:t>
      </w:r>
      <w:r w:rsidR="00C266D4" w:rsidRPr="002121A4">
        <w:t xml:space="preserve">EU </w:t>
      </w:r>
      <w:r w:rsidR="00901332" w:rsidRPr="002121A4">
        <w:t>legislation</w:t>
      </w:r>
      <w:r w:rsidR="00C266D4" w:rsidRPr="002121A4">
        <w:t xml:space="preserve"> on market abuse</w:t>
      </w:r>
      <w:r w:rsidR="00901332" w:rsidRPr="002121A4">
        <w:t xml:space="preserve"> was based on </w:t>
      </w:r>
      <w:r w:rsidR="00B35094" w:rsidRPr="002121A4">
        <w:t xml:space="preserve">a </w:t>
      </w:r>
      <w:r w:rsidR="00901332" w:rsidRPr="002121A4">
        <w:t>directive that had to be implement</w:t>
      </w:r>
      <w:r w:rsidR="00B35094" w:rsidRPr="002121A4">
        <w:t>ed</w:t>
      </w:r>
      <w:r w:rsidR="00901332" w:rsidRPr="002121A4">
        <w:t xml:space="preserve"> by the Member States,</w:t>
      </w:r>
      <w:r w:rsidR="00901332" w:rsidRPr="002121A4">
        <w:rPr>
          <w:rStyle w:val="Funotenzeichen"/>
        </w:rPr>
        <w:footnoteReference w:id="160"/>
      </w:r>
      <w:r w:rsidR="00901332" w:rsidRPr="002121A4">
        <w:t xml:space="preserve"> but with a view </w:t>
      </w:r>
      <w:bookmarkEnd w:id="110"/>
      <w:r w:rsidR="00901332" w:rsidRPr="002121A4">
        <w:t>“</w:t>
      </w:r>
      <w:r w:rsidR="00A0630C" w:rsidRPr="002121A4">
        <w:t>to establish a more uniform and stronger framework in order to preserve market integrity, to avoid potential regulatory arbitrage, to ensure accountability in the event of attempted manipulation, and to provide more legal certainty and less regulatory complexity for market participants</w:t>
      </w:r>
      <w:r w:rsidR="00901332" w:rsidRPr="002121A4">
        <w:t>”,</w:t>
      </w:r>
      <w:r w:rsidR="00901332" w:rsidRPr="002121A4">
        <w:rPr>
          <w:rStyle w:val="Funotenzeichen"/>
        </w:rPr>
        <w:footnoteReference w:id="161"/>
      </w:r>
      <w:r w:rsidR="00901332" w:rsidRPr="002121A4">
        <w:t xml:space="preserve"> EU legislation is now dealing with market abuse essentially on the basis of a regulation that </w:t>
      </w:r>
      <w:r w:rsidR="00B35094" w:rsidRPr="002121A4">
        <w:t>is</w:t>
      </w:r>
      <w:r w:rsidR="00901332" w:rsidRPr="002121A4">
        <w:t xml:space="preserve"> of direct application, namely, Regulation (EU) No</w:t>
      </w:r>
      <w:r w:rsidR="005D2A45" w:rsidRPr="002121A4">
        <w:t> </w:t>
      </w:r>
      <w:r w:rsidR="00901332" w:rsidRPr="002121A4">
        <w:t>596/2014 on market abuse</w:t>
      </w:r>
      <w:r w:rsidR="00810702" w:rsidRPr="002121A4">
        <w:t>,</w:t>
      </w:r>
      <w:r w:rsidR="00901332" w:rsidRPr="002121A4">
        <w:t xml:space="preserve"> commonly referred to as “Market Abuse Regulation”</w:t>
      </w:r>
      <w:r w:rsidR="00A50744" w:rsidRPr="002121A4">
        <w:t xml:space="preserve"> (“MAR”)</w:t>
      </w:r>
      <w:r w:rsidR="00A0630C" w:rsidRPr="002121A4">
        <w:t>.</w:t>
      </w:r>
      <w:r w:rsidR="00901332" w:rsidRPr="002121A4">
        <w:t xml:space="preserve"> The MAR aims at removing </w:t>
      </w:r>
      <w:r w:rsidR="00A0630C" w:rsidRPr="002121A4">
        <w:t>divergences between national laws</w:t>
      </w:r>
      <w:r w:rsidR="00901332" w:rsidRPr="002121A4">
        <w:t>,</w:t>
      </w:r>
      <w:r w:rsidR="00A0630C" w:rsidRPr="002121A4">
        <w:t xml:space="preserve"> establishing a more uniform interpretation of the </w:t>
      </w:r>
      <w:r w:rsidR="00977254">
        <w:t>E</w:t>
      </w:r>
      <w:r w:rsidR="00A0630C" w:rsidRPr="002121A4">
        <w:t>U</w:t>
      </w:r>
      <w:r w:rsidR="00977254">
        <w:t>’s</w:t>
      </w:r>
      <w:r w:rsidR="008F4734">
        <w:t xml:space="preserve"> </w:t>
      </w:r>
      <w:r w:rsidR="00A0630C" w:rsidRPr="002121A4">
        <w:t xml:space="preserve">market abuse framework, </w:t>
      </w:r>
      <w:r w:rsidR="00901332" w:rsidRPr="002121A4">
        <w:t xml:space="preserve">reducing </w:t>
      </w:r>
      <w:r w:rsidR="00A0630C" w:rsidRPr="002121A4">
        <w:t xml:space="preserve">regulatory complexity and firms’ compliance costs, </w:t>
      </w:r>
      <w:r w:rsidR="00901332" w:rsidRPr="002121A4">
        <w:t xml:space="preserve">and </w:t>
      </w:r>
      <w:r w:rsidR="00A0630C" w:rsidRPr="002121A4">
        <w:t>eliminating distortions of competition.</w:t>
      </w:r>
      <w:r w:rsidR="00901332" w:rsidRPr="002121A4">
        <w:rPr>
          <w:rStyle w:val="Funotenzeichen"/>
        </w:rPr>
        <w:footnoteReference w:id="162"/>
      </w:r>
      <w:bookmarkEnd w:id="109"/>
    </w:p>
    <w:p w14:paraId="592D485A" w14:textId="01768FD1" w:rsidR="000D4EB0" w:rsidRPr="002121A4" w:rsidRDefault="000D4EB0" w:rsidP="00EB4520">
      <w:pPr>
        <w:pStyle w:val="Standardwithparanumbering"/>
      </w:pPr>
      <w:r w:rsidRPr="002121A4">
        <w:t>The MAR is divided into seven chapters. Chapter 1 deals with general provisions, chapter 2 with inside information, insider dealing and market manipulation, and chapter 3 with disclosure requirements. Supervision and public enforcement are addressed in chapters 4 and 5, and delegated acts, implementing acts and final provisions in the last two chapters</w:t>
      </w:r>
      <w:r w:rsidR="00CF5941" w:rsidRPr="002121A4">
        <w:t xml:space="preserve"> (chapters 6 and 7)</w:t>
      </w:r>
      <w:r w:rsidRPr="002121A4">
        <w:t>.</w:t>
      </w:r>
    </w:p>
    <w:p w14:paraId="45FAA96E" w14:textId="169D7344" w:rsidR="003705A5" w:rsidRPr="002121A4" w:rsidRDefault="003705A5" w:rsidP="003705A5">
      <w:pPr>
        <w:pStyle w:val="berschrift2"/>
        <w:rPr>
          <w:lang w:val="en-GB"/>
        </w:rPr>
      </w:pPr>
      <w:bookmarkStart w:id="111" w:name="_Toc194577775"/>
      <w:r w:rsidRPr="002121A4">
        <w:rPr>
          <w:lang w:val="en-GB"/>
        </w:rPr>
        <w:t>EU Market Abuse Regulation</w:t>
      </w:r>
      <w:bookmarkEnd w:id="111"/>
    </w:p>
    <w:p w14:paraId="1E462701" w14:textId="507B50DA" w:rsidR="00FD6740" w:rsidRPr="002121A4" w:rsidRDefault="00FD6740" w:rsidP="008100E5">
      <w:pPr>
        <w:pStyle w:val="berschrift3"/>
        <w:rPr>
          <w:lang w:val="en-GB"/>
        </w:rPr>
      </w:pPr>
      <w:r w:rsidRPr="002121A4">
        <w:rPr>
          <w:lang w:val="en-GB"/>
        </w:rPr>
        <w:t>Scope of application</w:t>
      </w:r>
    </w:p>
    <w:p w14:paraId="24C2ABFC" w14:textId="79498113" w:rsidR="00B867F6" w:rsidRPr="002121A4" w:rsidRDefault="00703C07" w:rsidP="0091452C">
      <w:pPr>
        <w:pStyle w:val="Standardwithparanumbering"/>
      </w:pPr>
      <w:bookmarkStart w:id="112" w:name="_Ref129767176"/>
      <w:r w:rsidRPr="002121A4">
        <w:t xml:space="preserve">The </w:t>
      </w:r>
      <w:r w:rsidR="00FD6740" w:rsidRPr="002121A4">
        <w:t>MAR covers trading activities in financial instruments on regulated markets, MTFs and OTFs.</w:t>
      </w:r>
      <w:r w:rsidR="00FD6740" w:rsidRPr="002121A4">
        <w:rPr>
          <w:rStyle w:val="Funotenzeichen"/>
        </w:rPr>
        <w:footnoteReference w:id="163"/>
      </w:r>
      <w:r w:rsidR="00FD6740" w:rsidRPr="002121A4">
        <w:t xml:space="preserve"> It also covers financial instruments whose price or value depends on the price of financial instruments </w:t>
      </w:r>
      <w:r w:rsidR="00E96BB4" w:rsidRPr="002121A4">
        <w:t>within</w:t>
      </w:r>
      <w:r w:rsidR="00FD6740" w:rsidRPr="002121A4">
        <w:t xml:space="preserve"> the scope of the MiFID II trading venues.</w:t>
      </w:r>
      <w:r w:rsidR="00FD6740" w:rsidRPr="002121A4">
        <w:rPr>
          <w:rStyle w:val="Funotenzeichen"/>
        </w:rPr>
        <w:footnoteReference w:id="164"/>
      </w:r>
      <w:r w:rsidR="00FD6740" w:rsidRPr="002121A4">
        <w:t xml:space="preserve"> For the purpose of defining relevant terms, </w:t>
      </w:r>
      <w:r w:rsidR="001870C0" w:rsidRPr="002121A4">
        <w:t>article </w:t>
      </w:r>
      <w:r w:rsidR="00FD6740" w:rsidRPr="002121A4">
        <w:t>3 MAR refers essentially to the list of definiti</w:t>
      </w:r>
      <w:r w:rsidR="00661090" w:rsidRPr="002121A4">
        <w:t>o</w:t>
      </w:r>
      <w:r w:rsidR="00FD6740" w:rsidRPr="002121A4">
        <w:t xml:space="preserve">ns under MiFID II. </w:t>
      </w:r>
      <w:r w:rsidR="00A206CE" w:rsidRPr="002121A4">
        <w:t xml:space="preserve">The scope of the </w:t>
      </w:r>
      <w:r w:rsidR="00A206CE" w:rsidRPr="002121A4">
        <w:lastRenderedPageBreak/>
        <w:t>MAR goes beyond capital market law</w:t>
      </w:r>
      <w:r w:rsidR="00B867F6" w:rsidRPr="002121A4">
        <w:t xml:space="preserve"> in that</w:t>
      </w:r>
      <w:r w:rsidR="00A206CE" w:rsidRPr="002121A4">
        <w:t xml:space="preserve"> the regulation applies also to the trading of emission allowances</w:t>
      </w:r>
      <w:r w:rsidR="006817C4" w:rsidRPr="002121A4">
        <w:t>.</w:t>
      </w:r>
      <w:r w:rsidR="00683FF0" w:rsidRPr="002121A4">
        <w:rPr>
          <w:rStyle w:val="Funotenzeichen"/>
        </w:rPr>
        <w:footnoteReference w:id="165"/>
      </w:r>
      <w:r w:rsidR="006817C4" w:rsidRPr="002121A4">
        <w:t xml:space="preserve"> </w:t>
      </w:r>
    </w:p>
    <w:p w14:paraId="6D348C5C" w14:textId="2549A7C8" w:rsidR="00514D10" w:rsidRPr="002121A4" w:rsidRDefault="00FD6740" w:rsidP="0091452C">
      <w:pPr>
        <w:pStyle w:val="Standardwithparanumbering"/>
      </w:pPr>
      <w:r w:rsidRPr="002121A4">
        <w:t>Market operators and investment firms have to notify NCAs o</w:t>
      </w:r>
      <w:r w:rsidR="00170045">
        <w:t>f</w:t>
      </w:r>
      <w:r w:rsidRPr="002121A4">
        <w:t xml:space="preserve"> relevant trading activities</w:t>
      </w:r>
      <w:r w:rsidR="0065066A" w:rsidRPr="002121A4">
        <w:t>.</w:t>
      </w:r>
      <w:r w:rsidR="006807BE" w:rsidRPr="002121A4">
        <w:rPr>
          <w:rStyle w:val="Funotenzeichen"/>
        </w:rPr>
        <w:footnoteReference w:id="166"/>
      </w:r>
      <w:r w:rsidRPr="002121A4">
        <w:t xml:space="preserve"> </w:t>
      </w:r>
      <w:r w:rsidR="0065066A" w:rsidRPr="002121A4">
        <w:t xml:space="preserve">In accordance with article 4 MAR and article 27 </w:t>
      </w:r>
      <w:proofErr w:type="spellStart"/>
      <w:r w:rsidR="0065066A" w:rsidRPr="002121A4">
        <w:t>MiFIR</w:t>
      </w:r>
      <w:proofErr w:type="spellEnd"/>
      <w:r w:rsidR="0065066A" w:rsidRPr="002121A4">
        <w:t xml:space="preserve">, trading venues and systematic </w:t>
      </w:r>
      <w:proofErr w:type="spellStart"/>
      <w:r w:rsidR="0065066A" w:rsidRPr="002121A4">
        <w:t>internalisers</w:t>
      </w:r>
      <w:proofErr w:type="spellEnd"/>
      <w:r w:rsidR="0065066A" w:rsidRPr="002121A4">
        <w:t xml:space="preserve"> submit reference data for the relevant financial instruments to NCAs who will subsequently transmit it to ESMA for publication through </w:t>
      </w:r>
      <w:r w:rsidR="00BC11A8" w:rsidRPr="002121A4">
        <w:t>the Financial Instruments Reference Data System (“FIRDS”), a database collecting and publishing information on financial instruments traded on MiFID II trading venues</w:t>
      </w:r>
      <w:r w:rsidR="00622A91" w:rsidRPr="002121A4">
        <w:t xml:space="preserve"> (</w:t>
      </w:r>
      <w:r w:rsidR="00FC3C2C">
        <w:t>a</w:t>
      </w:r>
      <w:r w:rsidR="00170045">
        <w:t>ccess</w:t>
      </w:r>
      <w:r w:rsidR="00FC3C2C">
        <w:t xml:space="preserve">ible online at </w:t>
      </w:r>
      <w:hyperlink r:id="rId31" w:history="1">
        <w:r w:rsidR="004E2B64" w:rsidRPr="00C152E7">
          <w:rPr>
            <w:rStyle w:val="Hyperlink"/>
          </w:rPr>
          <w:t>https://registers.esma.europa.eu/publication/searchRegister?core=esma_registers_firds</w:t>
        </w:r>
      </w:hyperlink>
      <w:r w:rsidR="00622A91" w:rsidRPr="002121A4">
        <w:t>)</w:t>
      </w:r>
      <w:r w:rsidRPr="002121A4">
        <w:t>.</w:t>
      </w:r>
      <w:bookmarkEnd w:id="112"/>
    </w:p>
    <w:p w14:paraId="35C9F8DA" w14:textId="002B7578" w:rsidR="008100E5" w:rsidRPr="002121A4" w:rsidRDefault="008100E5" w:rsidP="008100E5">
      <w:pPr>
        <w:pStyle w:val="berschrift3"/>
        <w:rPr>
          <w:lang w:val="en-GB"/>
        </w:rPr>
      </w:pPr>
      <w:r w:rsidRPr="002121A4">
        <w:rPr>
          <w:lang w:val="en-GB"/>
        </w:rPr>
        <w:t>Definition of inside information</w:t>
      </w:r>
    </w:p>
    <w:p w14:paraId="7B15C045" w14:textId="295A5A96" w:rsidR="008100E5" w:rsidRPr="002121A4" w:rsidRDefault="00310BB8" w:rsidP="00E635A3">
      <w:pPr>
        <w:pStyle w:val="Standardwithparanumbering"/>
      </w:pPr>
      <w:r w:rsidRPr="002121A4">
        <w:t xml:space="preserve">The central concept of the regulation </w:t>
      </w:r>
      <w:r w:rsidR="00F123EC" w:rsidRPr="002121A4">
        <w:t>is th</w:t>
      </w:r>
      <w:r w:rsidR="001A616B">
        <w:t>a</w:t>
      </w:r>
      <w:r w:rsidR="00F123EC" w:rsidRPr="002121A4">
        <w:t>t of “inside information” as defined in article 7 MAR</w:t>
      </w:r>
      <w:r w:rsidR="00AB6518" w:rsidRPr="002121A4">
        <w:t>. In fact,</w:t>
      </w:r>
      <w:r w:rsidR="00F123EC" w:rsidRPr="002121A4">
        <w:t xml:space="preserve"> </w:t>
      </w:r>
      <w:r w:rsidRPr="002121A4">
        <w:t>a num</w:t>
      </w:r>
      <w:r w:rsidR="0048655F" w:rsidRPr="002121A4">
        <w:t>b</w:t>
      </w:r>
      <w:r w:rsidRPr="002121A4">
        <w:t xml:space="preserve">er of legal consequences attach to situations where inside information exists: the regulation prohibits the use of inside information for insider dealing and its unlawful disclosure, </w:t>
      </w:r>
      <w:r w:rsidR="0048655F" w:rsidRPr="002121A4">
        <w:t xml:space="preserve">and </w:t>
      </w:r>
      <w:r w:rsidRPr="002121A4">
        <w:t>requires issuers to publish such information</w:t>
      </w:r>
      <w:r w:rsidR="0048655F" w:rsidRPr="002121A4">
        <w:t xml:space="preserve"> where it concerns them directly</w:t>
      </w:r>
      <w:r w:rsidRPr="002121A4">
        <w:t>, and to maintain insider list</w:t>
      </w:r>
      <w:r w:rsidR="001A616B">
        <w:t>s</w:t>
      </w:r>
      <w:r w:rsidRPr="002121A4">
        <w:t>.</w:t>
      </w:r>
      <w:r w:rsidR="003B6B31" w:rsidRPr="002121A4">
        <w:rPr>
          <w:rStyle w:val="Funotenzeichen"/>
        </w:rPr>
        <w:footnoteReference w:id="167"/>
      </w:r>
      <w:r w:rsidRPr="002121A4">
        <w:t xml:space="preserve"> </w:t>
      </w:r>
      <w:r w:rsidR="00FC412A" w:rsidRPr="002121A4">
        <w:t xml:space="preserve">The essential cornerstones </w:t>
      </w:r>
      <w:r w:rsidRPr="002121A4">
        <w:t xml:space="preserve">of the definition </w:t>
      </w:r>
      <w:r w:rsidR="00FC412A" w:rsidRPr="002121A4">
        <w:t xml:space="preserve">are contained in </w:t>
      </w:r>
      <w:r w:rsidR="001870C0" w:rsidRPr="002121A4">
        <w:t>article </w:t>
      </w:r>
      <w:r w:rsidR="00FC412A" w:rsidRPr="002121A4">
        <w:t>7(1)(a)</w:t>
      </w:r>
      <w:r w:rsidR="005A10D2" w:rsidRPr="002121A4">
        <w:t xml:space="preserve"> MAR</w:t>
      </w:r>
      <w:r w:rsidR="00FC412A" w:rsidRPr="002121A4">
        <w:t>, which defines inside information on the basis of four elements: first, the information has to be “of a precise nature”, second, it has to be information that has not been made public, third, the information must relate directly or indirectly to an issuer or a financial instrument, and fourth, it would be likely to have a significant effect on the prices of those financial instruments or of related derivatives if it were made public.</w:t>
      </w:r>
      <w:r w:rsidR="009A48DE" w:rsidRPr="002121A4">
        <w:t xml:space="preserve"> </w:t>
      </w:r>
      <w:r w:rsidR="001870C0" w:rsidRPr="002121A4">
        <w:t>Article </w:t>
      </w:r>
      <w:r w:rsidR="009A48DE" w:rsidRPr="002121A4">
        <w:t xml:space="preserve">7(1)(b) and (c) </w:t>
      </w:r>
      <w:r w:rsidR="005A10D2" w:rsidRPr="002121A4">
        <w:t xml:space="preserve">MAR </w:t>
      </w:r>
      <w:r w:rsidR="009A48DE" w:rsidRPr="002121A4">
        <w:t>slightly modify this definition as regards commodity derivatives, emission allowances</w:t>
      </w:r>
      <w:r w:rsidR="005F7FD4" w:rsidRPr="002121A4">
        <w:t xml:space="preserve">, and </w:t>
      </w:r>
      <w:r w:rsidR="00FC412A" w:rsidRPr="002121A4">
        <w:t>information relating to pending orders in financial instruments.</w:t>
      </w:r>
    </w:p>
    <w:p w14:paraId="43D06CF9" w14:textId="7B9EC467" w:rsidR="007B6039" w:rsidRPr="002121A4" w:rsidRDefault="007B6039" w:rsidP="00822175">
      <w:pPr>
        <w:pStyle w:val="Standardwithparanumbering"/>
      </w:pPr>
      <w:r w:rsidRPr="002121A4">
        <w:t xml:space="preserve">Information that can qualify as inside information can relate both to an issuer </w:t>
      </w:r>
      <w:r w:rsidR="00703C07" w:rsidRPr="002121A4">
        <w:t xml:space="preserve">as such </w:t>
      </w:r>
      <w:r w:rsidRPr="002121A4">
        <w:t xml:space="preserve">(e.g., its financial position) or to a particular financial instrument (e.g., a call notice for a specific bond). Information is “not public” within the meaning of </w:t>
      </w:r>
      <w:r w:rsidR="001870C0" w:rsidRPr="002121A4">
        <w:t>article </w:t>
      </w:r>
      <w:r w:rsidRPr="002121A4">
        <w:t>7(1) MAR as long as it is not accessible for the market participants at large</w:t>
      </w:r>
      <w:r w:rsidR="001251BD" w:rsidRPr="002121A4">
        <w:t xml:space="preserve">. For practical purposes, this is the case for information that is not </w:t>
      </w:r>
      <w:r w:rsidR="00703C07" w:rsidRPr="002121A4">
        <w:t xml:space="preserve">“in the public domain” </w:t>
      </w:r>
      <w:r w:rsidR="0053199A" w:rsidRPr="002121A4">
        <w:t xml:space="preserve">in such a way </w:t>
      </w:r>
      <w:r w:rsidR="00703C07" w:rsidRPr="002121A4">
        <w:t xml:space="preserve">as it would be after </w:t>
      </w:r>
      <w:r w:rsidR="001251BD" w:rsidRPr="002121A4">
        <w:t xml:space="preserve">publication under </w:t>
      </w:r>
      <w:r w:rsidR="001870C0" w:rsidRPr="002121A4">
        <w:t>article </w:t>
      </w:r>
      <w:r w:rsidR="001251BD" w:rsidRPr="002121A4">
        <w:t>17(1)(2) MAR</w:t>
      </w:r>
      <w:r w:rsidR="005A10D2" w:rsidRPr="002121A4">
        <w:t xml:space="preserve"> and corresponding level 2 texts</w:t>
      </w:r>
      <w:r w:rsidR="001251BD" w:rsidRPr="002121A4">
        <w:t xml:space="preserve"> (see para. </w:t>
      </w:r>
      <w:r w:rsidR="001251BD" w:rsidRPr="002121A4">
        <w:fldChar w:fldCharType="begin"/>
      </w:r>
      <w:r w:rsidR="001251BD" w:rsidRPr="002121A4">
        <w:instrText xml:space="preserve"> REF _Ref127620738 \r \h </w:instrText>
      </w:r>
      <w:r w:rsidR="001251BD" w:rsidRPr="002121A4">
        <w:fldChar w:fldCharType="separate"/>
      </w:r>
      <w:r w:rsidR="00D56145">
        <w:t>115</w:t>
      </w:r>
      <w:r w:rsidR="001251BD" w:rsidRPr="002121A4">
        <w:fldChar w:fldCharType="end"/>
      </w:r>
      <w:r w:rsidR="001251BD" w:rsidRPr="002121A4">
        <w:t xml:space="preserve"> below).</w:t>
      </w:r>
    </w:p>
    <w:p w14:paraId="788FA06F" w14:textId="3C772F45" w:rsidR="00B04E8D" w:rsidRPr="002121A4" w:rsidRDefault="00C30FA3" w:rsidP="00D42EC4">
      <w:pPr>
        <w:pStyle w:val="Standardwithparanumbering"/>
      </w:pPr>
      <w:r w:rsidRPr="002121A4">
        <w:t xml:space="preserve">Information is of a “precise nature” within the meaning of </w:t>
      </w:r>
      <w:r w:rsidR="001870C0" w:rsidRPr="002121A4">
        <w:t>article </w:t>
      </w:r>
      <w:r w:rsidRPr="002121A4">
        <w:t xml:space="preserve">7(1) MAR not only </w:t>
      </w:r>
      <w:r w:rsidR="00AB78DF" w:rsidRPr="002121A4">
        <w:t xml:space="preserve">in case of </w:t>
      </w:r>
      <w:r w:rsidRPr="002121A4">
        <w:t>past events and existing circumst</w:t>
      </w:r>
      <w:r w:rsidR="00B04E8D" w:rsidRPr="002121A4">
        <w:t>an</w:t>
      </w:r>
      <w:r w:rsidRPr="002121A4">
        <w:t>ces</w:t>
      </w:r>
      <w:r w:rsidR="00B04E8D" w:rsidRPr="002121A4">
        <w:t>:</w:t>
      </w:r>
      <w:r w:rsidRPr="002121A4">
        <w:t xml:space="preserve"> It also includes future events and circumstances that may “reasonably be expected” to occur,</w:t>
      </w:r>
      <w:r w:rsidRPr="002121A4">
        <w:rPr>
          <w:rStyle w:val="Funotenzeichen"/>
        </w:rPr>
        <w:footnoteReference w:id="168"/>
      </w:r>
      <w:r w:rsidRPr="002121A4">
        <w:t xml:space="preserve"> which is usually read to imply a likelihood of 50%+x.</w:t>
      </w:r>
      <w:r w:rsidR="001A616B">
        <w:t xml:space="preserve"> According to the ECJ, the </w:t>
      </w:r>
      <w:r w:rsidR="001A616B" w:rsidRPr="001A616B">
        <w:t xml:space="preserve">required probability of occurrence of a </w:t>
      </w:r>
      <w:r w:rsidR="001A616B">
        <w:t xml:space="preserve">future </w:t>
      </w:r>
      <w:r w:rsidR="001A616B" w:rsidRPr="001A616B">
        <w:t xml:space="preserve">event </w:t>
      </w:r>
      <w:r w:rsidR="001A616B">
        <w:t xml:space="preserve">does not </w:t>
      </w:r>
      <w:r w:rsidR="001A616B" w:rsidRPr="001A616B">
        <w:t>vary depending on the magnitude of their effect on the prices of the financial instruments</w:t>
      </w:r>
      <w:r w:rsidR="001A616B">
        <w:t xml:space="preserve"> (no “probability-magnitude test”).</w:t>
      </w:r>
      <w:r w:rsidR="001A616B">
        <w:rPr>
          <w:rStyle w:val="Funotenzeichen"/>
        </w:rPr>
        <w:footnoteReference w:id="169"/>
      </w:r>
      <w:r w:rsidRPr="002121A4">
        <w:t xml:space="preserve"> For information to be of a precise nature, it must be “specific enough” to enable a </w:t>
      </w:r>
      <w:r w:rsidRPr="002121A4">
        <w:lastRenderedPageBreak/>
        <w:t>conclusion to be drawn as to the possible effect on the prices of the financial instruments or related derivatives.</w:t>
      </w:r>
      <w:r w:rsidRPr="002121A4">
        <w:rPr>
          <w:rStyle w:val="Funotenzeichen"/>
        </w:rPr>
        <w:footnoteReference w:id="170"/>
      </w:r>
      <w:r w:rsidRPr="002121A4">
        <w:t xml:space="preserve"> </w:t>
      </w:r>
    </w:p>
    <w:p w14:paraId="71C7FE83" w14:textId="363B351C" w:rsidR="00B04E8D" w:rsidRPr="002121A4" w:rsidRDefault="00B04E8D" w:rsidP="00AB42AA">
      <w:pPr>
        <w:pStyle w:val="Case"/>
        <w:numPr>
          <w:ilvl w:val="0"/>
          <w:numId w:val="14"/>
        </w:numPr>
        <w:ind w:left="567" w:firstLine="0"/>
      </w:pPr>
      <w:bookmarkStart w:id="113" w:name="_Ref131682958"/>
      <w:r w:rsidRPr="002121A4">
        <w:t>In June 2007, Wendel, a listed company, decided to acquire a substantial stake in its competitor Saint-Gobain and bought derivatives with shares in Saint-Gobain as underlying. On 3 September, Wendel decided to convert the derivatives into Saint-Gobain shares and acquired, until 27 November, 18% of the share</w:t>
      </w:r>
      <w:r w:rsidR="0028615F">
        <w:t>s</w:t>
      </w:r>
      <w:r w:rsidRPr="002121A4">
        <w:t xml:space="preserve"> of Saint-Gobain. AMF, the French regulator, took the view that the operation </w:t>
      </w:r>
      <w:r w:rsidR="00CF6F90" w:rsidRPr="002121A4">
        <w:t>qualified as “inside information”</w:t>
      </w:r>
      <w:r w:rsidR="003F079D" w:rsidRPr="002121A4">
        <w:t xml:space="preserve"> relating to Wendel </w:t>
      </w:r>
      <w:r w:rsidRPr="002121A4">
        <w:t xml:space="preserve">at the latest by 21 June 2007, </w:t>
      </w:r>
      <w:r w:rsidR="00D623C2">
        <w:t xml:space="preserve">when </w:t>
      </w:r>
      <w:r w:rsidR="005E3059">
        <w:t xml:space="preserve">Wendel had concluded </w:t>
      </w:r>
      <w:r w:rsidRPr="002121A4">
        <w:t>all derivative contracts.</w:t>
      </w:r>
      <w:r w:rsidR="008E6AC5">
        <w:t xml:space="preserve"> </w:t>
      </w:r>
      <w:r w:rsidR="00A20931">
        <w:t>Wendel</w:t>
      </w:r>
      <w:r w:rsidR="008E6AC5">
        <w:t xml:space="preserve"> argue</w:t>
      </w:r>
      <w:r w:rsidR="00C5673F">
        <w:t>d</w:t>
      </w:r>
      <w:r w:rsidR="008E6AC5">
        <w:t xml:space="preserve"> that </w:t>
      </w:r>
      <w:r w:rsidR="00FC46AD">
        <w:t xml:space="preserve">no </w:t>
      </w:r>
      <w:r w:rsidR="008E6AC5">
        <w:t xml:space="preserve">inside information </w:t>
      </w:r>
      <w:r w:rsidR="00FC46AD">
        <w:t xml:space="preserve">existed </w:t>
      </w:r>
      <w:r w:rsidR="008E6AC5">
        <w:t xml:space="preserve">as it was not possible to determine whether </w:t>
      </w:r>
      <w:r w:rsidR="00F64D5F">
        <w:t>the operation</w:t>
      </w:r>
      <w:r w:rsidR="008E6AC5">
        <w:t xml:space="preserve"> would have a positive or a negative effect on Wendel shares.</w:t>
      </w:r>
      <w:r w:rsidRPr="002121A4">
        <w:t xml:space="preserve"> (Case C‑628/13, </w:t>
      </w:r>
      <w:proofErr w:type="spellStart"/>
      <w:r w:rsidRPr="002121A4">
        <w:rPr>
          <w:i/>
        </w:rPr>
        <w:t>Lafonta</w:t>
      </w:r>
      <w:proofErr w:type="spellEnd"/>
      <w:r w:rsidRPr="002121A4">
        <w:rPr>
          <w:i/>
        </w:rPr>
        <w:t xml:space="preserve"> v. AMF</w:t>
      </w:r>
      <w:r w:rsidRPr="002121A4">
        <w:t>)</w:t>
      </w:r>
      <w:bookmarkEnd w:id="113"/>
    </w:p>
    <w:p w14:paraId="4B222EE3" w14:textId="128892DF" w:rsidR="00B04E8D" w:rsidRPr="002121A4" w:rsidRDefault="00B04E8D" w:rsidP="00887B91">
      <w:pPr>
        <w:pStyle w:val="Case"/>
      </w:pPr>
      <w:r w:rsidRPr="002121A4">
        <w:rPr>
          <w:b/>
        </w:rPr>
        <w:t>Notes.</w:t>
      </w:r>
      <w:r w:rsidR="00887B91" w:rsidRPr="002121A4">
        <w:rPr>
          <w:b/>
        </w:rPr>
        <w:t xml:space="preserve"> </w:t>
      </w:r>
      <w:r w:rsidR="00886EFA">
        <w:rPr>
          <w:b/>
        </w:rPr>
        <w:br/>
      </w:r>
      <w:r w:rsidR="00886EFA">
        <w:rPr>
          <w:b/>
        </w:rPr>
        <w:br/>
      </w:r>
      <w:r w:rsidR="00886EFA">
        <w:rPr>
          <w:b/>
        </w:rPr>
        <w:br/>
      </w:r>
      <w:r w:rsidR="00886EFA">
        <w:rPr>
          <w:b/>
        </w:rPr>
        <w:br/>
      </w:r>
      <w:r w:rsidR="00886EFA">
        <w:rPr>
          <w:b/>
        </w:rPr>
        <w:br/>
      </w:r>
    </w:p>
    <w:p w14:paraId="70EF2B84" w14:textId="57797873" w:rsidR="00C30FA3" w:rsidRPr="002121A4" w:rsidRDefault="00C30FA3" w:rsidP="00822175">
      <w:pPr>
        <w:pStyle w:val="Standardwithparanumbering"/>
      </w:pPr>
      <w:r w:rsidRPr="002121A4">
        <w:t>Specific provision is made for “protracted processes”, i.e., processes over a certain period of time intended to bring about, or to result in, particular circumstances or a particular event. In these cases, both the intermediate steps that have already occurred, and the potential future outcome of the process, may be deemed to be precise information.</w:t>
      </w:r>
      <w:r w:rsidRPr="002121A4">
        <w:rPr>
          <w:rStyle w:val="Funotenzeichen"/>
        </w:rPr>
        <w:footnoteReference w:id="171"/>
      </w:r>
      <w:r w:rsidRPr="002121A4">
        <w:t xml:space="preserve"> An intermediate step qualifies as inside information if it satisfies the criteria of </w:t>
      </w:r>
      <w:r w:rsidR="001870C0" w:rsidRPr="002121A4">
        <w:t>article </w:t>
      </w:r>
      <w:r w:rsidRPr="002121A4">
        <w:t>7 MAR.</w:t>
      </w:r>
      <w:r w:rsidRPr="002121A4">
        <w:rPr>
          <w:rStyle w:val="Funotenzeichen"/>
        </w:rPr>
        <w:footnoteReference w:id="172"/>
      </w:r>
    </w:p>
    <w:p w14:paraId="45CAAAAC" w14:textId="0E6EA537" w:rsidR="0010779A" w:rsidRPr="002121A4" w:rsidRDefault="0010779A" w:rsidP="00AB42AA">
      <w:pPr>
        <w:pStyle w:val="Case"/>
        <w:numPr>
          <w:ilvl w:val="0"/>
          <w:numId w:val="14"/>
        </w:numPr>
        <w:ind w:left="567" w:firstLine="0"/>
      </w:pPr>
      <w:bookmarkStart w:id="114" w:name="_Ref131675355"/>
      <w:r w:rsidRPr="002121A4">
        <w:t>Viktor is chairman of the management board of Quitonda-AG (QAG)</w:t>
      </w:r>
      <w:r w:rsidR="00DD326B">
        <w:t>, a</w:t>
      </w:r>
      <w:r w:rsidRPr="002121A4">
        <w:t xml:space="preserve"> listed </w:t>
      </w:r>
      <w:r w:rsidR="00DD326B">
        <w:t>company</w:t>
      </w:r>
      <w:r w:rsidRPr="002121A4">
        <w:t xml:space="preserve">. </w:t>
      </w:r>
      <w:r w:rsidR="00F46A2B">
        <w:t xml:space="preserve">In spring </w:t>
      </w:r>
      <w:r w:rsidRPr="002121A4">
        <w:t xml:space="preserve">2022, V </w:t>
      </w:r>
      <w:r w:rsidR="00F46A2B">
        <w:t xml:space="preserve">is </w:t>
      </w:r>
      <w:r w:rsidRPr="002121A4">
        <w:t xml:space="preserve">considering resigning early from his </w:t>
      </w:r>
      <w:r w:rsidR="00F46A2B">
        <w:t>office</w:t>
      </w:r>
      <w:r w:rsidRPr="002121A4">
        <w:t xml:space="preserve"> which would normally run until 2024. On 17 May, V discusses his plans with Karl, the chairman of the supervisory board of QAG. On 13 </w:t>
      </w:r>
      <w:r w:rsidRPr="002121A4">
        <w:rPr>
          <w:szCs w:val="23"/>
        </w:rPr>
        <w:t>June</w:t>
      </w:r>
      <w:r w:rsidRPr="002121A4">
        <w:t xml:space="preserve">, V and K agree to propose the early retirement of V and the nomination of Nina as his successor at the meeting of the supervisory board on 28 July. On 28 July at 9:50, the </w:t>
      </w:r>
      <w:r w:rsidR="00C76841">
        <w:t xml:space="preserve">QAG </w:t>
      </w:r>
      <w:r w:rsidRPr="002121A4">
        <w:t xml:space="preserve">supervisory board passes </w:t>
      </w:r>
      <w:r w:rsidR="00C76841">
        <w:t xml:space="preserve">a </w:t>
      </w:r>
      <w:r w:rsidRPr="002121A4">
        <w:t xml:space="preserve">resolution that V is to retire at the end of 2022 and he will be replaced by N. At 10:02, </w:t>
      </w:r>
      <w:r w:rsidR="00C76841">
        <w:t xml:space="preserve">QAG notifies </w:t>
      </w:r>
      <w:r w:rsidRPr="002121A4">
        <w:t>the stock exchanges and BaFin</w:t>
      </w:r>
      <w:r w:rsidR="00C76841">
        <w:t xml:space="preserve">, and releases </w:t>
      </w:r>
      <w:r w:rsidRPr="002121A4">
        <w:t xml:space="preserve">an ad hoc announcement </w:t>
      </w:r>
      <w:r w:rsidR="00C76841">
        <w:t>at 10:32</w:t>
      </w:r>
      <w:r w:rsidRPr="002121A4">
        <w:t xml:space="preserve">. The stock price of QAG increased significantly after the announcement. </w:t>
      </w:r>
      <w:bookmarkEnd w:id="114"/>
    </w:p>
    <w:p w14:paraId="0B0270F0" w14:textId="77777777" w:rsidR="0010779A" w:rsidRPr="002121A4" w:rsidRDefault="0010779A" w:rsidP="0010779A">
      <w:pPr>
        <w:pStyle w:val="Case"/>
      </w:pPr>
      <w:r w:rsidRPr="002121A4">
        <w:t>a) Was the ad hoc announcement made in time?</w:t>
      </w:r>
    </w:p>
    <w:p w14:paraId="77B3629A" w14:textId="3FA345BC" w:rsidR="0010779A" w:rsidRPr="002121A4" w:rsidRDefault="0010779A" w:rsidP="0010779A">
      <w:pPr>
        <w:pStyle w:val="Case"/>
      </w:pPr>
      <w:r w:rsidRPr="002121A4">
        <w:t xml:space="preserve">b) Assuming the announcement was </w:t>
      </w:r>
      <w:r w:rsidR="00FD17A3">
        <w:t>late</w:t>
      </w:r>
      <w:r w:rsidRPr="002121A4">
        <w:t>, can BaFin impose a fine, and if so, for what amount?</w:t>
      </w:r>
    </w:p>
    <w:p w14:paraId="37DAAFB9" w14:textId="75B7114A" w:rsidR="0010779A" w:rsidRPr="002121A4" w:rsidRDefault="0010779A" w:rsidP="0010779A">
      <w:pPr>
        <w:pStyle w:val="Case"/>
      </w:pPr>
      <w:r w:rsidRPr="002121A4">
        <w:t>c) Are there other sanctions which BaFin may or must impose?</w:t>
      </w:r>
    </w:p>
    <w:p w14:paraId="643737CD" w14:textId="4510CD27" w:rsidR="009762A8" w:rsidRPr="002121A4" w:rsidRDefault="009762A8" w:rsidP="0010779A">
      <w:pPr>
        <w:pStyle w:val="Case"/>
      </w:pPr>
      <w:r w:rsidRPr="002121A4">
        <w:t>d) Can a shareholder claim damages</w:t>
      </w:r>
      <w:r w:rsidR="00161736" w:rsidRPr="002121A4">
        <w:t xml:space="preserve"> resulting from </w:t>
      </w:r>
      <w:r w:rsidR="001D73E5">
        <w:t xml:space="preserve">a </w:t>
      </w:r>
      <w:r w:rsidR="00161736" w:rsidRPr="002121A4">
        <w:t>sale of shares prior to the announcement</w:t>
      </w:r>
      <w:r w:rsidRPr="002121A4">
        <w:t>?</w:t>
      </w:r>
    </w:p>
    <w:p w14:paraId="5B9416C2" w14:textId="087E710F" w:rsidR="0010779A" w:rsidRPr="00503463" w:rsidRDefault="0010779A" w:rsidP="0010779A">
      <w:pPr>
        <w:pStyle w:val="Case"/>
      </w:pPr>
      <w:r w:rsidRPr="00503463">
        <w:t>(</w:t>
      </w:r>
      <w:r w:rsidR="00E70504" w:rsidRPr="00503463">
        <w:t>P</w:t>
      </w:r>
      <w:r w:rsidRPr="00503463">
        <w:t xml:space="preserve">apers 2022_2 #14; 2018_2 #II.2; Case C‑19/11, </w:t>
      </w:r>
      <w:proofErr w:type="spellStart"/>
      <w:r w:rsidRPr="00503463">
        <w:rPr>
          <w:i/>
        </w:rPr>
        <w:t>Geltl</w:t>
      </w:r>
      <w:proofErr w:type="spellEnd"/>
      <w:r w:rsidRPr="00503463">
        <w:rPr>
          <w:i/>
        </w:rPr>
        <w:t xml:space="preserve"> v. Daimler AG</w:t>
      </w:r>
      <w:r w:rsidR="00E70504" w:rsidRPr="00503463">
        <w:t>;</w:t>
      </w:r>
      <w:r w:rsidRPr="00503463">
        <w:t xml:space="preserve"> BGH, 23 April 2013, II ZB 7/09, NZG 2013, 708)</w:t>
      </w:r>
    </w:p>
    <w:p w14:paraId="5B3A066A" w14:textId="74E031E0" w:rsidR="0010779A" w:rsidRPr="002121A4" w:rsidRDefault="0010779A" w:rsidP="00CD0160">
      <w:pPr>
        <w:pStyle w:val="Case"/>
      </w:pPr>
      <w:r w:rsidRPr="002121A4">
        <w:rPr>
          <w:b/>
        </w:rPr>
        <w:t>Notes.</w:t>
      </w:r>
      <w:r w:rsidR="00CD0160" w:rsidRPr="002121A4">
        <w:rPr>
          <w:b/>
        </w:rPr>
        <w:br/>
      </w:r>
      <w:r w:rsidR="00CD0160" w:rsidRPr="002121A4">
        <w:rPr>
          <w:b/>
        </w:rPr>
        <w:br/>
      </w:r>
      <w:r w:rsidR="00CD0160" w:rsidRPr="002121A4">
        <w:rPr>
          <w:b/>
        </w:rPr>
        <w:br/>
      </w:r>
      <w:r w:rsidR="00CD0160" w:rsidRPr="002121A4">
        <w:rPr>
          <w:b/>
        </w:rPr>
        <w:br/>
      </w:r>
      <w:r w:rsidR="00CD0160" w:rsidRPr="002121A4">
        <w:rPr>
          <w:b/>
        </w:rPr>
        <w:br/>
      </w:r>
    </w:p>
    <w:p w14:paraId="7C911653" w14:textId="02208D08" w:rsidR="00DD425A" w:rsidRPr="002121A4" w:rsidRDefault="00DD425A" w:rsidP="00DD425A">
      <w:pPr>
        <w:pStyle w:val="Standardwithparanumbering"/>
      </w:pPr>
      <w:r w:rsidRPr="002121A4">
        <w:lastRenderedPageBreak/>
        <w:t xml:space="preserve">Information is likely to have a “significant effect on prices” of financial instruments </w:t>
      </w:r>
      <w:r w:rsidR="00FE167B">
        <w:t xml:space="preserve">if it </w:t>
      </w:r>
      <w:r w:rsidRPr="002121A4">
        <w:t>is information that a reasonable investor would be likely to use as part of the basis of his or her investment decisions.</w:t>
      </w:r>
      <w:r w:rsidR="00C64E84" w:rsidRPr="002121A4">
        <w:rPr>
          <w:rStyle w:val="Funotenzeichen"/>
        </w:rPr>
        <w:footnoteReference w:id="173"/>
      </w:r>
      <w:r w:rsidRPr="002121A4">
        <w:t xml:space="preserve"> Accordingly, there are no specific </w:t>
      </w:r>
      <w:r w:rsidR="007E669E" w:rsidRPr="002121A4">
        <w:t xml:space="preserve">quantitative </w:t>
      </w:r>
      <w:r w:rsidRPr="002121A4">
        <w:t xml:space="preserve">“thresholds” for a price effect to qualify as “significant”. Rather, the </w:t>
      </w:r>
      <w:r w:rsidR="00E96BB4" w:rsidRPr="002121A4">
        <w:t>question</w:t>
      </w:r>
      <w:r w:rsidRPr="002121A4">
        <w:t xml:space="preserve"> is whether there is an “incentive to trade”, i.e., whether a market participant in possession of the information could derive a profit from a trade in relevant instruments.</w:t>
      </w:r>
      <w:r w:rsidR="00185F4C">
        <w:t xml:space="preserve"> The test is an objective one (based on the perspective of a “reasonable investor”), and some writers suggest, that in the context of future events, a probability-magnitude test is permissible to conclude that even a relatively unlikely event can create an incentive to trade where the magnitude of the price effect is sufficiently high.</w:t>
      </w:r>
      <w:r w:rsidR="00185F4C">
        <w:rPr>
          <w:rStyle w:val="Funotenzeichen"/>
        </w:rPr>
        <w:footnoteReference w:id="174"/>
      </w:r>
    </w:p>
    <w:p w14:paraId="06DB2667" w14:textId="55911410" w:rsidR="008100E5" w:rsidRPr="002121A4" w:rsidRDefault="008100E5" w:rsidP="008100E5">
      <w:pPr>
        <w:pStyle w:val="berschrift3"/>
        <w:rPr>
          <w:lang w:val="en-GB"/>
        </w:rPr>
      </w:pPr>
      <w:r w:rsidRPr="002121A4">
        <w:rPr>
          <w:lang w:val="en-GB"/>
        </w:rPr>
        <w:t>Prohibited transactions (chapter 2 MAR)</w:t>
      </w:r>
    </w:p>
    <w:p w14:paraId="39BB7C3C" w14:textId="42172E98" w:rsidR="00C12800" w:rsidRPr="002121A4" w:rsidRDefault="00C12800" w:rsidP="00C12800">
      <w:pPr>
        <w:pStyle w:val="berschrift4"/>
        <w:rPr>
          <w:lang w:val="en-GB"/>
        </w:rPr>
      </w:pPr>
      <w:r w:rsidRPr="002121A4">
        <w:rPr>
          <w:lang w:val="en-GB"/>
        </w:rPr>
        <w:t>Prohibition of insider dealing</w:t>
      </w:r>
    </w:p>
    <w:p w14:paraId="205CEC1A" w14:textId="5BBDED4B" w:rsidR="008100E5" w:rsidRPr="002121A4" w:rsidRDefault="001870C0" w:rsidP="00610BFB">
      <w:pPr>
        <w:pStyle w:val="Standardwithparanumbering"/>
      </w:pPr>
      <w:r w:rsidRPr="002121A4">
        <w:t>Article </w:t>
      </w:r>
      <w:r w:rsidR="0028700D" w:rsidRPr="002121A4">
        <w:t>14(a) MAR prohibits engaging in insider dealing</w:t>
      </w:r>
      <w:r w:rsidR="00C64E84" w:rsidRPr="002121A4">
        <w:t xml:space="preserve">, </w:t>
      </w:r>
      <w:r w:rsidR="0028700D" w:rsidRPr="002121A4">
        <w:t xml:space="preserve">including the attempt. The constitutive elements of insider dealing are described in </w:t>
      </w:r>
      <w:r w:rsidRPr="002121A4">
        <w:t>article </w:t>
      </w:r>
      <w:r w:rsidR="00B141CF" w:rsidRPr="002121A4">
        <w:t>8</w:t>
      </w:r>
      <w:r w:rsidR="008100E5" w:rsidRPr="002121A4">
        <w:t xml:space="preserve"> MAR</w:t>
      </w:r>
      <w:r w:rsidR="0028700D" w:rsidRPr="002121A4">
        <w:t xml:space="preserve">: Insider dealing </w:t>
      </w:r>
      <w:r w:rsidR="00C30599">
        <w:t>occur</w:t>
      </w:r>
      <w:r w:rsidR="0028700D" w:rsidRPr="002121A4">
        <w:t>s where a person is in possession of inside information and uses such information for transactions in financial instruments to which the information relates.</w:t>
      </w:r>
      <w:r w:rsidR="00F41112" w:rsidRPr="002121A4">
        <w:rPr>
          <w:rStyle w:val="Funotenzeichen"/>
        </w:rPr>
        <w:footnoteReference w:id="175"/>
      </w:r>
      <w:r w:rsidR="0028700D" w:rsidRPr="002121A4">
        <w:t xml:space="preserve"> The definition </w:t>
      </w:r>
      <w:r w:rsidR="00493470" w:rsidRPr="002121A4">
        <w:t xml:space="preserve">under </w:t>
      </w:r>
      <w:r w:rsidRPr="002121A4">
        <w:t>article </w:t>
      </w:r>
      <w:r w:rsidR="00493470" w:rsidRPr="002121A4">
        <w:t xml:space="preserve">8(1) MAR </w:t>
      </w:r>
      <w:r w:rsidR="0028700D" w:rsidRPr="002121A4">
        <w:t>covers both transaction</w:t>
      </w:r>
      <w:r w:rsidR="001B13FC" w:rsidRPr="002121A4">
        <w:t>s</w:t>
      </w:r>
      <w:r w:rsidR="0028700D" w:rsidRPr="002121A4">
        <w:t xml:space="preserve"> for one’s own account and for the account of third parties, and it also covers the can</w:t>
      </w:r>
      <w:r w:rsidR="00493470" w:rsidRPr="002121A4">
        <w:t>c</w:t>
      </w:r>
      <w:r w:rsidR="0028700D" w:rsidRPr="002121A4">
        <w:t xml:space="preserve">ellation or amendment of an order </w:t>
      </w:r>
      <w:r w:rsidR="001B13FC" w:rsidRPr="002121A4">
        <w:t xml:space="preserve">concerning </w:t>
      </w:r>
      <w:r w:rsidR="0028700D" w:rsidRPr="002121A4">
        <w:t xml:space="preserve">financial instruments. </w:t>
      </w:r>
      <w:r w:rsidR="00610BFB" w:rsidRPr="002121A4">
        <w:t xml:space="preserve">A </w:t>
      </w:r>
      <w:r w:rsidR="0028700D" w:rsidRPr="002121A4">
        <w:t xml:space="preserve">person </w:t>
      </w:r>
      <w:r w:rsidR="00610BFB" w:rsidRPr="002121A4">
        <w:t>possesses inside information where it obtains inside information as the member of a corporate body of the issuer, as a shareholder of the issuer, through the exercise of an employment or profession, or through criminal activities</w:t>
      </w:r>
      <w:r w:rsidR="0028700D" w:rsidRPr="002121A4">
        <w:t>.</w:t>
      </w:r>
      <w:r w:rsidR="00610BFB" w:rsidRPr="002121A4">
        <w:rPr>
          <w:rStyle w:val="Funotenzeichen"/>
        </w:rPr>
        <w:footnoteReference w:id="176"/>
      </w:r>
      <w:r w:rsidR="0028700D" w:rsidRPr="002121A4">
        <w:t xml:space="preserve"> </w:t>
      </w:r>
      <w:r w:rsidR="00572339" w:rsidRPr="002121A4">
        <w:t>Beyond these scenarios</w:t>
      </w:r>
      <w:r w:rsidR="00610BFB" w:rsidRPr="002121A4">
        <w:t xml:space="preserve">, the provision </w:t>
      </w:r>
      <w:r w:rsidR="00572339" w:rsidRPr="002121A4">
        <w:t xml:space="preserve">also </w:t>
      </w:r>
      <w:r w:rsidR="00610BFB" w:rsidRPr="002121A4">
        <w:t>c</w:t>
      </w:r>
      <w:r w:rsidR="004E2B64">
        <w:t>apture</w:t>
      </w:r>
      <w:r w:rsidR="00610BFB" w:rsidRPr="002121A4">
        <w:t xml:space="preserve">s any other person possessing inside information, </w:t>
      </w:r>
      <w:r w:rsidR="00C64E84" w:rsidRPr="002121A4">
        <w:t xml:space="preserve">provided, however, </w:t>
      </w:r>
      <w:r w:rsidR="00610BFB" w:rsidRPr="002121A4">
        <w:t xml:space="preserve">that </w:t>
      </w:r>
      <w:r w:rsidR="00C64E84" w:rsidRPr="002121A4">
        <w:t xml:space="preserve">the </w:t>
      </w:r>
      <w:r w:rsidR="00610BFB" w:rsidRPr="002121A4">
        <w:t xml:space="preserve">person </w:t>
      </w:r>
      <w:r w:rsidR="00C64E84" w:rsidRPr="002121A4">
        <w:t xml:space="preserve">in question </w:t>
      </w:r>
      <w:r w:rsidR="00610BFB" w:rsidRPr="002121A4">
        <w:t>knows or ought to know that it is inside information.</w:t>
      </w:r>
      <w:r w:rsidR="00610BFB" w:rsidRPr="002121A4">
        <w:rPr>
          <w:rStyle w:val="Funotenzeichen"/>
        </w:rPr>
        <w:footnoteReference w:id="177"/>
      </w:r>
    </w:p>
    <w:p w14:paraId="706ABB4F" w14:textId="1F014445" w:rsidR="00610BFB" w:rsidRPr="002121A4" w:rsidRDefault="001870C0" w:rsidP="00610BFB">
      <w:pPr>
        <w:pStyle w:val="Standardwithparanumbering"/>
      </w:pPr>
      <w:r w:rsidRPr="002121A4">
        <w:t>Article </w:t>
      </w:r>
      <w:r w:rsidR="00610BFB" w:rsidRPr="002121A4">
        <w:t>14(b) MAR prohibits recommending insider dealing, or inducing others to engage in insider dealing. Such recommendation or inducement is prohibited where it is made by a person in possession and “on the basis of that information”, and is aimed at the acquisition or disposal of financial instruments, or the cancellation or amendment of an order.</w:t>
      </w:r>
      <w:r w:rsidR="005C6ADE" w:rsidRPr="002121A4">
        <w:rPr>
          <w:rStyle w:val="Funotenzeichen"/>
        </w:rPr>
        <w:footnoteReference w:id="178"/>
      </w:r>
      <w:r w:rsidR="00610BFB" w:rsidRPr="002121A4">
        <w:t xml:space="preserve"> Where the recipient </w:t>
      </w:r>
      <w:r w:rsidR="002273A7" w:rsidRPr="002121A4">
        <w:t>acts on</w:t>
      </w:r>
      <w:r w:rsidR="004A4BE4" w:rsidRPr="002121A4">
        <w:t xml:space="preserve"> a prohibited recommendation or inducement, this amounts to insider dealing whenever that person knows or should have known that the recommendation or the inducement is based on inside information.</w:t>
      </w:r>
      <w:r w:rsidR="005C6ADE" w:rsidRPr="002121A4">
        <w:rPr>
          <w:rStyle w:val="Funotenzeichen"/>
        </w:rPr>
        <w:footnoteReference w:id="179"/>
      </w:r>
    </w:p>
    <w:p w14:paraId="6FD2BF78" w14:textId="335FC1F4" w:rsidR="00CD70A2" w:rsidRPr="002121A4" w:rsidRDefault="001870C0" w:rsidP="00610BFB">
      <w:pPr>
        <w:pStyle w:val="Standardwithparanumbering"/>
      </w:pPr>
      <w:r w:rsidRPr="002121A4">
        <w:t>Article </w:t>
      </w:r>
      <w:r w:rsidR="00CD70A2" w:rsidRPr="002121A4">
        <w:t xml:space="preserve">9 MAR goes on to define a number of scenarios of “legitimate behaviour” where the mere fact that a person possess inside information does not imply that such person “uses” inside information for the purposes of </w:t>
      </w:r>
      <w:r w:rsidRPr="002121A4">
        <w:t>article </w:t>
      </w:r>
      <w:r w:rsidR="00CD70A2" w:rsidRPr="002121A4">
        <w:t xml:space="preserve">8. </w:t>
      </w:r>
      <w:r w:rsidR="009114DE" w:rsidRPr="002121A4">
        <w:t xml:space="preserve">An example of practical importance </w:t>
      </w:r>
      <w:r w:rsidR="00CD70A2" w:rsidRPr="002121A4">
        <w:t>is the case of legal persons that have created internal information barriers</w:t>
      </w:r>
      <w:r w:rsidR="00A6097B" w:rsidRPr="002121A4">
        <w:t xml:space="preserve"> (often referred to as “Chinese walls”)</w:t>
      </w:r>
      <w:r w:rsidR="00CD70A2" w:rsidRPr="002121A4">
        <w:t xml:space="preserve"> that ensure that the natural persons </w:t>
      </w:r>
      <w:r w:rsidR="009114DE" w:rsidRPr="002121A4">
        <w:t>making decisions on transactions do not have access to inside information and are, in fact, not influenced by the legal person in any other way.</w:t>
      </w:r>
      <w:r w:rsidR="00C643D0" w:rsidRPr="002121A4">
        <w:rPr>
          <w:rStyle w:val="Funotenzeichen"/>
        </w:rPr>
        <w:footnoteReference w:id="180"/>
      </w:r>
      <w:r w:rsidR="009114DE" w:rsidRPr="002121A4">
        <w:t xml:space="preserve"> </w:t>
      </w:r>
      <w:r w:rsidR="00622578" w:rsidRPr="002121A4">
        <w:t xml:space="preserve">Legitimate behaviour also </w:t>
      </w:r>
      <w:r w:rsidR="00622578" w:rsidRPr="002121A4">
        <w:lastRenderedPageBreak/>
        <w:t xml:space="preserve">exists </w:t>
      </w:r>
      <w:r w:rsidR="009114DE" w:rsidRPr="002121A4">
        <w:t>where a person possessing inside information conducts transactions in the discharge of an obligation that results from orders or agreements made before the person received inside information, or where a legal or regulatory obligation arose before that moment.</w:t>
      </w:r>
      <w:r w:rsidR="00C643D0" w:rsidRPr="002121A4">
        <w:rPr>
          <w:rStyle w:val="Funotenzeichen"/>
        </w:rPr>
        <w:footnoteReference w:id="181"/>
      </w:r>
      <w:r w:rsidR="009114DE" w:rsidRPr="002121A4">
        <w:t xml:space="preserve"> It also covers scenarios where a person receives inside information in the course of a public takeover or a merger, and </w:t>
      </w:r>
      <w:r w:rsidR="00F204A9" w:rsidRPr="002121A4">
        <w:t>uses inside information solely for the purpose of proceeding with the merger or takeover – provided, however, that at the moment where shareholders of the target company approve of the merger or accept the offer, any inside information has either been made public or otherwise ceased to constitute inside information.</w:t>
      </w:r>
      <w:r w:rsidR="00C643D0" w:rsidRPr="002121A4">
        <w:rPr>
          <w:rStyle w:val="Funotenzeichen"/>
        </w:rPr>
        <w:footnoteReference w:id="182"/>
      </w:r>
      <w:r w:rsidR="00F204A9" w:rsidRPr="002121A4">
        <w:t xml:space="preserve"> Finally, pursuant to </w:t>
      </w:r>
      <w:r w:rsidRPr="002121A4">
        <w:t>article </w:t>
      </w:r>
      <w:r w:rsidR="00F204A9" w:rsidRPr="002121A4">
        <w:t xml:space="preserve">9(5) MAR, a person using its own knowledge </w:t>
      </w:r>
      <w:r w:rsidR="009D2392">
        <w:t xml:space="preserve">that is has decided to trade in financial instruments </w:t>
      </w:r>
      <w:r w:rsidR="00F204A9" w:rsidRPr="002121A4">
        <w:t xml:space="preserve">for a transaction </w:t>
      </w:r>
      <w:r w:rsidR="009D2392">
        <w:t xml:space="preserve">in these instruments </w:t>
      </w:r>
      <w:r w:rsidR="00F204A9" w:rsidRPr="002121A4">
        <w:t xml:space="preserve">is not by that mere fact deemed to use inside information. </w:t>
      </w:r>
    </w:p>
    <w:p w14:paraId="285CC898" w14:textId="4B4E8B2B" w:rsidR="00F204A9" w:rsidRPr="002121A4" w:rsidRDefault="00F204A9" w:rsidP="00610BFB">
      <w:pPr>
        <w:pStyle w:val="Standardwithparanumbering"/>
      </w:pPr>
      <w:r w:rsidRPr="002121A4">
        <w:t xml:space="preserve">There is an important reservation as regards “legitimate behaviour” described in </w:t>
      </w:r>
      <w:r w:rsidR="001870C0" w:rsidRPr="002121A4">
        <w:t>article </w:t>
      </w:r>
      <w:r w:rsidRPr="002121A4">
        <w:t xml:space="preserve">9 MAR: in fact, the cases described as legitimate behaviour only imply that certain elements do not </w:t>
      </w:r>
      <w:r w:rsidR="00872312" w:rsidRPr="002121A4">
        <w:t xml:space="preserve">as </w:t>
      </w:r>
      <w:r w:rsidRPr="002121A4">
        <w:t xml:space="preserve">such </w:t>
      </w:r>
      <w:r w:rsidR="00872312" w:rsidRPr="002121A4">
        <w:t xml:space="preserve">and by themselves </w:t>
      </w:r>
      <w:r w:rsidRPr="002121A4">
        <w:t xml:space="preserve">justify the conclusion that a person has “used” inside information. </w:t>
      </w:r>
      <w:r w:rsidR="007779F9" w:rsidRPr="002121A4">
        <w:t xml:space="preserve">However, the ultimate assessment depends on the specific facts of the case, and </w:t>
      </w:r>
      <w:r w:rsidRPr="002121A4">
        <w:t>if illegitimate reasons are behind a</w:t>
      </w:r>
      <w:r w:rsidR="003169FB" w:rsidRPr="002121A4">
        <w:t xml:space="preserve"> specific activity </w:t>
      </w:r>
      <w:r w:rsidRPr="002121A4">
        <w:t>or behaviour, the prohibition of inside</w:t>
      </w:r>
      <w:r w:rsidR="00C30599">
        <w:t xml:space="preserve">r dealing </w:t>
      </w:r>
      <w:r w:rsidRPr="002121A4">
        <w:t>still applies.</w:t>
      </w:r>
      <w:r w:rsidR="007F0498" w:rsidRPr="002121A4">
        <w:rPr>
          <w:rStyle w:val="Funotenzeichen"/>
        </w:rPr>
        <w:footnoteReference w:id="183"/>
      </w:r>
    </w:p>
    <w:p w14:paraId="6E7A6F5E" w14:textId="7F11F9E0" w:rsidR="00514D10" w:rsidRPr="002121A4" w:rsidRDefault="00514D10" w:rsidP="00AB42AA">
      <w:pPr>
        <w:pStyle w:val="Case"/>
        <w:numPr>
          <w:ilvl w:val="0"/>
          <w:numId w:val="14"/>
        </w:numPr>
        <w:ind w:left="567" w:firstLine="0"/>
        <w:rPr>
          <w:szCs w:val="23"/>
        </w:rPr>
      </w:pPr>
      <w:bookmarkStart w:id="115" w:name="_Ref163123409"/>
      <w:r w:rsidRPr="002121A4">
        <w:rPr>
          <w:szCs w:val="23"/>
        </w:rPr>
        <w:t xml:space="preserve">Spector is a listed Belgian company. It offers a stock option programme to its staff. In </w:t>
      </w:r>
      <w:r w:rsidRPr="005152F4">
        <w:t>May</w:t>
      </w:r>
      <w:r w:rsidRPr="002121A4">
        <w:rPr>
          <w:szCs w:val="23"/>
        </w:rPr>
        <w:t xml:space="preserve"> 2003, Spector </w:t>
      </w:r>
      <w:r w:rsidR="006A7181">
        <w:rPr>
          <w:szCs w:val="23"/>
        </w:rPr>
        <w:t xml:space="preserve">decided </w:t>
      </w:r>
      <w:r w:rsidRPr="002121A4">
        <w:rPr>
          <w:szCs w:val="23"/>
        </w:rPr>
        <w:t xml:space="preserve">to buy own shares as part of its </w:t>
      </w:r>
      <w:r w:rsidR="006A7181">
        <w:rPr>
          <w:szCs w:val="23"/>
        </w:rPr>
        <w:t xml:space="preserve">employee </w:t>
      </w:r>
      <w:r w:rsidRPr="002121A4">
        <w:rPr>
          <w:szCs w:val="23"/>
        </w:rPr>
        <w:t xml:space="preserve">stock option programme. From 28 May to 30 August Spector purchased a total of 30,000 shares. On 11 and 13 August, a Spector employee placed two orders enabling Spector to acquire 20,000 shares at an average price of 10 €. Spector subsequently published information concerning its results and its commercial policy. Following the announcement, the company’s share price increased to 12.50 €. (Case C‑45/08, </w:t>
      </w:r>
      <w:r w:rsidRPr="002121A4">
        <w:rPr>
          <w:i/>
          <w:szCs w:val="23"/>
        </w:rPr>
        <w:t xml:space="preserve">Spector Photo Group NV v. </w:t>
      </w:r>
      <w:proofErr w:type="spellStart"/>
      <w:r w:rsidRPr="002121A4">
        <w:rPr>
          <w:i/>
          <w:szCs w:val="23"/>
        </w:rPr>
        <w:t>Commissie</w:t>
      </w:r>
      <w:proofErr w:type="spellEnd"/>
      <w:r w:rsidRPr="002121A4">
        <w:rPr>
          <w:i/>
          <w:szCs w:val="23"/>
        </w:rPr>
        <w:t xml:space="preserve"> </w:t>
      </w:r>
      <w:proofErr w:type="spellStart"/>
      <w:r w:rsidRPr="002121A4">
        <w:rPr>
          <w:i/>
          <w:szCs w:val="23"/>
        </w:rPr>
        <w:t>voor</w:t>
      </w:r>
      <w:proofErr w:type="spellEnd"/>
      <w:r w:rsidRPr="002121A4">
        <w:rPr>
          <w:i/>
          <w:szCs w:val="23"/>
        </w:rPr>
        <w:t xml:space="preserve"> het Bank-, </w:t>
      </w:r>
      <w:proofErr w:type="spellStart"/>
      <w:r w:rsidRPr="002121A4">
        <w:rPr>
          <w:i/>
          <w:szCs w:val="23"/>
        </w:rPr>
        <w:t>Financie</w:t>
      </w:r>
      <w:proofErr w:type="spellEnd"/>
      <w:r w:rsidRPr="002121A4">
        <w:rPr>
          <w:i/>
          <w:szCs w:val="23"/>
        </w:rPr>
        <w:t xml:space="preserve">- en </w:t>
      </w:r>
      <w:proofErr w:type="spellStart"/>
      <w:r w:rsidRPr="002121A4">
        <w:rPr>
          <w:i/>
          <w:szCs w:val="23"/>
        </w:rPr>
        <w:t>Assurantiewezen</w:t>
      </w:r>
      <w:proofErr w:type="spellEnd"/>
      <w:r w:rsidRPr="002121A4">
        <w:rPr>
          <w:i/>
          <w:szCs w:val="23"/>
        </w:rPr>
        <w:t xml:space="preserve"> (CBFA)</w:t>
      </w:r>
      <w:r w:rsidRPr="002121A4">
        <w:rPr>
          <w:szCs w:val="23"/>
        </w:rPr>
        <w:t>)</w:t>
      </w:r>
      <w:bookmarkEnd w:id="115"/>
    </w:p>
    <w:p w14:paraId="104F0F58" w14:textId="68DA91BF" w:rsidR="00236213" w:rsidRPr="002121A4" w:rsidRDefault="00610BFB" w:rsidP="00236213">
      <w:pPr>
        <w:pStyle w:val="Case"/>
      </w:pPr>
      <w:r w:rsidRPr="002121A4">
        <w:rPr>
          <w:b/>
        </w:rPr>
        <w:t>Notes.</w:t>
      </w:r>
      <w:r w:rsidR="00CD0160" w:rsidRPr="002121A4">
        <w:rPr>
          <w:b/>
        </w:rPr>
        <w:br/>
      </w:r>
      <w:r w:rsidR="00CD0160" w:rsidRPr="002121A4">
        <w:rPr>
          <w:b/>
        </w:rPr>
        <w:br/>
      </w:r>
      <w:r w:rsidR="00CD0160" w:rsidRPr="002121A4">
        <w:rPr>
          <w:b/>
        </w:rPr>
        <w:br/>
      </w:r>
      <w:r w:rsidR="00CD0160" w:rsidRPr="002121A4">
        <w:rPr>
          <w:b/>
        </w:rPr>
        <w:br/>
      </w:r>
      <w:r w:rsidR="00CD0160" w:rsidRPr="002121A4">
        <w:rPr>
          <w:b/>
        </w:rPr>
        <w:br/>
      </w:r>
    </w:p>
    <w:p w14:paraId="54D5CE67" w14:textId="03D79479" w:rsidR="00B80A03" w:rsidRPr="002121A4" w:rsidRDefault="00B80A03" w:rsidP="00B80A03">
      <w:pPr>
        <w:pStyle w:val="Standardwithparanumbering"/>
        <w:rPr>
          <w:szCs w:val="23"/>
        </w:rPr>
      </w:pPr>
      <w:r w:rsidRPr="002121A4">
        <w:rPr>
          <w:szCs w:val="23"/>
        </w:rPr>
        <w:t xml:space="preserve">In addition to </w:t>
      </w:r>
      <w:r w:rsidR="001870C0" w:rsidRPr="002121A4">
        <w:rPr>
          <w:szCs w:val="23"/>
        </w:rPr>
        <w:t>article </w:t>
      </w:r>
      <w:r w:rsidRPr="002121A4">
        <w:rPr>
          <w:szCs w:val="23"/>
        </w:rPr>
        <w:t>9, certain types of transactions are exempted altogether from the prohibitions of insider dealing: the prohibition does not apply to share buy-back programmes and stabil</w:t>
      </w:r>
      <w:r w:rsidR="00706D6F" w:rsidRPr="002121A4">
        <w:rPr>
          <w:szCs w:val="23"/>
        </w:rPr>
        <w:t>ization</w:t>
      </w:r>
      <w:r w:rsidRPr="002121A4">
        <w:rPr>
          <w:szCs w:val="23"/>
        </w:rPr>
        <w:t xml:space="preserve"> in accordance with </w:t>
      </w:r>
      <w:r w:rsidR="001870C0" w:rsidRPr="002121A4">
        <w:rPr>
          <w:szCs w:val="23"/>
        </w:rPr>
        <w:t>article </w:t>
      </w:r>
      <w:r w:rsidRPr="002121A4">
        <w:rPr>
          <w:szCs w:val="23"/>
        </w:rPr>
        <w:t>5 MAR. The</w:t>
      </w:r>
      <w:r w:rsidR="00486738" w:rsidRPr="002121A4">
        <w:rPr>
          <w:szCs w:val="23"/>
        </w:rPr>
        <w:t xml:space="preserve"> article 5</w:t>
      </w:r>
      <w:r w:rsidRPr="002121A4">
        <w:rPr>
          <w:szCs w:val="23"/>
        </w:rPr>
        <w:t xml:space="preserve"> exemption </w:t>
      </w:r>
      <w:r w:rsidR="002608A7" w:rsidRPr="002121A4">
        <w:rPr>
          <w:szCs w:val="23"/>
        </w:rPr>
        <w:t xml:space="preserve">applies </w:t>
      </w:r>
      <w:r w:rsidRPr="002121A4">
        <w:rPr>
          <w:szCs w:val="23"/>
        </w:rPr>
        <w:t xml:space="preserve">not only </w:t>
      </w:r>
      <w:r w:rsidR="002608A7" w:rsidRPr="002121A4">
        <w:rPr>
          <w:szCs w:val="23"/>
        </w:rPr>
        <w:t xml:space="preserve">to the prohibition of </w:t>
      </w:r>
      <w:r w:rsidRPr="002121A4">
        <w:rPr>
          <w:szCs w:val="23"/>
        </w:rPr>
        <w:t xml:space="preserve">insider dealing, but all prohibitions under </w:t>
      </w:r>
      <w:r w:rsidR="001870C0" w:rsidRPr="002121A4">
        <w:rPr>
          <w:szCs w:val="23"/>
        </w:rPr>
        <w:t>articles </w:t>
      </w:r>
      <w:r w:rsidRPr="002121A4">
        <w:rPr>
          <w:szCs w:val="23"/>
        </w:rPr>
        <w:t>14, 15 MAR, including the prohibitions of unlawful disclosure and market manipulation.</w:t>
      </w:r>
    </w:p>
    <w:p w14:paraId="40590CD8" w14:textId="3AEE7E3A" w:rsidR="00E51CCF" w:rsidRPr="002121A4" w:rsidRDefault="00C12800" w:rsidP="00C12800">
      <w:pPr>
        <w:pStyle w:val="berschrift4"/>
        <w:rPr>
          <w:lang w:val="en-GB"/>
        </w:rPr>
      </w:pPr>
      <w:r w:rsidRPr="002121A4">
        <w:rPr>
          <w:lang w:val="en-GB"/>
        </w:rPr>
        <w:t>Prohibition of u</w:t>
      </w:r>
      <w:r w:rsidR="00E51CCF" w:rsidRPr="002121A4">
        <w:rPr>
          <w:lang w:val="en-GB"/>
        </w:rPr>
        <w:t>nlawful disclosure of inside information</w:t>
      </w:r>
    </w:p>
    <w:p w14:paraId="2A6C59A8" w14:textId="372A36C8" w:rsidR="00514D10" w:rsidRPr="002121A4" w:rsidRDefault="007918BF" w:rsidP="00C12800">
      <w:pPr>
        <w:pStyle w:val="Standardwithparanumbering"/>
      </w:pPr>
      <w:r w:rsidRPr="002121A4">
        <w:t>In addition to insider dealing, the MAR also prohibits the unlawful disclosure of inside information.</w:t>
      </w:r>
      <w:r w:rsidR="00F71821" w:rsidRPr="002121A4">
        <w:rPr>
          <w:rStyle w:val="Funotenzeichen"/>
        </w:rPr>
        <w:footnoteReference w:id="184"/>
      </w:r>
      <w:r w:rsidRPr="002121A4">
        <w:t xml:space="preserve"> </w:t>
      </w:r>
      <w:r w:rsidR="00F71821" w:rsidRPr="002121A4">
        <w:t xml:space="preserve">Pursuant to </w:t>
      </w:r>
      <w:r w:rsidR="001870C0" w:rsidRPr="002121A4">
        <w:t>article </w:t>
      </w:r>
      <w:r w:rsidR="00F71821" w:rsidRPr="002121A4">
        <w:t>10 MAR, u</w:t>
      </w:r>
      <w:r w:rsidRPr="002121A4">
        <w:t>nlawful disclosure occurs</w:t>
      </w:r>
      <w:r w:rsidR="00ED3943" w:rsidRPr="002121A4">
        <w:t xml:space="preserve"> where a person in possession of inside information as described in </w:t>
      </w:r>
      <w:r w:rsidR="001870C0" w:rsidRPr="002121A4">
        <w:t>article </w:t>
      </w:r>
      <w:r w:rsidR="00ED3943" w:rsidRPr="002121A4">
        <w:t xml:space="preserve">8(4) MAR discloses that information to any other person, except where the disclosure is made in the normal exercise of an employment, a profession or </w:t>
      </w:r>
      <w:r w:rsidR="00ED3943" w:rsidRPr="002121A4">
        <w:lastRenderedPageBreak/>
        <w:t>duties.</w:t>
      </w:r>
      <w:r w:rsidR="00ED3943" w:rsidRPr="002121A4">
        <w:rPr>
          <w:rStyle w:val="Funotenzeichen"/>
        </w:rPr>
        <w:footnoteReference w:id="185"/>
      </w:r>
      <w:r w:rsidR="00ED3943" w:rsidRPr="002121A4">
        <w:t xml:space="preserve"> Likewise, it is prohibited to pass on recommendations or inducements prohibited under </w:t>
      </w:r>
      <w:r w:rsidR="001870C0" w:rsidRPr="002121A4">
        <w:t>article </w:t>
      </w:r>
      <w:r w:rsidR="00ED3943" w:rsidRPr="002121A4">
        <w:t>8(2) MAR where the person disclosing the recommendation or inducement knows or ought to know that it was based on inside information.</w:t>
      </w:r>
      <w:r w:rsidR="005C05C0" w:rsidRPr="002121A4">
        <w:rPr>
          <w:rStyle w:val="Funotenzeichen"/>
        </w:rPr>
        <w:footnoteReference w:id="186"/>
      </w:r>
      <w:r w:rsidR="005C05C0" w:rsidRPr="002121A4">
        <w:t xml:space="preserve"> The objective of the prohibition to disclose inside information is to prevent insider dealing by restricting access to inside information.</w:t>
      </w:r>
    </w:p>
    <w:p w14:paraId="3C2A3397" w14:textId="192EC75A" w:rsidR="00514D10" w:rsidRPr="002121A4" w:rsidRDefault="00514D10" w:rsidP="00AB42AA">
      <w:pPr>
        <w:pStyle w:val="Case"/>
        <w:numPr>
          <w:ilvl w:val="0"/>
          <w:numId w:val="14"/>
        </w:numPr>
        <w:ind w:left="567" w:firstLine="0"/>
        <w:rPr>
          <w:szCs w:val="23"/>
        </w:rPr>
      </w:pPr>
      <w:bookmarkStart w:id="116" w:name="_Ref163123565"/>
      <w:r w:rsidRPr="002121A4">
        <w:rPr>
          <w:szCs w:val="23"/>
        </w:rPr>
        <w:t xml:space="preserve">Mr </w:t>
      </w:r>
      <w:bookmarkStart w:id="117" w:name="_Hlk191974590"/>
      <w:r w:rsidRPr="002121A4">
        <w:rPr>
          <w:szCs w:val="23"/>
        </w:rPr>
        <w:t xml:space="preserve">Grøngaard </w:t>
      </w:r>
      <w:bookmarkEnd w:id="117"/>
      <w:r w:rsidRPr="002121A4">
        <w:rPr>
          <w:szCs w:val="23"/>
        </w:rPr>
        <w:t xml:space="preserve">was </w:t>
      </w:r>
      <w:r w:rsidR="00C30599">
        <w:rPr>
          <w:szCs w:val="23"/>
        </w:rPr>
        <w:t>employee-</w:t>
      </w:r>
      <w:r w:rsidR="00612D18">
        <w:rPr>
          <w:szCs w:val="23"/>
        </w:rPr>
        <w:t xml:space="preserve">elected </w:t>
      </w:r>
      <w:r w:rsidR="00C30599">
        <w:rPr>
          <w:szCs w:val="23"/>
        </w:rPr>
        <w:t xml:space="preserve">member of the board </w:t>
      </w:r>
      <w:r w:rsidR="00FA7698">
        <w:rPr>
          <w:szCs w:val="23"/>
        </w:rPr>
        <w:t xml:space="preserve">of </w:t>
      </w:r>
      <w:proofErr w:type="spellStart"/>
      <w:r w:rsidR="00FA7698">
        <w:rPr>
          <w:szCs w:val="23"/>
        </w:rPr>
        <w:t>RealDanmark</w:t>
      </w:r>
      <w:proofErr w:type="spellEnd"/>
      <w:r w:rsidR="00FA7698">
        <w:rPr>
          <w:szCs w:val="23"/>
        </w:rPr>
        <w:t>, a listed company. He was also</w:t>
      </w:r>
      <w:r w:rsidRPr="002121A4">
        <w:rPr>
          <w:szCs w:val="23"/>
        </w:rPr>
        <w:t xml:space="preserve"> appointed by </w:t>
      </w:r>
      <w:proofErr w:type="spellStart"/>
      <w:r w:rsidRPr="002121A4">
        <w:rPr>
          <w:szCs w:val="23"/>
        </w:rPr>
        <w:t>Finansforbundet</w:t>
      </w:r>
      <w:proofErr w:type="spellEnd"/>
      <w:r w:rsidR="00FA7698">
        <w:rPr>
          <w:szCs w:val="23"/>
        </w:rPr>
        <w:t xml:space="preserve">, a trade </w:t>
      </w:r>
      <w:r w:rsidR="00FA7698" w:rsidRPr="005152F4">
        <w:t>union</w:t>
      </w:r>
      <w:r w:rsidR="00FA7698">
        <w:rPr>
          <w:szCs w:val="23"/>
        </w:rPr>
        <w:t>,</w:t>
      </w:r>
      <w:r w:rsidRPr="002121A4">
        <w:rPr>
          <w:szCs w:val="23"/>
        </w:rPr>
        <w:t xml:space="preserve"> as member of </w:t>
      </w:r>
      <w:r w:rsidR="00FA7698">
        <w:rPr>
          <w:szCs w:val="23"/>
        </w:rPr>
        <w:t>the trade union’s “</w:t>
      </w:r>
      <w:r w:rsidRPr="002121A4">
        <w:rPr>
          <w:szCs w:val="23"/>
        </w:rPr>
        <w:t>Liaison Committee</w:t>
      </w:r>
      <w:r w:rsidR="00FA7698">
        <w:rPr>
          <w:szCs w:val="23"/>
        </w:rPr>
        <w:t xml:space="preserve">” with </w:t>
      </w:r>
      <w:proofErr w:type="spellStart"/>
      <w:r w:rsidR="00FA7698">
        <w:rPr>
          <w:szCs w:val="23"/>
        </w:rPr>
        <w:t>RealDanmark</w:t>
      </w:r>
      <w:proofErr w:type="spellEnd"/>
      <w:r w:rsidRPr="002121A4">
        <w:rPr>
          <w:szCs w:val="23"/>
        </w:rPr>
        <w:t xml:space="preserve">. </w:t>
      </w:r>
      <w:r w:rsidR="00AF47C2">
        <w:rPr>
          <w:szCs w:val="23"/>
        </w:rPr>
        <w:t xml:space="preserve">In </w:t>
      </w:r>
      <w:r w:rsidRPr="002121A4">
        <w:rPr>
          <w:szCs w:val="23"/>
        </w:rPr>
        <w:t>a</w:t>
      </w:r>
      <w:r w:rsidR="00FA7698">
        <w:rPr>
          <w:szCs w:val="23"/>
        </w:rPr>
        <w:t xml:space="preserve"> </w:t>
      </w:r>
      <w:proofErr w:type="spellStart"/>
      <w:r w:rsidRPr="002121A4">
        <w:rPr>
          <w:szCs w:val="23"/>
        </w:rPr>
        <w:t>RealDanmark</w:t>
      </w:r>
      <w:proofErr w:type="spellEnd"/>
      <w:r w:rsidRPr="002121A4">
        <w:rPr>
          <w:szCs w:val="23"/>
        </w:rPr>
        <w:t xml:space="preserve"> board</w:t>
      </w:r>
      <w:r w:rsidR="00AF47C2">
        <w:rPr>
          <w:szCs w:val="23"/>
        </w:rPr>
        <w:t xml:space="preserve"> meeting</w:t>
      </w:r>
      <w:r w:rsidRPr="002121A4">
        <w:rPr>
          <w:szCs w:val="23"/>
        </w:rPr>
        <w:t>, Mr Grøngaard</w:t>
      </w:r>
      <w:r w:rsidR="00FA7698">
        <w:rPr>
          <w:szCs w:val="23"/>
        </w:rPr>
        <w:t xml:space="preserve"> </w:t>
      </w:r>
      <w:r w:rsidR="00AF47C2">
        <w:rPr>
          <w:szCs w:val="23"/>
        </w:rPr>
        <w:t xml:space="preserve">learned about </w:t>
      </w:r>
      <w:proofErr w:type="spellStart"/>
      <w:r w:rsidR="00FA7698">
        <w:rPr>
          <w:szCs w:val="23"/>
        </w:rPr>
        <w:t>RealDanmark’s</w:t>
      </w:r>
      <w:proofErr w:type="spellEnd"/>
      <w:r w:rsidR="00FA7698">
        <w:rPr>
          <w:szCs w:val="23"/>
        </w:rPr>
        <w:t xml:space="preserve"> </w:t>
      </w:r>
      <w:r w:rsidRPr="002121A4">
        <w:rPr>
          <w:szCs w:val="23"/>
        </w:rPr>
        <w:t>plan to merge with Danske Bank</w:t>
      </w:r>
      <w:r w:rsidR="00AF47C2">
        <w:rPr>
          <w:szCs w:val="23"/>
        </w:rPr>
        <w:t xml:space="preserve">, and disclosed this plan </w:t>
      </w:r>
      <w:r w:rsidR="00AF47C2" w:rsidRPr="002121A4">
        <w:rPr>
          <w:szCs w:val="23"/>
        </w:rPr>
        <w:t>to Mr Bang</w:t>
      </w:r>
      <w:r w:rsidR="00AF47C2">
        <w:rPr>
          <w:szCs w:val="23"/>
        </w:rPr>
        <w:t xml:space="preserve">, </w:t>
      </w:r>
      <w:r w:rsidR="00AF47C2" w:rsidRPr="002121A4">
        <w:rPr>
          <w:szCs w:val="23"/>
        </w:rPr>
        <w:t xml:space="preserve">General Secretary of </w:t>
      </w:r>
      <w:proofErr w:type="spellStart"/>
      <w:r w:rsidR="00AF47C2" w:rsidRPr="002121A4">
        <w:rPr>
          <w:szCs w:val="23"/>
        </w:rPr>
        <w:t>Finansforbundet</w:t>
      </w:r>
      <w:proofErr w:type="spellEnd"/>
      <w:r w:rsidR="00AF47C2" w:rsidRPr="002121A4">
        <w:rPr>
          <w:szCs w:val="23"/>
        </w:rPr>
        <w:t xml:space="preserve">, </w:t>
      </w:r>
      <w:r w:rsidRPr="002121A4">
        <w:rPr>
          <w:szCs w:val="23"/>
        </w:rPr>
        <w:t xml:space="preserve">with the aim of helping the staff to deal with the consequences of the merger. They discussed, in particular, the timetable for the merger as well as the expected rise in the price of </w:t>
      </w:r>
      <w:proofErr w:type="spellStart"/>
      <w:r w:rsidRPr="002121A4">
        <w:rPr>
          <w:szCs w:val="23"/>
        </w:rPr>
        <w:t>RealDanmark’s</w:t>
      </w:r>
      <w:proofErr w:type="spellEnd"/>
      <w:r w:rsidRPr="002121A4">
        <w:rPr>
          <w:szCs w:val="23"/>
        </w:rPr>
        <w:t xml:space="preserve"> shares, understood to be between 60% and 70%. </w:t>
      </w:r>
      <w:r w:rsidR="007502A8">
        <w:rPr>
          <w:szCs w:val="23"/>
        </w:rPr>
        <w:t>A few months later</w:t>
      </w:r>
      <w:r w:rsidRPr="002121A4">
        <w:rPr>
          <w:szCs w:val="23"/>
        </w:rPr>
        <w:t>, the merger was made public</w:t>
      </w:r>
      <w:r w:rsidR="005F1360">
        <w:rPr>
          <w:szCs w:val="23"/>
        </w:rPr>
        <w:t>,</w:t>
      </w:r>
      <w:r w:rsidRPr="002121A4">
        <w:rPr>
          <w:szCs w:val="23"/>
        </w:rPr>
        <w:t xml:space="preserve"> and </w:t>
      </w:r>
      <w:proofErr w:type="spellStart"/>
      <w:r w:rsidRPr="002121A4">
        <w:rPr>
          <w:szCs w:val="23"/>
        </w:rPr>
        <w:t>RealDanmark</w:t>
      </w:r>
      <w:proofErr w:type="spellEnd"/>
      <w:r w:rsidRPr="002121A4">
        <w:rPr>
          <w:szCs w:val="23"/>
        </w:rPr>
        <w:t xml:space="preserve"> shares rose by 65%.</w:t>
      </w:r>
      <w:r w:rsidR="007502A8">
        <w:rPr>
          <w:szCs w:val="23"/>
        </w:rPr>
        <w:t xml:space="preserve"> Did Mr </w:t>
      </w:r>
      <w:r w:rsidR="007502A8" w:rsidRPr="007502A8">
        <w:rPr>
          <w:szCs w:val="23"/>
        </w:rPr>
        <w:t>Grøngaard</w:t>
      </w:r>
      <w:r w:rsidR="007502A8">
        <w:rPr>
          <w:szCs w:val="23"/>
        </w:rPr>
        <w:t xml:space="preserve"> breach article 10 MAR?</w:t>
      </w:r>
      <w:r w:rsidRPr="002121A4">
        <w:rPr>
          <w:szCs w:val="23"/>
        </w:rPr>
        <w:t xml:space="preserve"> (Case C-384/02, </w:t>
      </w:r>
      <w:r w:rsidRPr="002121A4">
        <w:rPr>
          <w:i/>
          <w:szCs w:val="23"/>
        </w:rPr>
        <w:t>Grøngaard and Bang</w:t>
      </w:r>
      <w:r w:rsidRPr="002121A4">
        <w:rPr>
          <w:szCs w:val="23"/>
        </w:rPr>
        <w:t>)</w:t>
      </w:r>
      <w:bookmarkEnd w:id="116"/>
    </w:p>
    <w:p w14:paraId="01DB90AD" w14:textId="5A2F5763" w:rsidR="00EF6FCA" w:rsidRPr="002121A4" w:rsidRDefault="00EF6FCA" w:rsidP="00514D10">
      <w:pPr>
        <w:pStyle w:val="Case"/>
        <w:rPr>
          <w:szCs w:val="23"/>
        </w:rPr>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17E8B155" w14:textId="48661DBD" w:rsidR="00EF6FCA" w:rsidRPr="002121A4" w:rsidRDefault="00EF6FCA" w:rsidP="00EF1782">
      <w:pPr>
        <w:pStyle w:val="Standardwithparanumbering"/>
      </w:pPr>
      <w:bookmarkStart w:id="118" w:name="_Ref127620738"/>
      <w:r w:rsidRPr="002121A4">
        <w:t xml:space="preserve">Where information or recommendations are disclosed or disseminated for the purpose of journalism or other form of expression in the media, the assessment of such disclosure or dissemination must take into account the rules governing the freedom </w:t>
      </w:r>
      <w:r w:rsidR="00E96BB4" w:rsidRPr="002121A4">
        <w:t>of</w:t>
      </w:r>
      <w:r w:rsidRPr="002121A4">
        <w:t xml:space="preserve"> the press and freedom of expression.</w:t>
      </w:r>
      <w:r w:rsidR="003D4F08" w:rsidRPr="002121A4">
        <w:rPr>
          <w:rStyle w:val="Funotenzeichen"/>
        </w:rPr>
        <w:footnoteReference w:id="187"/>
      </w:r>
      <w:r w:rsidRPr="002121A4">
        <w:t xml:space="preserve"> This applies not only to the prohibition of unlawful disclosure of inside information, but also to the prohibition of market manipulation where this involves the dissemination of information</w:t>
      </w:r>
      <w:r w:rsidR="00916378" w:rsidRPr="002121A4">
        <w:t>,</w:t>
      </w:r>
      <w:r w:rsidR="003D4F08" w:rsidRPr="002121A4">
        <w:rPr>
          <w:rStyle w:val="Funotenzeichen"/>
        </w:rPr>
        <w:footnoteReference w:id="188"/>
      </w:r>
      <w:r w:rsidRPr="002121A4">
        <w:t xml:space="preserve"> and the dissemination of investment recommendations and statistics under </w:t>
      </w:r>
      <w:r w:rsidR="001870C0" w:rsidRPr="002121A4">
        <w:t>article </w:t>
      </w:r>
      <w:r w:rsidRPr="002121A4">
        <w:t xml:space="preserve">20 MAR. The media privilege under </w:t>
      </w:r>
      <w:r w:rsidR="001870C0" w:rsidRPr="002121A4">
        <w:t>article </w:t>
      </w:r>
      <w:r w:rsidRPr="002121A4">
        <w:t xml:space="preserve">21 MAR does not apply where the persons concerned or closely associated with them derive an advantage from the disclosure or dissemination in question or where disclose is made with the </w:t>
      </w:r>
      <w:r w:rsidR="00E96BB4" w:rsidRPr="002121A4">
        <w:t>intention</w:t>
      </w:r>
      <w:r w:rsidRPr="002121A4">
        <w:t xml:space="preserve"> of misleading the market.</w:t>
      </w:r>
      <w:bookmarkEnd w:id="118"/>
      <w:r w:rsidR="001F7D19" w:rsidRPr="002121A4">
        <w:rPr>
          <w:rStyle w:val="Funotenzeichen"/>
        </w:rPr>
        <w:footnoteReference w:id="189"/>
      </w:r>
    </w:p>
    <w:p w14:paraId="5FB82E29" w14:textId="40F182D0" w:rsidR="00EF6FCA" w:rsidRPr="002121A4" w:rsidRDefault="00EF6FCA" w:rsidP="00AB42AA">
      <w:pPr>
        <w:pStyle w:val="Case"/>
        <w:numPr>
          <w:ilvl w:val="0"/>
          <w:numId w:val="14"/>
        </w:numPr>
        <w:ind w:left="567" w:firstLine="0"/>
        <w:rPr>
          <w:szCs w:val="23"/>
        </w:rPr>
      </w:pPr>
      <w:bookmarkStart w:id="119" w:name="_Ref163123614"/>
      <w:r w:rsidRPr="002121A4">
        <w:rPr>
          <w:szCs w:val="23"/>
        </w:rPr>
        <w:t>A prominent journalist</w:t>
      </w:r>
      <w:r w:rsidRPr="002121A4">
        <w:rPr>
          <w:b/>
          <w:szCs w:val="23"/>
        </w:rPr>
        <w:t xml:space="preserve"> </w:t>
      </w:r>
      <w:r w:rsidRPr="002121A4">
        <w:rPr>
          <w:szCs w:val="23"/>
        </w:rPr>
        <w:t xml:space="preserve">intends to publish an </w:t>
      </w:r>
      <w:r w:rsidR="001870C0" w:rsidRPr="002121A4">
        <w:rPr>
          <w:szCs w:val="23"/>
        </w:rPr>
        <w:t>article </w:t>
      </w:r>
      <w:r w:rsidRPr="002121A4">
        <w:rPr>
          <w:szCs w:val="23"/>
        </w:rPr>
        <w:t xml:space="preserve">containing market rumours concerning certain issuers (Hermès and Maurel). He informs his habitual sources about the imminent publication of that </w:t>
      </w:r>
      <w:r w:rsidR="001870C0" w:rsidRPr="002121A4">
        <w:rPr>
          <w:szCs w:val="23"/>
        </w:rPr>
        <w:t>article </w:t>
      </w:r>
      <w:r w:rsidRPr="002121A4">
        <w:rPr>
          <w:szCs w:val="23"/>
        </w:rPr>
        <w:t xml:space="preserve">who in turn pass on this information and use it for </w:t>
      </w:r>
      <w:r w:rsidRPr="005152F4">
        <w:t>trading</w:t>
      </w:r>
      <w:r w:rsidRPr="002121A4">
        <w:rPr>
          <w:szCs w:val="23"/>
        </w:rPr>
        <w:t xml:space="preserve"> in shares of the two issuers involved. Did the journalist breach the Market Abuse Regulation? (Case C-302/20 – </w:t>
      </w:r>
      <w:r w:rsidRPr="002121A4">
        <w:rPr>
          <w:i/>
          <w:szCs w:val="23"/>
        </w:rPr>
        <w:t>Hermès</w:t>
      </w:r>
      <w:r w:rsidRPr="002121A4">
        <w:rPr>
          <w:szCs w:val="23"/>
        </w:rPr>
        <w:t>, also</w:t>
      </w:r>
      <w:r w:rsidRPr="002121A4">
        <w:rPr>
          <w:i/>
          <w:szCs w:val="23"/>
        </w:rPr>
        <w:t xml:space="preserve"> </w:t>
      </w:r>
      <w:r w:rsidRPr="002121A4">
        <w:rPr>
          <w:szCs w:val="23"/>
        </w:rPr>
        <w:t>see AMF Commission des sanctions, 24 October 2018)</w:t>
      </w:r>
      <w:bookmarkEnd w:id="119"/>
    </w:p>
    <w:p w14:paraId="37CFD421" w14:textId="221A1A59" w:rsidR="00EF6FCA" w:rsidRPr="002121A4" w:rsidRDefault="000806F3" w:rsidP="00EF6FCA">
      <w:pPr>
        <w:pStyle w:val="Case"/>
        <w:rPr>
          <w:b/>
          <w:szCs w:val="23"/>
        </w:rPr>
      </w:pPr>
      <w:r w:rsidRPr="002121A4">
        <w:rPr>
          <w:b/>
          <w:szCs w:val="23"/>
        </w:rPr>
        <w:t>Notes.</w:t>
      </w:r>
      <w:r w:rsidR="00956EF4" w:rsidRPr="002121A4">
        <w:rPr>
          <w:b/>
          <w:szCs w:val="23"/>
        </w:rPr>
        <w:br/>
      </w:r>
      <w:r w:rsidR="00956EF4" w:rsidRPr="002121A4">
        <w:rPr>
          <w:b/>
          <w:szCs w:val="23"/>
        </w:rPr>
        <w:br/>
      </w:r>
      <w:r w:rsidR="00956EF4" w:rsidRPr="002121A4">
        <w:rPr>
          <w:b/>
          <w:szCs w:val="23"/>
        </w:rPr>
        <w:br/>
      </w:r>
      <w:r w:rsidR="00956EF4" w:rsidRPr="002121A4">
        <w:rPr>
          <w:b/>
          <w:szCs w:val="23"/>
        </w:rPr>
        <w:br/>
      </w:r>
      <w:r w:rsidR="00956EF4" w:rsidRPr="002121A4">
        <w:rPr>
          <w:b/>
          <w:szCs w:val="23"/>
        </w:rPr>
        <w:br/>
      </w:r>
    </w:p>
    <w:p w14:paraId="334E95A8" w14:textId="4DCFA8CD" w:rsidR="00E51CCF" w:rsidRPr="002121A4" w:rsidRDefault="007D7EC6" w:rsidP="000806F3">
      <w:pPr>
        <w:pStyle w:val="berschrift4"/>
        <w:rPr>
          <w:lang w:val="en-GB"/>
        </w:rPr>
      </w:pPr>
      <w:r w:rsidRPr="002121A4">
        <w:rPr>
          <w:lang w:val="en-GB"/>
        </w:rPr>
        <w:lastRenderedPageBreak/>
        <w:t>M</w:t>
      </w:r>
      <w:r w:rsidR="00E51CCF" w:rsidRPr="002121A4">
        <w:rPr>
          <w:lang w:val="en-GB"/>
        </w:rPr>
        <w:t xml:space="preserve">arket manipulation, </w:t>
      </w:r>
      <w:r w:rsidR="001870C0" w:rsidRPr="002121A4">
        <w:rPr>
          <w:lang w:val="en-GB"/>
        </w:rPr>
        <w:t>article </w:t>
      </w:r>
      <w:r w:rsidR="00E51CCF" w:rsidRPr="002121A4">
        <w:rPr>
          <w:lang w:val="en-GB"/>
        </w:rPr>
        <w:t>12</w:t>
      </w:r>
      <w:r w:rsidRPr="002121A4">
        <w:rPr>
          <w:lang w:val="en-GB"/>
        </w:rPr>
        <w:t xml:space="preserve"> </w:t>
      </w:r>
      <w:r w:rsidR="00E51CCF" w:rsidRPr="002121A4">
        <w:rPr>
          <w:lang w:val="en-GB"/>
        </w:rPr>
        <w:t>MAR</w:t>
      </w:r>
    </w:p>
    <w:p w14:paraId="24AB1480" w14:textId="0EF56000" w:rsidR="000806F3" w:rsidRPr="002121A4" w:rsidRDefault="001870C0" w:rsidP="000806F3">
      <w:pPr>
        <w:pStyle w:val="Standardwithparanumbering"/>
      </w:pPr>
      <w:r w:rsidRPr="002121A4">
        <w:t>Article </w:t>
      </w:r>
      <w:r w:rsidR="00EA37F4" w:rsidRPr="002121A4">
        <w:t xml:space="preserve">15 MAR prohibits engaging, and attempting to engage, in market manipulation. Market manipulation is in turn defined in </w:t>
      </w:r>
      <w:r w:rsidRPr="002121A4">
        <w:t>article </w:t>
      </w:r>
      <w:r w:rsidR="00EA37F4" w:rsidRPr="002121A4">
        <w:t xml:space="preserve">12 MAR. </w:t>
      </w:r>
      <w:r w:rsidRPr="002121A4">
        <w:t>Article </w:t>
      </w:r>
      <w:r w:rsidR="00EA37F4" w:rsidRPr="002121A4">
        <w:t>12(1)</w:t>
      </w:r>
      <w:r w:rsidR="003D4F08" w:rsidRPr="002121A4">
        <w:t xml:space="preserve"> MAR</w:t>
      </w:r>
      <w:r w:rsidR="00EA37F4" w:rsidRPr="002121A4">
        <w:t xml:space="preserve"> gives an abstract definition of certain activities that constitute market manipulation, and </w:t>
      </w:r>
      <w:r w:rsidRPr="002121A4">
        <w:t>article </w:t>
      </w:r>
      <w:r w:rsidR="00EA37F4" w:rsidRPr="002121A4">
        <w:t>12(2)</w:t>
      </w:r>
      <w:r w:rsidR="003D4F08" w:rsidRPr="002121A4">
        <w:t xml:space="preserve"> MAR</w:t>
      </w:r>
      <w:r w:rsidR="00EA37F4" w:rsidRPr="002121A4">
        <w:t xml:space="preserve"> adds a list of specific behaviours</w:t>
      </w:r>
      <w:r w:rsidR="003D4F08" w:rsidRPr="002121A4">
        <w:t xml:space="preserve"> that are “considered as market manipulation”</w:t>
      </w:r>
      <w:r w:rsidR="00EA37F4" w:rsidRPr="002121A4">
        <w:t xml:space="preserve">. </w:t>
      </w:r>
    </w:p>
    <w:p w14:paraId="114DBBCC" w14:textId="312B7F1F" w:rsidR="00A0264C" w:rsidRPr="002121A4" w:rsidRDefault="001870C0" w:rsidP="000806F3">
      <w:pPr>
        <w:pStyle w:val="Standardwithparanumbering"/>
      </w:pPr>
      <w:r w:rsidRPr="002121A4">
        <w:t>Article </w:t>
      </w:r>
      <w:r w:rsidR="00A0264C" w:rsidRPr="002121A4">
        <w:t>12(1)</w:t>
      </w:r>
      <w:r w:rsidR="00056470" w:rsidRPr="002121A4">
        <w:t>(a), (b)</w:t>
      </w:r>
      <w:r w:rsidR="00A0264C" w:rsidRPr="002121A4">
        <w:t xml:space="preserve"> MAR captures transactions and orders</w:t>
      </w:r>
      <w:r w:rsidR="00A4465E" w:rsidRPr="002121A4">
        <w:t>. These constitute market manipulation where they</w:t>
      </w:r>
      <w:r w:rsidR="00A0264C" w:rsidRPr="002121A4">
        <w:t xml:space="preserve"> </w:t>
      </w:r>
    </w:p>
    <w:p w14:paraId="42697907" w14:textId="6D1CFA47" w:rsidR="00EA37F4" w:rsidRPr="00044BD7" w:rsidRDefault="00A0264C" w:rsidP="00B657A9">
      <w:pPr>
        <w:pStyle w:val="Listenabsatz"/>
        <w:numPr>
          <w:ilvl w:val="0"/>
          <w:numId w:val="11"/>
        </w:numPr>
        <w:rPr>
          <w:lang w:val="en-US"/>
        </w:rPr>
      </w:pPr>
      <w:r w:rsidRPr="00044BD7">
        <w:rPr>
          <w:lang w:val="en-US"/>
        </w:rPr>
        <w:t xml:space="preserve">create or are likely to create false or misleading signals as to supply, demand, and prices of financial </w:t>
      </w:r>
      <w:r w:rsidR="00056470" w:rsidRPr="00044BD7">
        <w:rPr>
          <w:lang w:val="en-US"/>
        </w:rPr>
        <w:t>instruments</w:t>
      </w:r>
      <w:r w:rsidR="00056470" w:rsidRPr="002121A4">
        <w:rPr>
          <w:rStyle w:val="Funotenzeichen"/>
        </w:rPr>
        <w:footnoteReference w:id="190"/>
      </w:r>
      <w:r w:rsidRPr="00044BD7">
        <w:rPr>
          <w:lang w:val="en-US"/>
        </w:rPr>
        <w:t xml:space="preserve">, </w:t>
      </w:r>
      <w:r w:rsidR="001870C0" w:rsidRPr="00044BD7">
        <w:rPr>
          <w:lang w:val="en-US"/>
        </w:rPr>
        <w:t>article </w:t>
      </w:r>
      <w:r w:rsidR="00C54BEF" w:rsidRPr="00044BD7">
        <w:rPr>
          <w:lang w:val="en-US"/>
        </w:rPr>
        <w:t>12(1)(a)(i) MAR,</w:t>
      </w:r>
    </w:p>
    <w:p w14:paraId="782AF886" w14:textId="0A02F82F" w:rsidR="00A0264C" w:rsidRPr="00044BD7" w:rsidRDefault="00A0264C" w:rsidP="002445A5">
      <w:pPr>
        <w:pStyle w:val="Listenabsatz"/>
        <w:numPr>
          <w:ilvl w:val="0"/>
          <w:numId w:val="11"/>
        </w:numPr>
        <w:rPr>
          <w:lang w:val="en-US"/>
        </w:rPr>
      </w:pPr>
      <w:r w:rsidRPr="00044BD7">
        <w:rPr>
          <w:lang w:val="en-US"/>
        </w:rPr>
        <w:t>secure or are likely to secure prices of financial instruments at an artificial level,</w:t>
      </w:r>
      <w:r w:rsidR="00C54BEF" w:rsidRPr="00044BD7">
        <w:rPr>
          <w:lang w:val="en-US"/>
        </w:rPr>
        <w:t xml:space="preserve"> </w:t>
      </w:r>
      <w:r w:rsidR="001870C0" w:rsidRPr="00044BD7">
        <w:rPr>
          <w:lang w:val="en-US"/>
        </w:rPr>
        <w:t>article </w:t>
      </w:r>
      <w:r w:rsidR="00C54BEF" w:rsidRPr="00044BD7">
        <w:rPr>
          <w:lang w:val="en-US"/>
        </w:rPr>
        <w:t>12(1)(a)(ii) MAR,</w:t>
      </w:r>
    </w:p>
    <w:p w14:paraId="5654E22B" w14:textId="76E5BA42" w:rsidR="00A0264C" w:rsidRPr="00044BD7" w:rsidRDefault="00A0264C" w:rsidP="002445A5">
      <w:pPr>
        <w:pStyle w:val="Listenabsatz"/>
        <w:numPr>
          <w:ilvl w:val="0"/>
          <w:numId w:val="11"/>
        </w:numPr>
        <w:rPr>
          <w:lang w:val="en-US"/>
        </w:rPr>
      </w:pPr>
      <w:r w:rsidRPr="00044BD7">
        <w:rPr>
          <w:lang w:val="en-US"/>
        </w:rPr>
        <w:t>affect the price of financial instruments by employment of fictitious devices or other form of deception or contrivance</w:t>
      </w:r>
      <w:r w:rsidR="00C54BEF" w:rsidRPr="00044BD7">
        <w:rPr>
          <w:lang w:val="en-US"/>
        </w:rPr>
        <w:t xml:space="preserve">, </w:t>
      </w:r>
      <w:r w:rsidR="001870C0" w:rsidRPr="00044BD7">
        <w:rPr>
          <w:lang w:val="en-US"/>
        </w:rPr>
        <w:t>article </w:t>
      </w:r>
      <w:r w:rsidR="00C54BEF" w:rsidRPr="00044BD7">
        <w:rPr>
          <w:lang w:val="en-US"/>
        </w:rPr>
        <w:t>12(1)(</w:t>
      </w:r>
      <w:r w:rsidR="005039DE" w:rsidRPr="00044BD7">
        <w:rPr>
          <w:lang w:val="en-US"/>
        </w:rPr>
        <w:t xml:space="preserve"> </w:t>
      </w:r>
      <w:r w:rsidR="00C54BEF" w:rsidRPr="00044BD7">
        <w:rPr>
          <w:lang w:val="en-US"/>
        </w:rPr>
        <w:t>b) MAR</w:t>
      </w:r>
      <w:r w:rsidRPr="00044BD7">
        <w:rPr>
          <w:lang w:val="en-US"/>
        </w:rPr>
        <w:t>.</w:t>
      </w:r>
    </w:p>
    <w:p w14:paraId="590CF306" w14:textId="5AA0B4BB" w:rsidR="00F9205E" w:rsidRPr="00044BD7" w:rsidRDefault="00F9205E" w:rsidP="0045607E">
      <w:pPr>
        <w:rPr>
          <w:lang w:val="en-US"/>
        </w:rPr>
      </w:pPr>
      <w:r w:rsidRPr="00044BD7">
        <w:rPr>
          <w:lang w:val="en-US"/>
        </w:rPr>
        <w:t>The circumstances listed in Annex I to the regulation define “indicators” relating to fictitious devices, deception or contrivance, false or misleading signals and securing prices</w:t>
      </w:r>
      <w:r w:rsidR="005F1360" w:rsidRPr="00044BD7">
        <w:rPr>
          <w:lang w:val="en-US"/>
        </w:rPr>
        <w:t xml:space="preserve"> within the meaning of article 12(1)</w:t>
      </w:r>
      <w:r w:rsidRPr="00044BD7">
        <w:rPr>
          <w:lang w:val="en-US"/>
        </w:rPr>
        <w:t>.</w:t>
      </w:r>
      <w:r w:rsidR="000F0631">
        <w:rPr>
          <w:rStyle w:val="Funotenzeichen"/>
        </w:rPr>
        <w:footnoteReference w:id="191"/>
      </w:r>
    </w:p>
    <w:p w14:paraId="7DA87804" w14:textId="0001EA36" w:rsidR="00056470" w:rsidRPr="002121A4" w:rsidRDefault="001870C0" w:rsidP="00A0264C">
      <w:pPr>
        <w:pStyle w:val="Standardwithparanumbering"/>
      </w:pPr>
      <w:r w:rsidRPr="002121A4">
        <w:t>Article </w:t>
      </w:r>
      <w:r w:rsidR="00056470" w:rsidRPr="002121A4">
        <w:t xml:space="preserve">12(1)(c), (d) MAR captures </w:t>
      </w:r>
      <w:r w:rsidR="00A4465E" w:rsidRPr="002121A4">
        <w:t xml:space="preserve">dissemination and transmission of </w:t>
      </w:r>
      <w:r w:rsidR="00056470" w:rsidRPr="002121A4">
        <w:t>information</w:t>
      </w:r>
      <w:r w:rsidR="00A4465E" w:rsidRPr="002121A4">
        <w:t>. These activities amount to market manipulation where</w:t>
      </w:r>
      <w:r w:rsidR="00056470" w:rsidRPr="002121A4">
        <w:t xml:space="preserve"> </w:t>
      </w:r>
      <w:r w:rsidR="00A4465E" w:rsidRPr="002121A4">
        <w:t>the information</w:t>
      </w:r>
    </w:p>
    <w:p w14:paraId="76BDADFC" w14:textId="6C394ADB" w:rsidR="00056470" w:rsidRPr="00197714" w:rsidRDefault="00D2020D" w:rsidP="00AB42AA">
      <w:pPr>
        <w:pStyle w:val="Listenabsatz"/>
        <w:numPr>
          <w:ilvl w:val="0"/>
          <w:numId w:val="11"/>
        </w:numPr>
        <w:rPr>
          <w:lang w:val="en-US"/>
        </w:rPr>
      </w:pPr>
      <w:r w:rsidRPr="00197714">
        <w:rPr>
          <w:lang w:val="en-US"/>
        </w:rPr>
        <w:t>g</w:t>
      </w:r>
      <w:r w:rsidR="00056470" w:rsidRPr="00197714">
        <w:rPr>
          <w:lang w:val="en-US"/>
        </w:rPr>
        <w:t xml:space="preserve">ives false or misleading signals as to supply, demand, or prices relating to financial </w:t>
      </w:r>
      <w:r w:rsidR="00056470" w:rsidRPr="00044BD7">
        <w:rPr>
          <w:lang w:val="en-US"/>
        </w:rPr>
        <w:t>instruments</w:t>
      </w:r>
      <w:r w:rsidRPr="00197714">
        <w:rPr>
          <w:lang w:val="en-US"/>
        </w:rPr>
        <w:t xml:space="preserve">, or secures abnormal or artificial price levels, </w:t>
      </w:r>
    </w:p>
    <w:p w14:paraId="67F0C2F2" w14:textId="55E7F43B" w:rsidR="00D2020D" w:rsidRPr="00197714" w:rsidRDefault="00D2020D" w:rsidP="00AB42AA">
      <w:pPr>
        <w:pStyle w:val="Listenabsatz"/>
        <w:numPr>
          <w:ilvl w:val="0"/>
          <w:numId w:val="11"/>
        </w:numPr>
        <w:rPr>
          <w:lang w:val="en-US"/>
        </w:rPr>
      </w:pPr>
      <w:r w:rsidRPr="00197714">
        <w:rPr>
          <w:lang w:val="en-US"/>
        </w:rPr>
        <w:t xml:space="preserve">is false or </w:t>
      </w:r>
      <w:r w:rsidRPr="00EF383F">
        <w:rPr>
          <w:lang w:val="en-GB"/>
        </w:rPr>
        <w:t>misleading</w:t>
      </w:r>
      <w:r w:rsidRPr="00197714">
        <w:rPr>
          <w:lang w:val="en-US"/>
        </w:rPr>
        <w:t xml:space="preserve"> in relation to a benchmark.</w:t>
      </w:r>
    </w:p>
    <w:p w14:paraId="3E916396" w14:textId="70C2A7D0" w:rsidR="00D2020D" w:rsidRPr="00044BD7" w:rsidRDefault="00D2020D" w:rsidP="0045607E">
      <w:pPr>
        <w:rPr>
          <w:lang w:val="en-US"/>
        </w:rPr>
      </w:pPr>
      <w:r w:rsidRPr="00044BD7">
        <w:rPr>
          <w:lang w:val="en-US"/>
        </w:rPr>
        <w:t xml:space="preserve">The prohibition applies where the person dissemination the information </w:t>
      </w:r>
      <w:r w:rsidR="00E87D1B" w:rsidRPr="00044BD7">
        <w:rPr>
          <w:lang w:val="en-US"/>
        </w:rPr>
        <w:t>knows or ought to have known that the information is false or misleading.</w:t>
      </w:r>
    </w:p>
    <w:p w14:paraId="3F769BC1" w14:textId="0805EEC7" w:rsidR="00C54ED6" w:rsidRPr="002121A4" w:rsidRDefault="001870C0" w:rsidP="00A0264C">
      <w:pPr>
        <w:pStyle w:val="Standardwithparanumbering"/>
      </w:pPr>
      <w:bookmarkStart w:id="120" w:name="_Ref129768894"/>
      <w:r w:rsidRPr="002121A4">
        <w:t>Article </w:t>
      </w:r>
      <w:r w:rsidR="00056470" w:rsidRPr="002121A4">
        <w:t>12(2) MAR</w:t>
      </w:r>
      <w:r w:rsidR="00C54ED6" w:rsidRPr="002121A4">
        <w:t xml:space="preserve"> describes specific behaviours constitutive of market manipulation. </w:t>
      </w:r>
      <w:r w:rsidR="00AC1103" w:rsidRPr="002121A4">
        <w:t xml:space="preserve">In relation to financial instruments, these behaviours </w:t>
      </w:r>
      <w:r w:rsidR="00C54ED6" w:rsidRPr="002121A4">
        <w:t>are</w:t>
      </w:r>
      <w:r w:rsidR="00AC1103" w:rsidRPr="002121A4">
        <w:t xml:space="preserve"> the following</w:t>
      </w:r>
      <w:r w:rsidR="00C54ED6" w:rsidRPr="002121A4">
        <w:t>:</w:t>
      </w:r>
      <w:bookmarkEnd w:id="120"/>
    </w:p>
    <w:p w14:paraId="290A6693" w14:textId="235BB92D" w:rsidR="00A0264C" w:rsidRPr="00197714" w:rsidRDefault="00C54ED6" w:rsidP="00AB42AA">
      <w:pPr>
        <w:pStyle w:val="Listenabsatz"/>
        <w:numPr>
          <w:ilvl w:val="0"/>
          <w:numId w:val="11"/>
        </w:numPr>
        <w:rPr>
          <w:lang w:val="en-US"/>
        </w:rPr>
      </w:pPr>
      <w:r w:rsidRPr="00197714">
        <w:rPr>
          <w:lang w:val="en-US"/>
        </w:rPr>
        <w:t xml:space="preserve">conduct </w:t>
      </w:r>
      <w:r w:rsidRPr="00EF383F">
        <w:rPr>
          <w:lang w:val="en-GB"/>
        </w:rPr>
        <w:t>securing</w:t>
      </w:r>
      <w:r w:rsidRPr="00197714">
        <w:rPr>
          <w:lang w:val="en-US"/>
        </w:rPr>
        <w:t xml:space="preserve"> a dominant position in relation to financial instruments which is likely to have a price-fixing effect or to create unfair trading conditions (also referred to as “cornering”)</w:t>
      </w:r>
      <w:r w:rsidR="0084087F" w:rsidRPr="00197714">
        <w:rPr>
          <w:lang w:val="en-US"/>
        </w:rPr>
        <w:t>,</w:t>
      </w:r>
    </w:p>
    <w:p w14:paraId="77A2AC33" w14:textId="10DBC1A7" w:rsidR="00C54ED6" w:rsidRPr="00197714" w:rsidRDefault="00C54ED6" w:rsidP="00AB42AA">
      <w:pPr>
        <w:pStyle w:val="Listenabsatz"/>
        <w:numPr>
          <w:ilvl w:val="0"/>
          <w:numId w:val="11"/>
        </w:numPr>
        <w:rPr>
          <w:lang w:val="en-US"/>
        </w:rPr>
      </w:pPr>
      <w:r w:rsidRPr="00197714">
        <w:rPr>
          <w:lang w:val="en-US"/>
        </w:rPr>
        <w:t xml:space="preserve">buying or selling securities at the opening or closing of markets if this is likely to mislead </w:t>
      </w:r>
      <w:r w:rsidRPr="00EF383F">
        <w:rPr>
          <w:lang w:val="en-GB"/>
        </w:rPr>
        <w:t>investors</w:t>
      </w:r>
      <w:r w:rsidRPr="00197714">
        <w:rPr>
          <w:lang w:val="en-US"/>
        </w:rPr>
        <w:t xml:space="preserve"> acting on the basis of pri</w:t>
      </w:r>
      <w:r w:rsidR="00BE7A7B" w:rsidRPr="00197714">
        <w:rPr>
          <w:lang w:val="en-US"/>
        </w:rPr>
        <w:t>c</w:t>
      </w:r>
      <w:r w:rsidRPr="00197714">
        <w:rPr>
          <w:lang w:val="en-US"/>
        </w:rPr>
        <w:t>es displayed (e.g., “marking the close”)</w:t>
      </w:r>
      <w:r w:rsidR="0084087F" w:rsidRPr="00197714">
        <w:rPr>
          <w:lang w:val="en-US"/>
        </w:rPr>
        <w:t>,</w:t>
      </w:r>
    </w:p>
    <w:p w14:paraId="36B31907" w14:textId="167F9DD8" w:rsidR="00C54ED6" w:rsidRPr="00197714" w:rsidRDefault="00C54ED6" w:rsidP="00AB42AA">
      <w:pPr>
        <w:pStyle w:val="Listenabsatz"/>
        <w:numPr>
          <w:ilvl w:val="0"/>
          <w:numId w:val="11"/>
        </w:numPr>
        <w:rPr>
          <w:lang w:val="en-US"/>
        </w:rPr>
      </w:pPr>
      <w:r w:rsidRPr="00197714">
        <w:rPr>
          <w:lang w:val="en-US"/>
        </w:rPr>
        <w:t xml:space="preserve">placing, cancelling or modifying orders on a trading venue in a way that disrupts to </w:t>
      </w:r>
      <w:r w:rsidRPr="00EF383F">
        <w:rPr>
          <w:lang w:val="en-GB"/>
        </w:rPr>
        <w:t>functioning</w:t>
      </w:r>
      <w:r w:rsidRPr="00197714">
        <w:rPr>
          <w:lang w:val="en-US"/>
        </w:rPr>
        <w:t xml:space="preserve"> of the venue, makes it difficult for others to identify genuine orders or create or are likely to create false or misleading signals as to the supply, demand or price of financial instruments</w:t>
      </w:r>
      <w:r w:rsidR="001D1792" w:rsidRPr="00197714">
        <w:rPr>
          <w:lang w:val="en-US"/>
        </w:rPr>
        <w:t xml:space="preserve"> (e.g., “wash trades”)</w:t>
      </w:r>
      <w:r w:rsidRPr="00197714">
        <w:rPr>
          <w:lang w:val="en-US"/>
        </w:rPr>
        <w:t>,</w:t>
      </w:r>
      <w:r w:rsidR="0084087F" w:rsidRPr="00197714">
        <w:rPr>
          <w:lang w:val="en-US"/>
        </w:rPr>
        <w:t xml:space="preserve"> and</w:t>
      </w:r>
    </w:p>
    <w:p w14:paraId="6E24C4AC" w14:textId="0D940491" w:rsidR="00AC1103" w:rsidRPr="00197714" w:rsidRDefault="00AC1103" w:rsidP="00AB42AA">
      <w:pPr>
        <w:pStyle w:val="Listenabsatz"/>
        <w:numPr>
          <w:ilvl w:val="0"/>
          <w:numId w:val="11"/>
        </w:numPr>
        <w:rPr>
          <w:lang w:val="en-US"/>
        </w:rPr>
      </w:pPr>
      <w:r w:rsidRPr="00197714">
        <w:rPr>
          <w:lang w:val="en-US"/>
        </w:rPr>
        <w:t xml:space="preserve">voicing </w:t>
      </w:r>
      <w:r w:rsidRPr="00EF383F">
        <w:rPr>
          <w:lang w:val="en-GB"/>
        </w:rPr>
        <w:t>opinions</w:t>
      </w:r>
      <w:r w:rsidRPr="00197714">
        <w:rPr>
          <w:lang w:val="en-US"/>
        </w:rPr>
        <w:t xml:space="preserve"> through the media and profiting from the effect of such opinions on prices of financial instruments, where there is a conflict of interest in relation to an opinion voiced </w:t>
      </w:r>
      <w:r w:rsidRPr="00197714">
        <w:rPr>
          <w:lang w:val="en-US"/>
        </w:rPr>
        <w:lastRenderedPageBreak/>
        <w:t>earlier and where the conflict of interest is not disclosed simultaneously and in a proper and effective way</w:t>
      </w:r>
      <w:r w:rsidR="001D1792" w:rsidRPr="00197714">
        <w:rPr>
          <w:lang w:val="en-US"/>
        </w:rPr>
        <w:t xml:space="preserve"> (“scalping”)</w:t>
      </w:r>
      <w:r w:rsidR="0003297D" w:rsidRPr="00197714">
        <w:rPr>
          <w:lang w:val="en-US"/>
        </w:rPr>
        <w:t>.</w:t>
      </w:r>
    </w:p>
    <w:p w14:paraId="68D02A0B" w14:textId="302A0181" w:rsidR="00E51CCF" w:rsidRPr="002121A4" w:rsidRDefault="00E51CCF" w:rsidP="00A83093">
      <w:pPr>
        <w:pStyle w:val="berschrift3"/>
        <w:rPr>
          <w:lang w:val="en-GB"/>
        </w:rPr>
      </w:pPr>
      <w:r w:rsidRPr="002121A4">
        <w:rPr>
          <w:lang w:val="en-GB"/>
        </w:rPr>
        <w:t xml:space="preserve">Disclosure </w:t>
      </w:r>
      <w:r w:rsidR="003B41AF" w:rsidRPr="002121A4">
        <w:rPr>
          <w:lang w:val="en-GB"/>
        </w:rPr>
        <w:t>requirements (chapter 3 MAR)</w:t>
      </w:r>
      <w:r w:rsidRPr="002121A4">
        <w:rPr>
          <w:lang w:val="en-GB"/>
        </w:rPr>
        <w:t xml:space="preserve"> </w:t>
      </w:r>
    </w:p>
    <w:p w14:paraId="5B86BA58" w14:textId="7864A2DC" w:rsidR="00510472" w:rsidRPr="002121A4" w:rsidRDefault="00510472" w:rsidP="00A83093">
      <w:pPr>
        <w:pStyle w:val="berschrift4"/>
        <w:rPr>
          <w:lang w:val="en-GB"/>
        </w:rPr>
      </w:pPr>
      <w:r w:rsidRPr="002121A4">
        <w:rPr>
          <w:lang w:val="en-GB"/>
        </w:rPr>
        <w:t>Scope</w:t>
      </w:r>
      <w:r w:rsidR="007C4C22" w:rsidRPr="002121A4">
        <w:rPr>
          <w:lang w:val="en-GB"/>
        </w:rPr>
        <w:t xml:space="preserve"> of application</w:t>
      </w:r>
    </w:p>
    <w:p w14:paraId="71FA3E43" w14:textId="7B27A2F7" w:rsidR="00510472" w:rsidRPr="002121A4" w:rsidRDefault="00510472" w:rsidP="00D86B82">
      <w:pPr>
        <w:pStyle w:val="Standardwithparanumbering"/>
      </w:pPr>
      <w:r w:rsidRPr="002121A4">
        <w:t xml:space="preserve">Chapter 3 MAR includes a number of disclosure requirements that require a particular monitoring and compliance effort from issuers. </w:t>
      </w:r>
      <w:r w:rsidR="00E00CDA" w:rsidRPr="002121A4">
        <w:t>The o</w:t>
      </w:r>
      <w:r w:rsidR="00CA23EC" w:rsidRPr="002121A4">
        <w:t xml:space="preserve">bligations for issuers </w:t>
      </w:r>
      <w:r w:rsidRPr="002121A4">
        <w:t>include detailed requirements as to format and content of disclosures through level 2 texts. As a result, the legislator limited the scope of application of the essential provisions of chapter 2 to those issuers that</w:t>
      </w:r>
      <w:r w:rsidR="00D86B82" w:rsidRPr="002121A4">
        <w:t xml:space="preserve"> have actively contributed to the listing of their instruments: Issuers in scope of the </w:t>
      </w:r>
      <w:r w:rsidR="00E96BB4" w:rsidRPr="002121A4">
        <w:t>obligations</w:t>
      </w:r>
      <w:r w:rsidR="00D86B82" w:rsidRPr="002121A4">
        <w:t xml:space="preserve"> of </w:t>
      </w:r>
      <w:r w:rsidR="001870C0" w:rsidRPr="002121A4">
        <w:t>articles </w:t>
      </w:r>
      <w:r w:rsidR="00D86B82" w:rsidRPr="002121A4">
        <w:t xml:space="preserve">17, 18 and 19 MAR are issuers that have requested or approved </w:t>
      </w:r>
      <w:r w:rsidR="008E2E5E" w:rsidRPr="002121A4">
        <w:t>ad</w:t>
      </w:r>
      <w:r w:rsidR="00D86B82" w:rsidRPr="002121A4">
        <w:t>mission of their instruments to trading on a regulated market.</w:t>
      </w:r>
      <w:r w:rsidR="00593B93" w:rsidRPr="002121A4">
        <w:rPr>
          <w:rStyle w:val="Funotenzeichen"/>
        </w:rPr>
        <w:footnoteReference w:id="192"/>
      </w:r>
      <w:r w:rsidR="00D86B82" w:rsidRPr="002121A4">
        <w:t xml:space="preserve"> In case of instruments only traded on an MTF or OTF, issuers </w:t>
      </w:r>
      <w:r w:rsidR="0041711B" w:rsidRPr="002121A4">
        <w:t xml:space="preserve">are in scope </w:t>
      </w:r>
      <w:r w:rsidR="00D86B82" w:rsidRPr="002121A4">
        <w:t>only where they have approved trading or, in the case of an MTF, have requested admission to trading.</w:t>
      </w:r>
      <w:r w:rsidRPr="002121A4">
        <w:t xml:space="preserve"> </w:t>
      </w:r>
    </w:p>
    <w:p w14:paraId="6F9EDE42" w14:textId="27EA9B8B" w:rsidR="00D93684" w:rsidRPr="002121A4" w:rsidRDefault="00D93684" w:rsidP="00AB42AA">
      <w:pPr>
        <w:pStyle w:val="Case"/>
        <w:numPr>
          <w:ilvl w:val="0"/>
          <w:numId w:val="14"/>
        </w:numPr>
        <w:ind w:left="567" w:firstLine="0"/>
      </w:pPr>
      <w:bookmarkStart w:id="121" w:name="_Ref163123747"/>
      <w:r w:rsidRPr="002121A4">
        <w:t xml:space="preserve">The shares of Z AG are listed on the Open Market of the Frankfurt Stock Exchange. The admission was </w:t>
      </w:r>
      <w:r w:rsidRPr="002121A4">
        <w:rPr>
          <w:szCs w:val="23"/>
        </w:rPr>
        <w:t>applied</w:t>
      </w:r>
      <w:r w:rsidRPr="002121A4">
        <w:t xml:space="preserve"> for by the board of management of Z AG. Is Z subject to ad hoc disclosure obligations under the MAR?</w:t>
      </w:r>
      <w:r w:rsidR="001F7D19" w:rsidRPr="002121A4">
        <w:t xml:space="preserve"> (Paper 2019_2 #6)</w:t>
      </w:r>
      <w:bookmarkEnd w:id="121"/>
    </w:p>
    <w:p w14:paraId="56A76A1E" w14:textId="51DE30BD" w:rsidR="00D93684" w:rsidRPr="002121A4" w:rsidRDefault="00D93684" w:rsidP="00B00624">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14E9C3F0" w14:textId="5CD7BD51" w:rsidR="00E51CCF" w:rsidRPr="002121A4" w:rsidRDefault="00E51CCF" w:rsidP="00A83093">
      <w:pPr>
        <w:pStyle w:val="berschrift4"/>
        <w:rPr>
          <w:lang w:val="en-GB"/>
        </w:rPr>
      </w:pPr>
      <w:r w:rsidRPr="002121A4">
        <w:rPr>
          <w:lang w:val="en-GB"/>
        </w:rPr>
        <w:t>Disclosure of inside information</w:t>
      </w:r>
      <w:r w:rsidR="00867640" w:rsidRPr="002121A4">
        <w:rPr>
          <w:lang w:val="en-GB"/>
        </w:rPr>
        <w:t xml:space="preserve"> and delay </w:t>
      </w:r>
      <w:r w:rsidR="006159F5" w:rsidRPr="002121A4">
        <w:rPr>
          <w:lang w:val="en-GB"/>
        </w:rPr>
        <w:t xml:space="preserve">of </w:t>
      </w:r>
      <w:r w:rsidR="00867640" w:rsidRPr="002121A4">
        <w:rPr>
          <w:lang w:val="en-GB"/>
        </w:rPr>
        <w:t>disclosure</w:t>
      </w:r>
    </w:p>
    <w:p w14:paraId="0CA912C8" w14:textId="040F4247" w:rsidR="00FF2B16" w:rsidRPr="002121A4" w:rsidRDefault="00E0483D" w:rsidP="00D309B9">
      <w:pPr>
        <w:pStyle w:val="Standardwithparanumbering"/>
      </w:pPr>
      <w:r w:rsidRPr="002121A4">
        <w:t>In order to create a level playing field for investors and to avoid insider dealing, the MAR imposes disclosure obligations on issuers of financial instruments</w:t>
      </w:r>
      <w:r w:rsidR="0012150B" w:rsidRPr="002121A4">
        <w:t>:</w:t>
      </w:r>
      <w:r w:rsidRPr="002121A4">
        <w:t xml:space="preserve"> Pursuant to </w:t>
      </w:r>
      <w:r w:rsidR="001870C0" w:rsidRPr="002121A4">
        <w:t>article </w:t>
      </w:r>
      <w:r w:rsidRPr="002121A4">
        <w:t>17(1)</w:t>
      </w:r>
      <w:r w:rsidR="00E373DF" w:rsidRPr="002121A4">
        <w:t>(1)</w:t>
      </w:r>
      <w:r w:rsidRPr="002121A4">
        <w:t xml:space="preserve"> MAR, an issuer shall inform the public as soon as possible of inside information where the information directly concerns that issuer.</w:t>
      </w:r>
      <w:r w:rsidR="006159F5" w:rsidRPr="002121A4">
        <w:rPr>
          <w:rStyle w:val="Funotenzeichen"/>
        </w:rPr>
        <w:footnoteReference w:id="193"/>
      </w:r>
      <w:r w:rsidRPr="002121A4">
        <w:t xml:space="preserve"> </w:t>
      </w:r>
      <w:r w:rsidR="00EF0A00" w:rsidRPr="002121A4">
        <w:t xml:space="preserve">The regulation does not specify the scenarios where information concerns an issuer </w:t>
      </w:r>
      <w:r w:rsidR="00EF0A00" w:rsidRPr="002121A4">
        <w:rPr>
          <w:i/>
        </w:rPr>
        <w:t>directly</w:t>
      </w:r>
      <w:r w:rsidR="00EF0A00" w:rsidRPr="002121A4">
        <w:t>, but there is level 3 guidance from CESR</w:t>
      </w:r>
      <w:bookmarkStart w:id="122" w:name="_Ref130850270"/>
      <w:r w:rsidR="00EF0A00" w:rsidRPr="002121A4">
        <w:rPr>
          <w:rStyle w:val="Funotenzeichen"/>
        </w:rPr>
        <w:footnoteReference w:id="194"/>
      </w:r>
      <w:bookmarkEnd w:id="122"/>
      <w:r w:rsidR="00EF0A00" w:rsidRPr="002121A4">
        <w:t xml:space="preserve"> that is still used by NCAs.</w:t>
      </w:r>
      <w:r w:rsidR="00EF0A00" w:rsidRPr="002121A4">
        <w:rPr>
          <w:rStyle w:val="Funotenzeichen"/>
        </w:rPr>
        <w:footnoteReference w:id="195"/>
      </w:r>
      <w:r w:rsidR="00054D8D" w:rsidRPr="002121A4">
        <w:t xml:space="preserve"> </w:t>
      </w:r>
      <w:r w:rsidR="00C714D5" w:rsidRPr="002121A4">
        <w:t>Examples of information that concerns an issuer only indirectly include data and statistics published by public institutions, coming publication of rating agencies’ reports, coming publication of research, recommendations or suggestions concerning the value of listed financial instruments, central bank decisions concerning interest rates, and governmental decisions on taxation</w:t>
      </w:r>
      <w:r w:rsidR="00FC6DD6">
        <w:t xml:space="preserve"> or</w:t>
      </w:r>
      <w:r w:rsidR="00C714D5" w:rsidRPr="002121A4">
        <w:t xml:space="preserve"> industry regulation.</w:t>
      </w:r>
      <w:r w:rsidR="006A3EB1" w:rsidRPr="002121A4">
        <w:rPr>
          <w:rStyle w:val="Funotenzeichen"/>
        </w:rPr>
        <w:footnoteReference w:id="196"/>
      </w:r>
      <w:r w:rsidR="00C714D5" w:rsidRPr="002121A4">
        <w:t xml:space="preserve"> It is important to note that where events of this nature </w:t>
      </w:r>
      <w:r w:rsidR="0099728A" w:rsidRPr="002121A4">
        <w:t>have an impact on the financial situation of a specific issuer (e.g., effects on the profitability or refinancing options), this may create information that directly concerns the issuer and trigge</w:t>
      </w:r>
      <w:r w:rsidR="006A3EB1" w:rsidRPr="002121A4">
        <w:t>r</w:t>
      </w:r>
      <w:r w:rsidR="0099728A" w:rsidRPr="002121A4">
        <w:t xml:space="preserve">s disclosure obligations under </w:t>
      </w:r>
      <w:r w:rsidR="001870C0" w:rsidRPr="002121A4">
        <w:t>article </w:t>
      </w:r>
      <w:r w:rsidR="0099728A" w:rsidRPr="002121A4">
        <w:t xml:space="preserve">17(1) MAR. </w:t>
      </w:r>
      <w:r w:rsidR="00054D8D" w:rsidRPr="002121A4">
        <w:t xml:space="preserve">It is </w:t>
      </w:r>
      <w:r w:rsidR="0099728A" w:rsidRPr="002121A4">
        <w:t xml:space="preserve">also </w:t>
      </w:r>
      <w:r w:rsidR="00054D8D" w:rsidRPr="002121A4">
        <w:t xml:space="preserve">important to bear in mind that inside information that does not concern an issuer </w:t>
      </w:r>
      <w:r w:rsidR="00054D8D" w:rsidRPr="002121A4">
        <w:lastRenderedPageBreak/>
        <w:t>directly does not require disclosure by the is</w:t>
      </w:r>
      <w:r w:rsidR="006A3EB1" w:rsidRPr="002121A4">
        <w:t>s</w:t>
      </w:r>
      <w:r w:rsidR="00054D8D" w:rsidRPr="002121A4">
        <w:t xml:space="preserve">uer under </w:t>
      </w:r>
      <w:r w:rsidR="001870C0" w:rsidRPr="002121A4">
        <w:t>article </w:t>
      </w:r>
      <w:r w:rsidR="00054D8D" w:rsidRPr="002121A4">
        <w:t xml:space="preserve">17(1), but still falls under the prohibitions of insider dealing and unlawful disclosure pursuant to </w:t>
      </w:r>
      <w:r w:rsidR="001870C0" w:rsidRPr="002121A4">
        <w:t>articles </w:t>
      </w:r>
      <w:r w:rsidR="00054D8D" w:rsidRPr="002121A4">
        <w:t>8, 10, 14 MAR.</w:t>
      </w:r>
      <w:r w:rsidR="008E2E5E" w:rsidRPr="002121A4">
        <w:rPr>
          <w:rStyle w:val="Funotenzeichen"/>
        </w:rPr>
        <w:footnoteReference w:id="197"/>
      </w:r>
    </w:p>
    <w:p w14:paraId="1E1AB478" w14:textId="0796334E" w:rsidR="00A75B6A" w:rsidRPr="002121A4" w:rsidRDefault="001870C0" w:rsidP="0037673A">
      <w:pPr>
        <w:pStyle w:val="Standardwithparanumbering"/>
      </w:pPr>
      <w:r w:rsidRPr="002121A4">
        <w:t>Article </w:t>
      </w:r>
      <w:r w:rsidR="00A75B6A" w:rsidRPr="002121A4">
        <w:t>17</w:t>
      </w:r>
      <w:r w:rsidR="00E373DF" w:rsidRPr="002121A4">
        <w:t>(1)</w:t>
      </w:r>
      <w:r w:rsidR="00A75B6A" w:rsidRPr="002121A4">
        <w:t xml:space="preserve">(2) MAR </w:t>
      </w:r>
      <w:r w:rsidR="003A41EC" w:rsidRPr="002121A4">
        <w:t>contains requirements as regards content and form of the disclosure:</w:t>
      </w:r>
      <w:r w:rsidR="00A75B6A" w:rsidRPr="002121A4">
        <w:t xml:space="preserve"> inside information </w:t>
      </w:r>
      <w:r w:rsidR="003A41EC" w:rsidRPr="002121A4">
        <w:t xml:space="preserve">must be </w:t>
      </w:r>
      <w:r w:rsidR="00A75B6A" w:rsidRPr="002121A4">
        <w:t>made public in a manner which enables fast access and complete, correct and timely assessment of the information by the public. These requirements are refined at level</w:t>
      </w:r>
      <w:r w:rsidR="00005C85" w:rsidRPr="002121A4">
        <w:t> </w:t>
      </w:r>
      <w:r w:rsidR="00A75B6A" w:rsidRPr="002121A4">
        <w:t>2 by implementing technical standards as per Commission Implementing Regulation 2016/1055: disclosure must be made using technical means that ensure dissemination of the information to as wide a public as possible on a non-discriminatory basis, free of charge, and simultaneously throughout the Union</w:t>
      </w:r>
      <w:r w:rsidR="0037673A" w:rsidRPr="002121A4">
        <w:t>,</w:t>
      </w:r>
      <w:r w:rsidR="00A75B6A" w:rsidRPr="002121A4">
        <w:rPr>
          <w:rStyle w:val="Funotenzeichen"/>
        </w:rPr>
        <w:footnoteReference w:id="198"/>
      </w:r>
      <w:r w:rsidR="0037673A" w:rsidRPr="002121A4">
        <w:t xml:space="preserve"> and communication </w:t>
      </w:r>
      <w:r w:rsidR="00A75B6A" w:rsidRPr="002121A4">
        <w:t>to the media which are reasonably relied upon by the public.</w:t>
      </w:r>
      <w:r w:rsidR="0037673A" w:rsidRPr="002121A4">
        <w:rPr>
          <w:rStyle w:val="Funotenzeichen"/>
        </w:rPr>
        <w:footnoteReference w:id="199"/>
      </w:r>
      <w:r w:rsidR="00A75B6A" w:rsidRPr="002121A4">
        <w:t xml:space="preserve"> </w:t>
      </w:r>
      <w:r w:rsidR="0037673A" w:rsidRPr="002121A4">
        <w:t>C</w:t>
      </w:r>
      <w:r w:rsidR="00A75B6A" w:rsidRPr="002121A4">
        <w:t xml:space="preserve">ommunication </w:t>
      </w:r>
      <w:r w:rsidR="0037673A" w:rsidRPr="002121A4">
        <w:t xml:space="preserve">to the media </w:t>
      </w:r>
      <w:r w:rsidR="00A75B6A" w:rsidRPr="002121A4">
        <w:t xml:space="preserve">shall </w:t>
      </w:r>
      <w:r w:rsidR="0037673A" w:rsidRPr="002121A4">
        <w:t xml:space="preserve">use </w:t>
      </w:r>
      <w:r w:rsidR="00A75B6A" w:rsidRPr="002121A4">
        <w:t>electronic means that ensure that the completeness, integrity and confidentiality of the information is maintained during the transmission, and it shall clearly identify</w:t>
      </w:r>
      <w:r w:rsidR="0037673A" w:rsidRPr="002121A4">
        <w:t xml:space="preserve"> the fact </w:t>
      </w:r>
      <w:r w:rsidR="00A75B6A" w:rsidRPr="002121A4">
        <w:t>that the information communicated is inside information</w:t>
      </w:r>
      <w:r w:rsidR="0037673A" w:rsidRPr="002121A4">
        <w:t xml:space="preserve">, </w:t>
      </w:r>
      <w:r w:rsidR="00A75B6A" w:rsidRPr="002121A4">
        <w:t>the identity of the issuer</w:t>
      </w:r>
      <w:r w:rsidR="0037673A" w:rsidRPr="002121A4">
        <w:t xml:space="preserve">, </w:t>
      </w:r>
      <w:r w:rsidR="00A75B6A" w:rsidRPr="002121A4">
        <w:t>the identity of the person making the notification</w:t>
      </w:r>
      <w:r w:rsidR="0037673A" w:rsidRPr="002121A4">
        <w:t xml:space="preserve">, </w:t>
      </w:r>
      <w:r w:rsidR="00A75B6A" w:rsidRPr="002121A4">
        <w:t>the subject matter of the inside information</w:t>
      </w:r>
      <w:r w:rsidR="0037673A" w:rsidRPr="002121A4">
        <w:t xml:space="preserve">, and </w:t>
      </w:r>
      <w:r w:rsidR="00A75B6A" w:rsidRPr="002121A4">
        <w:t>the date and time of the communication to the media.</w:t>
      </w:r>
      <w:r w:rsidR="0037673A" w:rsidRPr="002121A4">
        <w:rPr>
          <w:rStyle w:val="Funotenzeichen"/>
        </w:rPr>
        <w:footnoteReference w:id="200"/>
      </w:r>
    </w:p>
    <w:p w14:paraId="124E184A" w14:textId="3AA3CB93" w:rsidR="00A75B6A" w:rsidRPr="002121A4" w:rsidRDefault="001870C0" w:rsidP="008B2B9C">
      <w:pPr>
        <w:pStyle w:val="Standardwithparanumbering"/>
      </w:pPr>
      <w:r w:rsidRPr="002121A4">
        <w:t>Article </w:t>
      </w:r>
      <w:r w:rsidR="00E373DF" w:rsidRPr="002121A4">
        <w:t>17(1)(2) MAR also requires an issuer to post on its website all inside information it is required to disclose publicly, and to maintain this information on the website for at least five years.</w:t>
      </w:r>
      <w:r w:rsidR="008A7857" w:rsidRPr="002121A4">
        <w:t xml:space="preserve"> The website must </w:t>
      </w:r>
      <w:r w:rsidR="00A75B6A" w:rsidRPr="002121A4">
        <w:t xml:space="preserve">allow users to access the information in a non-discriminatory </w:t>
      </w:r>
      <w:r w:rsidR="008A7857" w:rsidRPr="002121A4">
        <w:t xml:space="preserve">manner </w:t>
      </w:r>
      <w:r w:rsidR="00A75B6A" w:rsidRPr="002121A4">
        <w:t>and free of charge</w:t>
      </w:r>
      <w:r w:rsidR="008A7857" w:rsidRPr="002121A4">
        <w:t xml:space="preserve">, and </w:t>
      </w:r>
      <w:r w:rsidR="00A75B6A" w:rsidRPr="002121A4">
        <w:t>to locate the inside information in an easily identifiable section of the website</w:t>
      </w:r>
      <w:r w:rsidR="008A7857" w:rsidRPr="002121A4">
        <w:t>.</w:t>
      </w:r>
      <w:r w:rsidR="008A7857" w:rsidRPr="002121A4">
        <w:rPr>
          <w:rStyle w:val="Funotenzeichen"/>
        </w:rPr>
        <w:footnoteReference w:id="201"/>
      </w:r>
      <w:r w:rsidR="008A7857" w:rsidRPr="002121A4">
        <w:t xml:space="preserve"> T</w:t>
      </w:r>
      <w:r w:rsidR="00A75B6A" w:rsidRPr="002121A4">
        <w:t xml:space="preserve">he disclosed inside information </w:t>
      </w:r>
      <w:r w:rsidR="008A7857" w:rsidRPr="002121A4">
        <w:t xml:space="preserve">must indicate </w:t>
      </w:r>
      <w:r w:rsidR="00A75B6A" w:rsidRPr="002121A4">
        <w:t>clearly date and time of disclosure</w:t>
      </w:r>
      <w:r w:rsidR="00E00CDA" w:rsidRPr="002121A4">
        <w:t>,</w:t>
      </w:r>
      <w:r w:rsidR="00A75B6A" w:rsidRPr="002121A4">
        <w:t xml:space="preserve"> and </w:t>
      </w:r>
      <w:r w:rsidR="008A7857" w:rsidRPr="002121A4">
        <w:t>be organ</w:t>
      </w:r>
      <w:r w:rsidR="00706D6F" w:rsidRPr="002121A4">
        <w:t>ized</w:t>
      </w:r>
      <w:r w:rsidR="008A7857" w:rsidRPr="002121A4">
        <w:t xml:space="preserve"> in a chronological manner.</w:t>
      </w:r>
      <w:r w:rsidR="008A7857" w:rsidRPr="002121A4">
        <w:rPr>
          <w:rStyle w:val="Funotenzeichen"/>
        </w:rPr>
        <w:footnoteReference w:id="202"/>
      </w:r>
    </w:p>
    <w:p w14:paraId="4C1F5951" w14:textId="00A2E29A" w:rsidR="00514D10" w:rsidRPr="002121A4" w:rsidRDefault="00514D10" w:rsidP="00AB42AA">
      <w:pPr>
        <w:pStyle w:val="Case"/>
        <w:numPr>
          <w:ilvl w:val="0"/>
          <w:numId w:val="14"/>
        </w:numPr>
        <w:ind w:left="567" w:firstLine="0"/>
      </w:pPr>
      <w:bookmarkStart w:id="123" w:name="_Ref163123789"/>
      <w:r w:rsidRPr="002121A4">
        <w:t xml:space="preserve">Give two examples of cases in which the management board of a listed stock company with its seat in </w:t>
      </w:r>
      <w:r w:rsidRPr="002121A4">
        <w:rPr>
          <w:szCs w:val="23"/>
        </w:rPr>
        <w:t>Germany</w:t>
      </w:r>
      <w:r w:rsidRPr="002121A4">
        <w:t xml:space="preserve"> has to disclose an ad hoc release, and explain on the basis of </w:t>
      </w:r>
      <w:r w:rsidRPr="002121A4">
        <w:rPr>
          <w:szCs w:val="23"/>
        </w:rPr>
        <w:t>applicable</w:t>
      </w:r>
      <w:r w:rsidRPr="002121A4">
        <w:t xml:space="preserve"> legislation. What is the purpose of such ad hoc disclosures? In your examples, what would have to be the essential content of the ad hoc disclosure?</w:t>
      </w:r>
      <w:r w:rsidR="00202ED9" w:rsidRPr="002121A4">
        <w:t xml:space="preserve"> (Paper 2017_2 #2.1)</w:t>
      </w:r>
      <w:bookmarkEnd w:id="123"/>
    </w:p>
    <w:p w14:paraId="5BC7C1AC" w14:textId="5184C166" w:rsidR="00B14B7B" w:rsidRPr="002121A4" w:rsidRDefault="00B14B7B" w:rsidP="00514D10">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6CD8C4F9" w14:textId="7940804C" w:rsidR="00B93FD9" w:rsidRPr="002121A4" w:rsidRDefault="00C714D5" w:rsidP="00EF0A00">
      <w:pPr>
        <w:pStyle w:val="Standardwithparanumbering"/>
      </w:pPr>
      <w:r w:rsidRPr="002121A4">
        <w:t xml:space="preserve">Given the broad </w:t>
      </w:r>
      <w:r w:rsidR="00DF3E4C" w:rsidRPr="002121A4">
        <w:t xml:space="preserve">scope of the disclosure obligation under </w:t>
      </w:r>
      <w:r w:rsidR="001870C0" w:rsidRPr="002121A4">
        <w:t>article </w:t>
      </w:r>
      <w:r w:rsidR="00DF3E4C" w:rsidRPr="002121A4">
        <w:t>17(1)</w:t>
      </w:r>
      <w:r w:rsidR="002C61CF" w:rsidRPr="002121A4">
        <w:t xml:space="preserve"> MAR</w:t>
      </w:r>
      <w:r w:rsidR="00DF3E4C" w:rsidRPr="002121A4">
        <w:t xml:space="preserve">, situations </w:t>
      </w:r>
      <w:r w:rsidR="007F6CAB" w:rsidRPr="002121A4">
        <w:t xml:space="preserve">may arise </w:t>
      </w:r>
      <w:r w:rsidR="00DF3E4C" w:rsidRPr="002121A4">
        <w:t xml:space="preserve">where </w:t>
      </w:r>
      <w:r w:rsidR="00DF3E4C" w:rsidRPr="002121A4">
        <w:rPr>
          <w:i/>
        </w:rPr>
        <w:t>immediate</w:t>
      </w:r>
      <w:r w:rsidR="00DF3E4C" w:rsidRPr="002121A4">
        <w:t xml:space="preserve"> disclosure is inadequate. </w:t>
      </w:r>
      <w:r w:rsidR="001870C0" w:rsidRPr="002121A4">
        <w:t>Article </w:t>
      </w:r>
      <w:r w:rsidR="00AE50F9" w:rsidRPr="002121A4">
        <w:t>17(4) MAR</w:t>
      </w:r>
      <w:r w:rsidR="00DF3E4C" w:rsidRPr="002121A4">
        <w:t xml:space="preserve"> therefore allows issuers to delay disclosure in certain circumstances</w:t>
      </w:r>
      <w:r w:rsidR="00690373" w:rsidRPr="002121A4">
        <w:t>:</w:t>
      </w:r>
      <w:r w:rsidR="00DF3E4C" w:rsidRPr="002121A4">
        <w:t xml:space="preserve"> This is the case where</w:t>
      </w:r>
      <w:r w:rsidR="00EB2355">
        <w:t>:</w:t>
      </w:r>
      <w:r w:rsidR="00DF3E4C" w:rsidRPr="002121A4">
        <w:t xml:space="preserve"> </w:t>
      </w:r>
    </w:p>
    <w:p w14:paraId="21F544CF" w14:textId="77777777" w:rsidR="00B93FD9" w:rsidRPr="00197714" w:rsidRDefault="00DF3E4C" w:rsidP="00AB42AA">
      <w:pPr>
        <w:pStyle w:val="Listenabsatz"/>
        <w:numPr>
          <w:ilvl w:val="0"/>
          <w:numId w:val="11"/>
        </w:numPr>
        <w:rPr>
          <w:lang w:val="en-US"/>
        </w:rPr>
      </w:pPr>
      <w:r w:rsidRPr="00197714">
        <w:rPr>
          <w:lang w:val="en-US"/>
        </w:rPr>
        <w:t xml:space="preserve">immediate disclosure is likely to prejudice legitimate interests of the issuer, </w:t>
      </w:r>
    </w:p>
    <w:p w14:paraId="61539182" w14:textId="77777777" w:rsidR="00B93FD9" w:rsidRPr="00197714" w:rsidRDefault="00DF3E4C" w:rsidP="00AB42AA">
      <w:pPr>
        <w:pStyle w:val="Listenabsatz"/>
        <w:numPr>
          <w:ilvl w:val="0"/>
          <w:numId w:val="11"/>
        </w:numPr>
        <w:rPr>
          <w:lang w:val="en-US"/>
        </w:rPr>
      </w:pPr>
      <w:r w:rsidRPr="00197714">
        <w:rPr>
          <w:lang w:val="en-US"/>
        </w:rPr>
        <w:t xml:space="preserve">delay of </w:t>
      </w:r>
      <w:r w:rsidRPr="00EF383F">
        <w:rPr>
          <w:lang w:val="en-GB"/>
        </w:rPr>
        <w:t>disclosure</w:t>
      </w:r>
      <w:r w:rsidRPr="00197714">
        <w:rPr>
          <w:lang w:val="en-US"/>
        </w:rPr>
        <w:t xml:space="preserve"> is not likely to mislead the public, and </w:t>
      </w:r>
    </w:p>
    <w:p w14:paraId="11FE6AD8" w14:textId="77777777" w:rsidR="00B93FD9" w:rsidRPr="00197714" w:rsidRDefault="00DF3E4C" w:rsidP="00AB42AA">
      <w:pPr>
        <w:pStyle w:val="Listenabsatz"/>
        <w:numPr>
          <w:ilvl w:val="0"/>
          <w:numId w:val="11"/>
        </w:numPr>
        <w:rPr>
          <w:lang w:val="en-US"/>
        </w:rPr>
      </w:pPr>
      <w:r w:rsidRPr="00197714">
        <w:rPr>
          <w:lang w:val="en-US"/>
        </w:rPr>
        <w:t xml:space="preserve">the issuer is </w:t>
      </w:r>
      <w:r w:rsidRPr="00EF383F">
        <w:rPr>
          <w:lang w:val="en-GB"/>
        </w:rPr>
        <w:t>able</w:t>
      </w:r>
      <w:r w:rsidRPr="00197714">
        <w:rPr>
          <w:lang w:val="en-US"/>
        </w:rPr>
        <w:t xml:space="preserve"> to ensure the confidentiality of the inside information. </w:t>
      </w:r>
    </w:p>
    <w:p w14:paraId="17BC2B4F" w14:textId="5DCC762C" w:rsidR="00AE50F9" w:rsidRPr="00044BD7" w:rsidRDefault="00DF3E4C" w:rsidP="0056702B">
      <w:pPr>
        <w:rPr>
          <w:lang w:val="en-US"/>
        </w:rPr>
      </w:pPr>
      <w:r w:rsidRPr="00044BD7">
        <w:rPr>
          <w:lang w:val="en-US"/>
        </w:rPr>
        <w:lastRenderedPageBreak/>
        <w:t xml:space="preserve">ESMA issued guidelines under </w:t>
      </w:r>
      <w:r w:rsidR="001870C0" w:rsidRPr="00044BD7">
        <w:rPr>
          <w:lang w:val="en-US"/>
        </w:rPr>
        <w:t>article </w:t>
      </w:r>
      <w:r w:rsidRPr="00044BD7">
        <w:rPr>
          <w:lang w:val="en-US"/>
        </w:rPr>
        <w:t>17(11) MAR as to</w:t>
      </w:r>
      <w:r w:rsidR="00690373" w:rsidRPr="00044BD7">
        <w:rPr>
          <w:lang w:val="en-US"/>
        </w:rPr>
        <w:t xml:space="preserve"> which circumstances create</w:t>
      </w:r>
      <w:r w:rsidRPr="00044BD7">
        <w:rPr>
          <w:lang w:val="en-US"/>
        </w:rPr>
        <w:t xml:space="preserve"> legitimate interests of issuers </w:t>
      </w:r>
      <w:r w:rsidR="00B93FD9" w:rsidRPr="00044BD7">
        <w:rPr>
          <w:lang w:val="en-US"/>
        </w:rPr>
        <w:t>and potential for misleading the public</w:t>
      </w:r>
      <w:r w:rsidRPr="00044BD7">
        <w:rPr>
          <w:lang w:val="en-US"/>
        </w:rPr>
        <w:t>.</w:t>
      </w:r>
      <w:r w:rsidRPr="002121A4">
        <w:rPr>
          <w:rStyle w:val="Funotenzeichen"/>
        </w:rPr>
        <w:footnoteReference w:id="203"/>
      </w:r>
      <w:r w:rsidRPr="00044BD7">
        <w:rPr>
          <w:lang w:val="en-US"/>
        </w:rPr>
        <w:t xml:space="preserve"> </w:t>
      </w:r>
      <w:r w:rsidR="00B93FD9" w:rsidRPr="00044BD7">
        <w:rPr>
          <w:lang w:val="en-US"/>
        </w:rPr>
        <w:t xml:space="preserve">Legitimate interests include, for example, scenarios where an issuer is conducting negotiations </w:t>
      </w:r>
      <w:r w:rsidR="002877BC" w:rsidRPr="00044BD7">
        <w:rPr>
          <w:lang w:val="en-US"/>
        </w:rPr>
        <w:t>and</w:t>
      </w:r>
      <w:r w:rsidR="00B93FD9" w:rsidRPr="00044BD7">
        <w:rPr>
          <w:lang w:val="en-US"/>
        </w:rPr>
        <w:t xml:space="preserve"> their outcome could be </w:t>
      </w:r>
      <w:r w:rsidR="00E96BB4" w:rsidRPr="00044BD7">
        <w:rPr>
          <w:lang w:val="en-US"/>
        </w:rPr>
        <w:t>jeopard</w:t>
      </w:r>
      <w:r w:rsidR="00706D6F" w:rsidRPr="00044BD7">
        <w:rPr>
          <w:lang w:val="en-US"/>
        </w:rPr>
        <w:t>ized</w:t>
      </w:r>
      <w:r w:rsidR="00B93FD9" w:rsidRPr="00044BD7">
        <w:rPr>
          <w:lang w:val="en-US"/>
        </w:rPr>
        <w:t xml:space="preserve"> by premature disclosure, or where premature disclosure of innovation or inventions are likely to jeopardize intellectual property rights of the issuer. </w:t>
      </w:r>
      <w:r w:rsidR="00176AF0" w:rsidRPr="00044BD7">
        <w:rPr>
          <w:lang w:val="en-US"/>
        </w:rPr>
        <w:t xml:space="preserve">A case of legitimate interests can also be made out </w:t>
      </w:r>
      <w:r w:rsidR="00B93FD9" w:rsidRPr="00044BD7">
        <w:rPr>
          <w:lang w:val="en-US"/>
        </w:rPr>
        <w:t>where decisions taken or contracts entered into by the management body of an issuer need, pursuant to national law or the issuer’s bylaws, the approval of another body of the issuer (other than the shareholders’ general assembly) in order to become effective, provided that</w:t>
      </w:r>
      <w:r w:rsidR="004111CC" w:rsidRPr="00044BD7">
        <w:rPr>
          <w:lang w:val="en-US"/>
        </w:rPr>
        <w:t xml:space="preserve"> </w:t>
      </w:r>
      <w:r w:rsidR="00B93FD9" w:rsidRPr="00044BD7">
        <w:rPr>
          <w:lang w:val="en-US"/>
        </w:rPr>
        <w:t>immediate disclosure before a definitive</w:t>
      </w:r>
      <w:r w:rsidR="00E1564F" w:rsidRPr="00044BD7">
        <w:rPr>
          <w:lang w:val="en-US"/>
        </w:rPr>
        <w:t xml:space="preserve"> </w:t>
      </w:r>
      <w:r w:rsidR="00B93FD9" w:rsidRPr="00044BD7">
        <w:rPr>
          <w:lang w:val="en-US"/>
        </w:rPr>
        <w:t>decision would jeopard</w:t>
      </w:r>
      <w:r w:rsidR="00706D6F" w:rsidRPr="00044BD7">
        <w:rPr>
          <w:lang w:val="en-US"/>
        </w:rPr>
        <w:t>ize</w:t>
      </w:r>
      <w:r w:rsidR="00B93FD9" w:rsidRPr="00044BD7">
        <w:rPr>
          <w:lang w:val="en-US"/>
        </w:rPr>
        <w:t xml:space="preserve"> the correct assessment of the information by</w:t>
      </w:r>
      <w:r w:rsidR="004111CC" w:rsidRPr="00044BD7">
        <w:rPr>
          <w:lang w:val="en-US"/>
        </w:rPr>
        <w:t xml:space="preserve"> </w:t>
      </w:r>
      <w:r w:rsidR="00B93FD9" w:rsidRPr="00044BD7">
        <w:rPr>
          <w:lang w:val="en-US"/>
        </w:rPr>
        <w:t>the public</w:t>
      </w:r>
      <w:r w:rsidR="004111CC" w:rsidRPr="00044BD7">
        <w:rPr>
          <w:lang w:val="en-US"/>
        </w:rPr>
        <w:t xml:space="preserve">, and </w:t>
      </w:r>
      <w:r w:rsidR="00B93FD9" w:rsidRPr="00044BD7">
        <w:rPr>
          <w:lang w:val="en-US"/>
        </w:rPr>
        <w:t>the issuer arrange</w:t>
      </w:r>
      <w:r w:rsidR="004111CC" w:rsidRPr="00044BD7">
        <w:rPr>
          <w:lang w:val="en-US"/>
        </w:rPr>
        <w:t>s</w:t>
      </w:r>
      <w:r w:rsidR="00B93FD9" w:rsidRPr="00044BD7">
        <w:rPr>
          <w:lang w:val="en-US"/>
        </w:rPr>
        <w:t xml:space="preserve"> for </w:t>
      </w:r>
      <w:r w:rsidR="004111CC" w:rsidRPr="00044BD7">
        <w:rPr>
          <w:lang w:val="en-US"/>
        </w:rPr>
        <w:t xml:space="preserve">a </w:t>
      </w:r>
      <w:r w:rsidR="00B93FD9" w:rsidRPr="00044BD7">
        <w:rPr>
          <w:lang w:val="en-US"/>
        </w:rPr>
        <w:t>defini</w:t>
      </w:r>
      <w:r w:rsidR="002877BC" w:rsidRPr="00044BD7">
        <w:rPr>
          <w:lang w:val="en-US"/>
        </w:rPr>
        <w:t>t</w:t>
      </w:r>
      <w:r w:rsidR="00B93FD9" w:rsidRPr="00044BD7">
        <w:rPr>
          <w:lang w:val="en-US"/>
        </w:rPr>
        <w:t>e decision as soon as</w:t>
      </w:r>
      <w:r w:rsidR="004111CC" w:rsidRPr="00044BD7">
        <w:rPr>
          <w:lang w:val="en-US"/>
        </w:rPr>
        <w:t xml:space="preserve"> </w:t>
      </w:r>
      <w:r w:rsidR="00B93FD9" w:rsidRPr="00044BD7">
        <w:rPr>
          <w:lang w:val="en-US"/>
        </w:rPr>
        <w:t>possible</w:t>
      </w:r>
      <w:r w:rsidR="004111CC" w:rsidRPr="00044BD7">
        <w:rPr>
          <w:lang w:val="en-US"/>
        </w:rPr>
        <w:t>.</w:t>
      </w:r>
      <w:r w:rsidR="002D6D0A" w:rsidRPr="00044BD7">
        <w:rPr>
          <w:lang w:val="en-US"/>
        </w:rPr>
        <w:t xml:space="preserve"> Delay under </w:t>
      </w:r>
      <w:r w:rsidR="001870C0" w:rsidRPr="00044BD7">
        <w:rPr>
          <w:lang w:val="en-US"/>
        </w:rPr>
        <w:t>article </w:t>
      </w:r>
      <w:r w:rsidR="002D6D0A" w:rsidRPr="00044BD7">
        <w:rPr>
          <w:lang w:val="en-US"/>
        </w:rPr>
        <w:t>17(4) M</w:t>
      </w:r>
      <w:r w:rsidR="004C4DF5" w:rsidRPr="00044BD7">
        <w:rPr>
          <w:lang w:val="en-US"/>
        </w:rPr>
        <w:t>A</w:t>
      </w:r>
      <w:r w:rsidR="002D6D0A" w:rsidRPr="00044BD7">
        <w:rPr>
          <w:lang w:val="en-US"/>
        </w:rPr>
        <w:t>R is also possible in case of protracted processes occurring in stages.</w:t>
      </w:r>
      <w:r w:rsidR="002D6D0A" w:rsidRPr="002121A4">
        <w:rPr>
          <w:rStyle w:val="Funotenzeichen"/>
        </w:rPr>
        <w:footnoteReference w:id="204"/>
      </w:r>
    </w:p>
    <w:p w14:paraId="699BA93A" w14:textId="2D2019FC" w:rsidR="00E8423E" w:rsidRPr="002121A4" w:rsidRDefault="001870C0" w:rsidP="0022653F">
      <w:pPr>
        <w:pStyle w:val="Standardwithparanumbering"/>
      </w:pPr>
      <w:r w:rsidRPr="002121A4">
        <w:t>Article </w:t>
      </w:r>
      <w:r w:rsidR="001C400D" w:rsidRPr="002121A4">
        <w:t xml:space="preserve">17(4)(1) MAR is understood to imply an active decision of the issuer on the delay. This reading is supported by the documentation requirement under </w:t>
      </w:r>
      <w:r w:rsidRPr="002121A4">
        <w:t>article </w:t>
      </w:r>
      <w:r w:rsidR="001C400D" w:rsidRPr="002121A4">
        <w:t xml:space="preserve">4(1) </w:t>
      </w:r>
      <w:r w:rsidR="00E1564F" w:rsidRPr="002121A4">
        <w:t xml:space="preserve">Commission Implementing </w:t>
      </w:r>
      <w:r w:rsidR="001C400D" w:rsidRPr="002121A4">
        <w:t xml:space="preserve">Regulation 2016/1055 which requires issuers to use technical means that ensure the accessibility, readability, and maintenance in a durable medium of information relating to a </w:t>
      </w:r>
      <w:r w:rsidR="00E96BB4" w:rsidRPr="002121A4">
        <w:t>deal</w:t>
      </w:r>
      <w:r w:rsidR="001C400D" w:rsidRPr="002121A4">
        <w:t xml:space="preserve">, including </w:t>
      </w:r>
    </w:p>
    <w:p w14:paraId="75175314" w14:textId="4DCF936E" w:rsidR="00E8423E" w:rsidRPr="00197714" w:rsidRDefault="001C400D" w:rsidP="00AB42AA">
      <w:pPr>
        <w:pStyle w:val="Listenabsatz"/>
        <w:numPr>
          <w:ilvl w:val="0"/>
          <w:numId w:val="11"/>
        </w:numPr>
        <w:rPr>
          <w:lang w:val="en-US"/>
        </w:rPr>
      </w:pPr>
      <w:r w:rsidRPr="00197714">
        <w:rPr>
          <w:lang w:val="en-US"/>
        </w:rPr>
        <w:t xml:space="preserve">dates and times </w:t>
      </w:r>
      <w:r w:rsidR="00E8423E" w:rsidRPr="00197714">
        <w:rPr>
          <w:lang w:val="en-US"/>
        </w:rPr>
        <w:t xml:space="preserve">when </w:t>
      </w:r>
      <w:r w:rsidRPr="00197714">
        <w:rPr>
          <w:lang w:val="en-US"/>
        </w:rPr>
        <w:t>inside information first existed within the issuer</w:t>
      </w:r>
      <w:r w:rsidR="00E8423E" w:rsidRPr="00197714">
        <w:rPr>
          <w:lang w:val="en-US"/>
        </w:rPr>
        <w:t xml:space="preserve">, when </w:t>
      </w:r>
      <w:r w:rsidRPr="00197714">
        <w:rPr>
          <w:lang w:val="en-US"/>
        </w:rPr>
        <w:t xml:space="preserve">the decision to delay the disclosure of inside information was </w:t>
      </w:r>
      <w:r w:rsidR="00E96BB4" w:rsidRPr="00197714">
        <w:rPr>
          <w:lang w:val="en-US"/>
        </w:rPr>
        <w:t>made, and</w:t>
      </w:r>
      <w:r w:rsidR="00E8423E" w:rsidRPr="00197714">
        <w:rPr>
          <w:lang w:val="en-US"/>
        </w:rPr>
        <w:t xml:space="preserve"> when </w:t>
      </w:r>
      <w:r w:rsidRPr="00197714">
        <w:rPr>
          <w:lang w:val="en-US"/>
        </w:rPr>
        <w:t>the issuer is likely to disclose the inside information;</w:t>
      </w:r>
    </w:p>
    <w:p w14:paraId="4AC84CDB" w14:textId="77777777" w:rsidR="00E8423E" w:rsidRPr="00197714" w:rsidRDefault="001C400D" w:rsidP="00AB42AA">
      <w:pPr>
        <w:pStyle w:val="Listenabsatz"/>
        <w:numPr>
          <w:ilvl w:val="0"/>
          <w:numId w:val="11"/>
        </w:numPr>
        <w:rPr>
          <w:lang w:val="en-US"/>
        </w:rPr>
      </w:pPr>
      <w:r w:rsidRPr="00197714">
        <w:rPr>
          <w:lang w:val="en-US"/>
        </w:rPr>
        <w:t>identity of the persons within the issuer responsible for</w:t>
      </w:r>
      <w:r w:rsidR="00E8423E" w:rsidRPr="00197714">
        <w:rPr>
          <w:lang w:val="en-US"/>
        </w:rPr>
        <w:t xml:space="preserve"> the decision to delay</w:t>
      </w:r>
      <w:r w:rsidRPr="00197714">
        <w:rPr>
          <w:lang w:val="en-US"/>
        </w:rPr>
        <w:t xml:space="preserve"> and its likely end</w:t>
      </w:r>
      <w:r w:rsidR="00E8423E" w:rsidRPr="00197714">
        <w:rPr>
          <w:lang w:val="en-US"/>
        </w:rPr>
        <w:t xml:space="preserve">, </w:t>
      </w:r>
      <w:r w:rsidRPr="00197714">
        <w:rPr>
          <w:lang w:val="en-US"/>
        </w:rPr>
        <w:t>ensuring the ongoing monitoring of the conditions for the delay</w:t>
      </w:r>
      <w:r w:rsidR="00E8423E" w:rsidRPr="00197714">
        <w:rPr>
          <w:lang w:val="en-US"/>
        </w:rPr>
        <w:t xml:space="preserve">, </w:t>
      </w:r>
      <w:r w:rsidRPr="00197714">
        <w:rPr>
          <w:lang w:val="en-US"/>
        </w:rPr>
        <w:t>the decision to publicly disclose the inside information</w:t>
      </w:r>
      <w:r w:rsidR="00E8423E" w:rsidRPr="00197714">
        <w:rPr>
          <w:lang w:val="en-US"/>
        </w:rPr>
        <w:t xml:space="preserve">, and </w:t>
      </w:r>
      <w:r w:rsidRPr="00197714">
        <w:rPr>
          <w:lang w:val="en-US"/>
        </w:rPr>
        <w:t>providing the requested information about the delay and the written explanation to the competent authority;</w:t>
      </w:r>
    </w:p>
    <w:p w14:paraId="7294DED7" w14:textId="243D3475" w:rsidR="001C400D" w:rsidRPr="00197714" w:rsidRDefault="001C400D" w:rsidP="00AB42AA">
      <w:pPr>
        <w:pStyle w:val="Listenabsatz"/>
        <w:numPr>
          <w:ilvl w:val="0"/>
          <w:numId w:val="11"/>
        </w:numPr>
        <w:rPr>
          <w:lang w:val="en-US"/>
        </w:rPr>
      </w:pPr>
      <w:r w:rsidRPr="00197714">
        <w:rPr>
          <w:lang w:val="en-US"/>
        </w:rPr>
        <w:t xml:space="preserve">evidence of </w:t>
      </w:r>
      <w:r w:rsidRPr="00EF383F">
        <w:rPr>
          <w:lang w:val="en-GB"/>
        </w:rPr>
        <w:t>the</w:t>
      </w:r>
      <w:r w:rsidRPr="00197714">
        <w:rPr>
          <w:lang w:val="en-US"/>
        </w:rPr>
        <w:t xml:space="preserve"> initial fulfilment of the conditions referred to in </w:t>
      </w:r>
      <w:r w:rsidR="001870C0" w:rsidRPr="00197714">
        <w:rPr>
          <w:lang w:val="en-US"/>
        </w:rPr>
        <w:t>article </w:t>
      </w:r>
      <w:r w:rsidRPr="00197714">
        <w:rPr>
          <w:lang w:val="en-US"/>
        </w:rPr>
        <w:t xml:space="preserve">17(4) </w:t>
      </w:r>
      <w:r w:rsidR="00E8423E" w:rsidRPr="00197714">
        <w:rPr>
          <w:lang w:val="en-US"/>
        </w:rPr>
        <w:t xml:space="preserve">MAR, including </w:t>
      </w:r>
      <w:r w:rsidRPr="00197714">
        <w:rPr>
          <w:lang w:val="en-US"/>
        </w:rPr>
        <w:t>information barriers which have been put in place</w:t>
      </w:r>
      <w:r w:rsidR="00E8423E" w:rsidRPr="00197714">
        <w:rPr>
          <w:lang w:val="en-US"/>
        </w:rPr>
        <w:t xml:space="preserve">, and </w:t>
      </w:r>
      <w:r w:rsidRPr="00197714">
        <w:rPr>
          <w:lang w:val="en-US"/>
        </w:rPr>
        <w:t xml:space="preserve">arrangements to disclose the relevant inside information as soon as possible where the confidentiality is no longer ensured. </w:t>
      </w:r>
    </w:p>
    <w:p w14:paraId="440D918E" w14:textId="6A194F89" w:rsidR="00A7526F" w:rsidRPr="00044BD7" w:rsidRDefault="00A7526F" w:rsidP="0056702B">
      <w:pPr>
        <w:rPr>
          <w:lang w:val="en-US"/>
        </w:rPr>
      </w:pPr>
      <w:r w:rsidRPr="00044BD7">
        <w:rPr>
          <w:lang w:val="en-US"/>
        </w:rPr>
        <w:t xml:space="preserve">Where an issuer has delayed disclosure under </w:t>
      </w:r>
      <w:r w:rsidR="001870C0" w:rsidRPr="00044BD7">
        <w:rPr>
          <w:lang w:val="en-US"/>
        </w:rPr>
        <w:t>article </w:t>
      </w:r>
      <w:r w:rsidRPr="00044BD7">
        <w:rPr>
          <w:lang w:val="en-US"/>
        </w:rPr>
        <w:t>17(4) MAR, it shall inform the competent authority of that fact and how the conditions of delay were met immediately after the information is disclosed to the public.</w:t>
      </w:r>
      <w:r w:rsidRPr="002121A4">
        <w:rPr>
          <w:rStyle w:val="Funotenzeichen"/>
        </w:rPr>
        <w:footnoteReference w:id="205"/>
      </w:r>
      <w:r w:rsidRPr="00044BD7">
        <w:rPr>
          <w:lang w:val="en-US"/>
        </w:rPr>
        <w:t xml:space="preserve"> </w:t>
      </w:r>
      <w:r w:rsidR="00D26944" w:rsidRPr="00044BD7">
        <w:rPr>
          <w:lang w:val="en-US"/>
        </w:rPr>
        <w:t xml:space="preserve">The competent authority is determined under </w:t>
      </w:r>
      <w:r w:rsidR="001870C0" w:rsidRPr="00044BD7">
        <w:rPr>
          <w:lang w:val="en-US"/>
        </w:rPr>
        <w:t>article </w:t>
      </w:r>
      <w:r w:rsidR="00D26944" w:rsidRPr="00044BD7">
        <w:rPr>
          <w:lang w:val="en-US"/>
        </w:rPr>
        <w:t xml:space="preserve">17(3) MAR in conjunction with </w:t>
      </w:r>
      <w:r w:rsidR="001870C0" w:rsidRPr="00044BD7">
        <w:rPr>
          <w:lang w:val="en-US"/>
        </w:rPr>
        <w:t>article </w:t>
      </w:r>
      <w:r w:rsidR="00D26944" w:rsidRPr="00044BD7">
        <w:rPr>
          <w:lang w:val="en-US"/>
        </w:rPr>
        <w:t xml:space="preserve">6 </w:t>
      </w:r>
      <w:bookmarkStart w:id="124" w:name="_Hlk131675024"/>
      <w:r w:rsidR="00023462" w:rsidRPr="00044BD7">
        <w:rPr>
          <w:lang w:val="en-US"/>
        </w:rPr>
        <w:t xml:space="preserve">Commission </w:t>
      </w:r>
      <w:r w:rsidR="00D26944" w:rsidRPr="00044BD7">
        <w:rPr>
          <w:lang w:val="en-US"/>
        </w:rPr>
        <w:t>Delegated Regulation 2016/522</w:t>
      </w:r>
      <w:bookmarkEnd w:id="124"/>
      <w:r w:rsidR="00023462" w:rsidRPr="00044BD7">
        <w:rPr>
          <w:lang w:val="en-US"/>
        </w:rPr>
        <w:t>; in most cases, this will be the authority of the Member State where the issuer is registered.</w:t>
      </w:r>
      <w:r w:rsidR="002835D6" w:rsidRPr="002121A4">
        <w:rPr>
          <w:rStyle w:val="Funotenzeichen"/>
        </w:rPr>
        <w:footnoteReference w:id="206"/>
      </w:r>
    </w:p>
    <w:p w14:paraId="036CDD4B" w14:textId="2DAE0F56" w:rsidR="00FC6DD6" w:rsidRPr="002121A4" w:rsidRDefault="00FC6DD6" w:rsidP="00FC6DD6">
      <w:pPr>
        <w:pStyle w:val="Standardwithparanumbering"/>
      </w:pPr>
      <w:r>
        <w:t>Following legislative reform through the EU Listing Act (see para. </w:t>
      </w:r>
      <w:r>
        <w:fldChar w:fldCharType="begin"/>
      </w:r>
      <w:r>
        <w:instrText xml:space="preserve"> REF _Ref163751344 \r \h </w:instrText>
      </w:r>
      <w:r>
        <w:fldChar w:fldCharType="separate"/>
      </w:r>
      <w:r w:rsidR="00D56145">
        <w:t>28</w:t>
      </w:r>
      <w:r>
        <w:fldChar w:fldCharType="end"/>
      </w:r>
      <w:r>
        <w:t xml:space="preserve"> above), the regime for disclosure of inside information will be modified (taking effect on 5 June 2026): The disclosure requirement under article 17(1) MAR will no longer apply to intermediate steps connected to bringing about particular </w:t>
      </w:r>
      <w:r w:rsidR="00256D17">
        <w:t>circumstances</w:t>
      </w:r>
      <w:r>
        <w:t xml:space="preserve"> or an event; only the “final” event or circumstances have to be </w:t>
      </w:r>
      <w:r>
        <w:lastRenderedPageBreak/>
        <w:t>disclosed.</w:t>
      </w:r>
      <w:r>
        <w:rPr>
          <w:rStyle w:val="Funotenzeichen"/>
        </w:rPr>
        <w:footnoteReference w:id="207"/>
      </w:r>
      <w:r>
        <w:t xml:space="preserve"> Delaying disclosure of “intermediate steps” under these principles will not be subject to requirements under article 17(4).</w:t>
      </w:r>
      <w:r>
        <w:rPr>
          <w:rStyle w:val="Funotenzeichen"/>
        </w:rPr>
        <w:footnoteReference w:id="208"/>
      </w:r>
      <w:r>
        <w:t xml:space="preserve"> Where confidentiality is no longer ensured, the issuer has to make public the relevant inside information as soon as possible.</w:t>
      </w:r>
      <w:r>
        <w:rPr>
          <w:rStyle w:val="Funotenzeichen"/>
        </w:rPr>
        <w:footnoteReference w:id="209"/>
      </w:r>
      <w:r>
        <w:t xml:space="preserve"> The Commission is </w:t>
      </w:r>
      <w:r w:rsidR="00256D17">
        <w:t>empowered</w:t>
      </w:r>
      <w:r>
        <w:t xml:space="preserve"> to adopt a non-exhaustive list of final events and when these are deemed to have occurred.</w:t>
      </w:r>
      <w:r>
        <w:rPr>
          <w:rStyle w:val="Funotenzeichen"/>
        </w:rPr>
        <w:footnoteReference w:id="210"/>
      </w:r>
    </w:p>
    <w:p w14:paraId="3552029A" w14:textId="52C9C9F7" w:rsidR="00AE50F9" w:rsidRPr="002121A4" w:rsidRDefault="002D6D0A" w:rsidP="00DF3E4C">
      <w:pPr>
        <w:pStyle w:val="Standardwithparanumbering"/>
      </w:pPr>
      <w:r w:rsidRPr="002121A4">
        <w:t xml:space="preserve">In addition to delay of disclosure available to any issuer under </w:t>
      </w:r>
      <w:r w:rsidR="001870C0" w:rsidRPr="002121A4">
        <w:t>article </w:t>
      </w:r>
      <w:r w:rsidRPr="002121A4">
        <w:t xml:space="preserve">17(4) MAR, </w:t>
      </w:r>
      <w:r w:rsidR="001870C0" w:rsidRPr="002121A4">
        <w:t>article </w:t>
      </w:r>
      <w:r w:rsidRPr="002121A4">
        <w:t>17</w:t>
      </w:r>
      <w:r w:rsidR="00677356" w:rsidRPr="002121A4">
        <w:t>(</w:t>
      </w:r>
      <w:r w:rsidRPr="002121A4">
        <w:t xml:space="preserve">5) allows credit institutions and financial institutions to delay disclosure where immediate disclosure entails a risk of undermining the financial stability of the issuer and the financial system at large, </w:t>
      </w:r>
      <w:r w:rsidR="002877BC" w:rsidRPr="002121A4">
        <w:t>provided that</w:t>
      </w:r>
      <w:r w:rsidRPr="002121A4">
        <w:t xml:space="preserve"> there is a public interest in delaying disclosure, confidentiality can be ensured, and the competent authority has consented to the delay.</w:t>
      </w:r>
    </w:p>
    <w:p w14:paraId="5AF33713" w14:textId="5BEAB90E" w:rsidR="00B36C93" w:rsidRPr="002121A4" w:rsidRDefault="00182081" w:rsidP="00603774">
      <w:pPr>
        <w:pStyle w:val="Standardwithparanumbering"/>
      </w:pPr>
      <w:r w:rsidRPr="002121A4">
        <w:t xml:space="preserve">Where the issuer has delayed disclosure in accordance with </w:t>
      </w:r>
      <w:r w:rsidR="001870C0" w:rsidRPr="002121A4">
        <w:t>article </w:t>
      </w:r>
      <w:r w:rsidRPr="002121A4">
        <w:t xml:space="preserve">17(4), (5) MAR, and confidentiality is no longer ensured, the issuer must make public the information as soon as possible, </w:t>
      </w:r>
      <w:r w:rsidR="001870C0" w:rsidRPr="002121A4">
        <w:t>article </w:t>
      </w:r>
      <w:r w:rsidRPr="002121A4">
        <w:t xml:space="preserve">17(7)(1) MAR. This includes, in particular, situations where there are rumours in the market that explicitly relate to inside information for which disclosure was delayed, and where the rumour is sufficiently accurate to indicate that confidentiality is no longer ensured, </w:t>
      </w:r>
      <w:r w:rsidR="001870C0" w:rsidRPr="002121A4">
        <w:t>article </w:t>
      </w:r>
      <w:r w:rsidRPr="002121A4">
        <w:t>17(7)(2) MAR.</w:t>
      </w:r>
    </w:p>
    <w:p w14:paraId="2F8036BE" w14:textId="474A6408" w:rsidR="00E51CCF" w:rsidRPr="002121A4" w:rsidRDefault="00E51CCF" w:rsidP="00A83093">
      <w:pPr>
        <w:pStyle w:val="berschrift4"/>
        <w:rPr>
          <w:lang w:val="en-GB"/>
        </w:rPr>
      </w:pPr>
      <w:r w:rsidRPr="002121A4">
        <w:rPr>
          <w:lang w:val="en-GB"/>
        </w:rPr>
        <w:t>Insider lists</w:t>
      </w:r>
    </w:p>
    <w:p w14:paraId="59131292" w14:textId="6E6170D0" w:rsidR="009A42E7" w:rsidRPr="002121A4" w:rsidRDefault="005C2701" w:rsidP="005C2701">
      <w:pPr>
        <w:pStyle w:val="Standardwithparanumbering"/>
      </w:pPr>
      <w:r w:rsidRPr="002121A4">
        <w:t xml:space="preserve">The disclosure obligations incumbent on issuers under </w:t>
      </w:r>
      <w:r w:rsidR="001870C0" w:rsidRPr="002121A4">
        <w:t>article </w:t>
      </w:r>
      <w:r w:rsidRPr="002121A4">
        <w:t xml:space="preserve">17 MAR </w:t>
      </w:r>
      <w:r w:rsidR="002E5DD2" w:rsidRPr="002121A4">
        <w:t xml:space="preserve">are </w:t>
      </w:r>
      <w:r w:rsidRPr="002121A4">
        <w:t xml:space="preserve">complemented by the requirement under </w:t>
      </w:r>
      <w:r w:rsidR="001870C0" w:rsidRPr="002121A4">
        <w:t>article </w:t>
      </w:r>
      <w:r w:rsidRPr="002121A4">
        <w:t>18(1) MAR to draw up and maintain insider lists. This obligation exists for issuers and any person acting on their behalf or on their account (e.g., external advisors such as law firms, tax consultants, investment firms).</w:t>
      </w:r>
      <w:r w:rsidRPr="002121A4">
        <w:rPr>
          <w:rStyle w:val="Funotenzeichen"/>
        </w:rPr>
        <w:footnoteReference w:id="211"/>
      </w:r>
      <w:r w:rsidRPr="002121A4">
        <w:t xml:space="preserve"> </w:t>
      </w:r>
      <w:r w:rsidR="00DF6521" w:rsidRPr="002121A4">
        <w:t>These lists shall include all persons who have access to inside information through a contract of employment or other performance of tasks.</w:t>
      </w:r>
      <w:r w:rsidR="009A42E7" w:rsidRPr="002121A4">
        <w:t xml:space="preserve"> Details to be included are the identity of the person with access to the information, the reason for its inclusion, and the date and time when access to inside information was obtained.</w:t>
      </w:r>
      <w:r w:rsidR="00E21914" w:rsidRPr="002121A4">
        <w:rPr>
          <w:rStyle w:val="Funotenzeichen"/>
        </w:rPr>
        <w:footnoteReference w:id="212"/>
      </w:r>
      <w:r w:rsidR="009A42E7" w:rsidRPr="002121A4">
        <w:t xml:space="preserve"> Further details of the format are laid down in Commission Implementing Regulation (EU) 2016/523.</w:t>
      </w:r>
      <w:r w:rsidR="00DF6521" w:rsidRPr="002121A4">
        <w:t xml:space="preserve"> </w:t>
      </w:r>
    </w:p>
    <w:p w14:paraId="1E552FDC" w14:textId="1CDD42E9" w:rsidR="009A42E7" w:rsidRPr="002121A4" w:rsidRDefault="009A42E7" w:rsidP="005C2701">
      <w:pPr>
        <w:pStyle w:val="Standardwithparanumbering"/>
      </w:pPr>
      <w:r w:rsidRPr="002121A4">
        <w:t xml:space="preserve">Insider </w:t>
      </w:r>
      <w:r w:rsidR="00DF6521" w:rsidRPr="002121A4">
        <w:t xml:space="preserve">lists have to be updated when the reason for including a person on the list changes, where a new person has access to the information and therefore needs to be added to the list, or </w:t>
      </w:r>
      <w:r w:rsidR="0070731B" w:rsidRPr="002121A4">
        <w:t>wh</w:t>
      </w:r>
      <w:r w:rsidR="00DF6521" w:rsidRPr="002121A4">
        <w:t>ere a person ceases to have access to inside information, and these updates shall specify date and time of the triggering event.</w:t>
      </w:r>
      <w:r w:rsidR="00E21914" w:rsidRPr="002121A4">
        <w:rPr>
          <w:rStyle w:val="Funotenzeichen"/>
        </w:rPr>
        <w:footnoteReference w:id="213"/>
      </w:r>
      <w:r w:rsidR="005C2701" w:rsidRPr="002121A4">
        <w:t xml:space="preserve"> </w:t>
      </w:r>
      <w:r w:rsidRPr="002121A4">
        <w:t>The person obliged to draw up an insider list must retain the list for at least five years after its creation or update.</w:t>
      </w:r>
      <w:r w:rsidR="00E21914" w:rsidRPr="002121A4">
        <w:rPr>
          <w:rStyle w:val="Funotenzeichen"/>
        </w:rPr>
        <w:footnoteReference w:id="214"/>
      </w:r>
      <w:r w:rsidRPr="002121A4">
        <w:t xml:space="preserve"> </w:t>
      </w:r>
    </w:p>
    <w:p w14:paraId="3AD7D768" w14:textId="038FC84F" w:rsidR="003B41AF" w:rsidRPr="002121A4" w:rsidRDefault="0070731B" w:rsidP="005C2701">
      <w:pPr>
        <w:pStyle w:val="Standardwithparanumbering"/>
      </w:pPr>
      <w:r w:rsidRPr="002121A4">
        <w:t xml:space="preserve">One </w:t>
      </w:r>
      <w:r w:rsidR="009A42E7" w:rsidRPr="002121A4">
        <w:t xml:space="preserve">purpose of the requirement to maintain insider lists is to make sure that persons with access to inside information are aware of the regulatory regime applicable to inside information: in fact, </w:t>
      </w:r>
      <w:r w:rsidR="001870C0" w:rsidRPr="002121A4">
        <w:t>article </w:t>
      </w:r>
      <w:r w:rsidR="009A42E7" w:rsidRPr="002121A4">
        <w:t xml:space="preserve">18(2) MAR requires persons obliged to maintain insider lists to take reasonable steps so that persons on the list acknowledge in writing the legal and regulatory duties attaching to inside information and </w:t>
      </w:r>
      <w:r w:rsidR="0060242C" w:rsidRPr="002121A4">
        <w:t>are</w:t>
      </w:r>
      <w:r w:rsidR="009A42E7" w:rsidRPr="002121A4">
        <w:t xml:space="preserve"> aware of the sanctions applicable to insider dealing and unlawful disclosure. In </w:t>
      </w:r>
      <w:r w:rsidR="009A42E7" w:rsidRPr="002121A4">
        <w:lastRenderedPageBreak/>
        <w:t xml:space="preserve">addition, </w:t>
      </w:r>
      <w:r w:rsidR="001870C0" w:rsidRPr="002121A4">
        <w:t>article </w:t>
      </w:r>
      <w:r w:rsidR="009A42E7" w:rsidRPr="002121A4">
        <w:t>18(1)(c) MAR requires persons maintain</w:t>
      </w:r>
      <w:r w:rsidR="0060242C" w:rsidRPr="002121A4">
        <w:t>ing</w:t>
      </w:r>
      <w:r w:rsidR="009A42E7" w:rsidRPr="002121A4">
        <w:t xml:space="preserve"> insider lists to make those available to the competent authority on its request as soon as possible. For any person included on an insider list, this transparency vis-à-vis regulators will tend to </w:t>
      </w:r>
      <w:r w:rsidR="009024AC" w:rsidRPr="002121A4">
        <w:t xml:space="preserve">ensure compliance with the prohibition </w:t>
      </w:r>
      <w:r w:rsidR="009A42E7" w:rsidRPr="002121A4">
        <w:t xml:space="preserve">under </w:t>
      </w:r>
      <w:r w:rsidR="001870C0" w:rsidRPr="002121A4">
        <w:t>article </w:t>
      </w:r>
      <w:r w:rsidR="009A42E7" w:rsidRPr="002121A4">
        <w:t>1</w:t>
      </w:r>
      <w:r w:rsidR="0060242C" w:rsidRPr="002121A4">
        <w:t>4</w:t>
      </w:r>
      <w:r w:rsidR="009A42E7" w:rsidRPr="002121A4">
        <w:t xml:space="preserve"> MAR.</w:t>
      </w:r>
    </w:p>
    <w:p w14:paraId="64C0E180" w14:textId="6E11FBB6" w:rsidR="00E51CCF" w:rsidRPr="002121A4" w:rsidRDefault="00E51CCF" w:rsidP="00A83093">
      <w:pPr>
        <w:pStyle w:val="berschrift4"/>
        <w:rPr>
          <w:lang w:val="en-GB"/>
        </w:rPr>
      </w:pPr>
      <w:r w:rsidRPr="002121A4">
        <w:rPr>
          <w:lang w:val="en-GB"/>
        </w:rPr>
        <w:t xml:space="preserve">Disclosure of </w:t>
      </w:r>
      <w:r w:rsidR="00FF2B16" w:rsidRPr="002121A4">
        <w:rPr>
          <w:lang w:val="en-GB"/>
        </w:rPr>
        <w:t>managers’ transactions</w:t>
      </w:r>
      <w:r w:rsidRPr="002121A4">
        <w:rPr>
          <w:lang w:val="en-GB"/>
        </w:rPr>
        <w:t xml:space="preserve">, </w:t>
      </w:r>
      <w:r w:rsidR="001870C0" w:rsidRPr="002121A4">
        <w:rPr>
          <w:lang w:val="en-GB"/>
        </w:rPr>
        <w:t>article </w:t>
      </w:r>
      <w:r w:rsidRPr="002121A4">
        <w:rPr>
          <w:lang w:val="en-GB"/>
        </w:rPr>
        <w:t>19 MAR</w:t>
      </w:r>
    </w:p>
    <w:p w14:paraId="4D4229D8" w14:textId="1FE3A7E4" w:rsidR="00FF2B16" w:rsidRPr="002121A4" w:rsidRDefault="00510472" w:rsidP="00510472">
      <w:pPr>
        <w:pStyle w:val="Standardwithparanumbering"/>
      </w:pPr>
      <w:bookmarkStart w:id="125" w:name="_Ref130885376"/>
      <w:r w:rsidRPr="002121A4">
        <w:t xml:space="preserve">The regulatory objective to prevent insider dealing is also the basis for disclosure obligations under </w:t>
      </w:r>
      <w:r w:rsidR="001870C0" w:rsidRPr="002121A4">
        <w:t>article </w:t>
      </w:r>
      <w:r w:rsidRPr="002121A4">
        <w:t xml:space="preserve">19 MAR: persons discharging managerial responsibilities – i.e., senior management as defined in </w:t>
      </w:r>
      <w:r w:rsidR="001870C0" w:rsidRPr="002121A4">
        <w:t>article </w:t>
      </w:r>
      <w:r w:rsidRPr="002121A4">
        <w:t>3(1)(25) MAR – and persons closely associated with them must notify issuers and the competent authorities in respect of every transaction conducted on their own account relating to the share or instruments of the issuer or instruments linked thereto (</w:t>
      </w:r>
      <w:r w:rsidR="0033492A" w:rsidRPr="002121A4">
        <w:t xml:space="preserve">“managers’ transactions” under </w:t>
      </w:r>
      <w:r w:rsidR="001870C0" w:rsidRPr="002121A4">
        <w:t>article </w:t>
      </w:r>
      <w:r w:rsidRPr="002121A4">
        <w:t>19(1)(a) MAR).</w:t>
      </w:r>
      <w:r w:rsidR="0033492A" w:rsidRPr="002121A4">
        <w:t xml:space="preserve"> </w:t>
      </w:r>
      <w:r w:rsidRPr="002121A4">
        <w:t>The notification must be made promptly and no later than three business days after the transaction.</w:t>
      </w:r>
      <w:r w:rsidRPr="002121A4">
        <w:rPr>
          <w:rStyle w:val="Funotenzeichen"/>
        </w:rPr>
        <w:footnoteReference w:id="215"/>
      </w:r>
      <w:r w:rsidRPr="002121A4">
        <w:t xml:space="preserve"> It applies as soon as the </w:t>
      </w:r>
      <w:r w:rsidRPr="002121A4">
        <w:rPr>
          <w:i/>
        </w:rPr>
        <w:t>de mini</w:t>
      </w:r>
      <w:r w:rsidR="0033492A" w:rsidRPr="002121A4">
        <w:rPr>
          <w:i/>
        </w:rPr>
        <w:t>mi</w:t>
      </w:r>
      <w:r w:rsidRPr="002121A4">
        <w:rPr>
          <w:i/>
        </w:rPr>
        <w:t>s</w:t>
      </w:r>
      <w:r w:rsidRPr="002121A4">
        <w:t xml:space="preserve"> threshold </w:t>
      </w:r>
      <w:r w:rsidR="0033492A" w:rsidRPr="002121A4">
        <w:t xml:space="preserve">of </w:t>
      </w:r>
      <w:r w:rsidR="00157A20">
        <w:t>20</w:t>
      </w:r>
      <w:r w:rsidR="0033492A" w:rsidRPr="002121A4">
        <w:t xml:space="preserve">,000 euros </w:t>
      </w:r>
      <w:r w:rsidRPr="002121A4">
        <w:t xml:space="preserve">under </w:t>
      </w:r>
      <w:r w:rsidR="001870C0" w:rsidRPr="002121A4">
        <w:t>article </w:t>
      </w:r>
      <w:r w:rsidRPr="002121A4">
        <w:t>1</w:t>
      </w:r>
      <w:r w:rsidR="00DE5A6A" w:rsidRPr="002121A4">
        <w:t>9</w:t>
      </w:r>
      <w:r w:rsidRPr="002121A4">
        <w:t>(8) MAR is reached in a calendar year.</w:t>
      </w:r>
      <w:r w:rsidR="0033492A" w:rsidRPr="002121A4">
        <w:rPr>
          <w:rStyle w:val="Funotenzeichen"/>
        </w:rPr>
        <w:footnoteReference w:id="216"/>
      </w:r>
      <w:r w:rsidRPr="002121A4">
        <w:t xml:space="preserve"> </w:t>
      </w:r>
      <w:r w:rsidR="0033492A" w:rsidRPr="002121A4">
        <w:t xml:space="preserve">The issuer has to make public </w:t>
      </w:r>
      <w:r w:rsidR="00DE5A6A" w:rsidRPr="002121A4">
        <w:t xml:space="preserve">the information contained in a notification under </w:t>
      </w:r>
      <w:r w:rsidR="001870C0" w:rsidRPr="002121A4">
        <w:t>article </w:t>
      </w:r>
      <w:r w:rsidR="00DE5A6A" w:rsidRPr="002121A4">
        <w:t xml:space="preserve">19(1) </w:t>
      </w:r>
      <w:r w:rsidR="00993A9A" w:rsidRPr="002121A4">
        <w:t xml:space="preserve">MAR </w:t>
      </w:r>
      <w:r w:rsidR="00DE5A6A" w:rsidRPr="002121A4">
        <w:t xml:space="preserve">within two business days of receipt, </w:t>
      </w:r>
      <w:r w:rsidR="001870C0" w:rsidRPr="002121A4">
        <w:t>article </w:t>
      </w:r>
      <w:r w:rsidR="00DE5A6A" w:rsidRPr="002121A4">
        <w:t>19(3)(1) MAR.</w:t>
      </w:r>
      <w:bookmarkEnd w:id="125"/>
    </w:p>
    <w:p w14:paraId="3C7587C7" w14:textId="2F138CDF" w:rsidR="00DE5A6A" w:rsidRPr="002121A4" w:rsidRDefault="00DE5A6A" w:rsidP="00510472">
      <w:pPr>
        <w:pStyle w:val="Standardwithparanumbering"/>
      </w:pPr>
      <w:bookmarkStart w:id="126" w:name="_Ref130850542"/>
      <w:r w:rsidRPr="002121A4">
        <w:t xml:space="preserve">The disclosure and publication mechanism under </w:t>
      </w:r>
      <w:r w:rsidR="001870C0" w:rsidRPr="002121A4">
        <w:t>article </w:t>
      </w:r>
      <w:r w:rsidRPr="002121A4">
        <w:t xml:space="preserve">19(1) and (3) MAR create a degree of transparency that is perceived to be conducive to managers’ compliance with the prohibition of insider dealing. In addition, the regulation seeks to avoid the mere appearance of prohibited transactions by imposing “closed periods”: under </w:t>
      </w:r>
      <w:r w:rsidR="001870C0" w:rsidRPr="002121A4">
        <w:t>article </w:t>
      </w:r>
      <w:r w:rsidRPr="002121A4">
        <w:t>19(11)</w:t>
      </w:r>
      <w:r w:rsidR="00993A9A" w:rsidRPr="002121A4">
        <w:t xml:space="preserve"> MAR</w:t>
      </w:r>
      <w:r w:rsidRPr="002121A4">
        <w:t xml:space="preserve">, a person discharging managerial responsibilities shall not conduct any transaction on its own account or for a third party relating to shares or debt instruments of the issuer or instruments linked thereto during a “closed period” of 30 calendar days before the announcement of an interim financial report or a </w:t>
      </w:r>
      <w:r w:rsidR="00E96BB4" w:rsidRPr="002121A4">
        <w:t>year-end</w:t>
      </w:r>
      <w:r w:rsidRPr="002121A4">
        <w:t xml:space="preserve"> report which the issuer is obliged to make public either under the rules </w:t>
      </w:r>
      <w:r w:rsidR="00313D86" w:rsidRPr="002121A4">
        <w:t xml:space="preserve">of </w:t>
      </w:r>
      <w:r w:rsidRPr="002121A4">
        <w:t>the trading venue where the shares are admitted to trading, or national law.</w:t>
      </w:r>
      <w:bookmarkEnd w:id="126"/>
    </w:p>
    <w:p w14:paraId="6331D724" w14:textId="176A7C5D" w:rsidR="00514D10" w:rsidRPr="002121A4" w:rsidRDefault="00514D10" w:rsidP="00AB42AA">
      <w:pPr>
        <w:pStyle w:val="Case"/>
        <w:numPr>
          <w:ilvl w:val="0"/>
          <w:numId w:val="14"/>
        </w:numPr>
        <w:ind w:left="567" w:firstLine="0"/>
      </w:pPr>
      <w:bookmarkStart w:id="127" w:name="_Ref163123825"/>
      <w:r w:rsidRPr="002121A4">
        <w:t xml:space="preserve">V is a member of the management board of the N-AG, the shares of which are listed </w:t>
      </w:r>
      <w:r w:rsidRPr="002121A4">
        <w:rPr>
          <w:szCs w:val="23"/>
        </w:rPr>
        <w:t>on</w:t>
      </w:r>
      <w:r w:rsidRPr="002121A4">
        <w:t xml:space="preserve"> the regulated market at the Frankfurt stock exchange. The publication of the annual </w:t>
      </w:r>
      <w:r w:rsidRPr="00113BE5">
        <w:rPr>
          <w:szCs w:val="23"/>
        </w:rPr>
        <w:t>accounts</w:t>
      </w:r>
      <w:r w:rsidRPr="002121A4">
        <w:t xml:space="preserve"> of </w:t>
      </w:r>
      <w:r w:rsidRPr="002121A4">
        <w:rPr>
          <w:szCs w:val="23"/>
        </w:rPr>
        <w:t>the</w:t>
      </w:r>
      <w:r w:rsidRPr="002121A4">
        <w:t xml:space="preserve"> N-AG is scheduled for 15 March 2022. On 12 March 2022, V wants to sell 2</w:t>
      </w:r>
      <w:r w:rsidR="00F720CA">
        <w:t>,</w:t>
      </w:r>
      <w:r w:rsidRPr="002121A4">
        <w:t>000 shares of the N-AG. Is he allowed to do this?</w:t>
      </w:r>
      <w:r w:rsidR="00202ED9" w:rsidRPr="002121A4">
        <w:t xml:space="preserve"> (Papers 2022_2 #15; 2019_1 #6)</w:t>
      </w:r>
      <w:bookmarkEnd w:id="127"/>
    </w:p>
    <w:p w14:paraId="411BD11B" w14:textId="6D792A40" w:rsidR="00514D10" w:rsidRPr="002121A4" w:rsidRDefault="00191C99" w:rsidP="00191C99">
      <w:pPr>
        <w:pStyle w:val="Case"/>
      </w:pPr>
      <w:r w:rsidRPr="002121A4">
        <w:rPr>
          <w:b/>
        </w:rPr>
        <w:t>Notes.</w:t>
      </w:r>
      <w:r w:rsidR="00956EF4" w:rsidRPr="002121A4">
        <w:rPr>
          <w:b/>
        </w:rPr>
        <w:br/>
      </w:r>
      <w:r w:rsidR="00956EF4" w:rsidRPr="002121A4">
        <w:rPr>
          <w:b/>
        </w:rPr>
        <w:br/>
      </w:r>
      <w:r w:rsidR="00D920DD">
        <w:rPr>
          <w:b/>
        </w:rPr>
        <w:br/>
      </w:r>
      <w:r w:rsidR="00956EF4" w:rsidRPr="002121A4">
        <w:rPr>
          <w:b/>
        </w:rPr>
        <w:br/>
      </w:r>
    </w:p>
    <w:p w14:paraId="5697DA78" w14:textId="253C2711" w:rsidR="00E51CCF" w:rsidRPr="002121A4" w:rsidRDefault="00CF0FF9" w:rsidP="00A83093">
      <w:pPr>
        <w:pStyle w:val="berschrift3"/>
        <w:rPr>
          <w:lang w:val="en-GB"/>
        </w:rPr>
      </w:pPr>
      <w:r w:rsidRPr="002121A4">
        <w:rPr>
          <w:lang w:val="en-GB"/>
        </w:rPr>
        <w:t>Public and private e</w:t>
      </w:r>
      <w:r w:rsidR="00E51CCF" w:rsidRPr="002121A4">
        <w:rPr>
          <w:lang w:val="en-GB"/>
        </w:rPr>
        <w:t>nforcement</w:t>
      </w:r>
    </w:p>
    <w:p w14:paraId="12193336" w14:textId="13FFABDD" w:rsidR="00604A6F" w:rsidRPr="002121A4" w:rsidRDefault="00E51CCF" w:rsidP="00604A6F">
      <w:pPr>
        <w:pStyle w:val="Standardwithparanumbering"/>
      </w:pPr>
      <w:r w:rsidRPr="002121A4">
        <w:t xml:space="preserve">Public enforcement </w:t>
      </w:r>
      <w:r w:rsidR="00604A6F" w:rsidRPr="002121A4">
        <w:t xml:space="preserve">measures are largely dealt with by </w:t>
      </w:r>
      <w:r w:rsidRPr="002121A4">
        <w:t>chapter 5 MAR</w:t>
      </w:r>
      <w:r w:rsidR="00604A6F" w:rsidRPr="002121A4">
        <w:t>. It includes administrative sanctions, in particular, cease and desist orders,</w:t>
      </w:r>
      <w:r w:rsidR="00604A6F" w:rsidRPr="002121A4">
        <w:rPr>
          <w:rStyle w:val="Funotenzeichen"/>
        </w:rPr>
        <w:footnoteReference w:id="217"/>
      </w:r>
      <w:r w:rsidR="00604A6F" w:rsidRPr="002121A4">
        <w:t xml:space="preserve"> disgorgement of profits,</w:t>
      </w:r>
      <w:r w:rsidR="00604A6F" w:rsidRPr="002121A4">
        <w:rPr>
          <w:rStyle w:val="Funotenzeichen"/>
        </w:rPr>
        <w:footnoteReference w:id="218"/>
      </w:r>
      <w:r w:rsidR="00604A6F" w:rsidRPr="002121A4">
        <w:t xml:space="preserve"> withdrawal or </w:t>
      </w:r>
      <w:r w:rsidR="00604A6F" w:rsidRPr="002121A4">
        <w:lastRenderedPageBreak/>
        <w:t xml:space="preserve">suspension of </w:t>
      </w:r>
      <w:r w:rsidR="00E96BB4" w:rsidRPr="002121A4">
        <w:t>author</w:t>
      </w:r>
      <w:r w:rsidR="00706D6F" w:rsidRPr="002121A4">
        <w:t>ization</w:t>
      </w:r>
      <w:r w:rsidR="00604A6F" w:rsidRPr="002121A4">
        <w:t xml:space="preserve"> of an investment firm,</w:t>
      </w:r>
      <w:r w:rsidR="00604A6F" w:rsidRPr="002121A4">
        <w:rPr>
          <w:rStyle w:val="Funotenzeichen"/>
        </w:rPr>
        <w:footnoteReference w:id="219"/>
      </w:r>
      <w:r w:rsidR="00604A6F" w:rsidRPr="002121A4">
        <w:t xml:space="preserve"> and pecuniary sanctions. Pecuniary sanctions can amount to the higher of </w:t>
      </w:r>
    </w:p>
    <w:p w14:paraId="4D1E0303" w14:textId="77777777" w:rsidR="00604A6F" w:rsidRPr="00197714" w:rsidRDefault="00604A6F" w:rsidP="00AB42AA">
      <w:pPr>
        <w:pStyle w:val="Listenabsatz"/>
        <w:numPr>
          <w:ilvl w:val="0"/>
          <w:numId w:val="11"/>
        </w:numPr>
        <w:rPr>
          <w:lang w:val="en-US"/>
        </w:rPr>
      </w:pPr>
      <w:r w:rsidRPr="00197714">
        <w:rPr>
          <w:lang w:val="en-US"/>
        </w:rPr>
        <w:t xml:space="preserve">absolute amounts (depending on the type of infringements, between 500,000 and 5,000,000 for natural persons, and 1,000,000 to 15,000,000 euros for legal persons) and </w:t>
      </w:r>
    </w:p>
    <w:p w14:paraId="576DD30A" w14:textId="5CAD90C4" w:rsidR="00604A6F" w:rsidRPr="00197714" w:rsidRDefault="00604A6F" w:rsidP="00AB42AA">
      <w:pPr>
        <w:pStyle w:val="Listenabsatz"/>
        <w:numPr>
          <w:ilvl w:val="0"/>
          <w:numId w:val="11"/>
        </w:numPr>
        <w:rPr>
          <w:lang w:val="en-US"/>
        </w:rPr>
      </w:pPr>
      <w:r w:rsidRPr="00197714">
        <w:rPr>
          <w:lang w:val="en-US"/>
        </w:rPr>
        <w:t xml:space="preserve">in case of </w:t>
      </w:r>
      <w:r w:rsidRPr="00EF383F">
        <w:rPr>
          <w:lang w:val="en-GB"/>
        </w:rPr>
        <w:t>legal</w:t>
      </w:r>
      <w:r w:rsidRPr="00197714">
        <w:rPr>
          <w:lang w:val="en-US"/>
        </w:rPr>
        <w:t xml:space="preserve"> persons a percentage of annual turnover (depending on the type of infringement, between 2 and 15%).</w:t>
      </w:r>
      <w:r w:rsidRPr="002121A4">
        <w:rPr>
          <w:rStyle w:val="Funotenzeichen"/>
        </w:rPr>
        <w:footnoteReference w:id="220"/>
      </w:r>
    </w:p>
    <w:p w14:paraId="1AA507CF" w14:textId="3215B325" w:rsidR="00E51CCF" w:rsidRPr="00044BD7" w:rsidRDefault="00EA139C" w:rsidP="0056702B">
      <w:pPr>
        <w:rPr>
          <w:lang w:val="en-US"/>
        </w:rPr>
      </w:pPr>
      <w:r w:rsidRPr="00044BD7">
        <w:rPr>
          <w:lang w:val="en-US"/>
        </w:rPr>
        <w:t xml:space="preserve">The </w:t>
      </w:r>
      <w:r w:rsidR="00096F6D" w:rsidRPr="00044BD7">
        <w:rPr>
          <w:lang w:val="en-US"/>
        </w:rPr>
        <w:t xml:space="preserve">administrative </w:t>
      </w:r>
      <w:r w:rsidRPr="00044BD7">
        <w:rPr>
          <w:lang w:val="en-US"/>
        </w:rPr>
        <w:t>sanction regime is implem</w:t>
      </w:r>
      <w:r w:rsidR="00A4441E" w:rsidRPr="00044BD7">
        <w:rPr>
          <w:lang w:val="en-US"/>
        </w:rPr>
        <w:t>ente</w:t>
      </w:r>
      <w:r w:rsidRPr="00044BD7">
        <w:rPr>
          <w:lang w:val="en-US"/>
        </w:rPr>
        <w:t>d in German law in the WpHG</w:t>
      </w:r>
      <w:r w:rsidR="00C53C45" w:rsidRPr="00044BD7">
        <w:rPr>
          <w:lang w:val="en-US"/>
        </w:rPr>
        <w:t xml:space="preserve">. </w:t>
      </w:r>
      <w:r w:rsidR="00840539" w:rsidRPr="00044BD7">
        <w:rPr>
          <w:lang w:val="en-US"/>
        </w:rPr>
        <w:t xml:space="preserve">Under § 120 WpHG, it is an administrative offence </w:t>
      </w:r>
      <w:r w:rsidR="008B1196" w:rsidRPr="00044BD7">
        <w:rPr>
          <w:lang w:val="en-US"/>
        </w:rPr>
        <w:t>(</w:t>
      </w:r>
      <w:r w:rsidR="008B1196" w:rsidRPr="00044BD7">
        <w:rPr>
          <w:i/>
          <w:lang w:val="en-US"/>
        </w:rPr>
        <w:t>Ordnungswidrigkeit</w:t>
      </w:r>
      <w:r w:rsidR="008B1196" w:rsidRPr="00044BD7">
        <w:rPr>
          <w:lang w:val="en-US"/>
        </w:rPr>
        <w:t xml:space="preserve">) </w:t>
      </w:r>
      <w:r w:rsidR="00840539" w:rsidRPr="00044BD7">
        <w:rPr>
          <w:lang w:val="en-US"/>
        </w:rPr>
        <w:t>to engage in market manipulation,</w:t>
      </w:r>
      <w:r w:rsidR="00840539" w:rsidRPr="002121A4">
        <w:rPr>
          <w:rStyle w:val="Funotenzeichen"/>
        </w:rPr>
        <w:footnoteReference w:id="221"/>
      </w:r>
      <w:r w:rsidR="00840539" w:rsidRPr="00044BD7">
        <w:rPr>
          <w:lang w:val="en-US"/>
        </w:rPr>
        <w:t xml:space="preserve"> as is a breach of obligations in relation to disclosure of inside information, insider lists, manager’s transactions, and disclosure of conflicts of interest.</w:t>
      </w:r>
      <w:r w:rsidR="00840539" w:rsidRPr="002121A4">
        <w:rPr>
          <w:rStyle w:val="Funotenzeichen"/>
        </w:rPr>
        <w:footnoteReference w:id="222"/>
      </w:r>
      <w:r w:rsidR="00840539" w:rsidRPr="00044BD7">
        <w:rPr>
          <w:lang w:val="en-US"/>
        </w:rPr>
        <w:t xml:space="preserve"> </w:t>
      </w:r>
      <w:r w:rsidRPr="00044BD7">
        <w:rPr>
          <w:lang w:val="en-US"/>
        </w:rPr>
        <w:t>Any decision imposing an administrative s</w:t>
      </w:r>
      <w:r w:rsidR="00A4441E" w:rsidRPr="00044BD7">
        <w:rPr>
          <w:lang w:val="en-US"/>
        </w:rPr>
        <w:t>an</w:t>
      </w:r>
      <w:r w:rsidRPr="00044BD7">
        <w:rPr>
          <w:lang w:val="en-US"/>
        </w:rPr>
        <w:t xml:space="preserve">ction or other administrative measure in relation to infringements of the MAR must be published immediately by the competent authorities on their website after the person subject </w:t>
      </w:r>
      <w:r w:rsidR="00E96BB4" w:rsidRPr="00044BD7">
        <w:rPr>
          <w:lang w:val="en-US"/>
        </w:rPr>
        <w:t>to</w:t>
      </w:r>
      <w:r w:rsidRPr="00044BD7">
        <w:rPr>
          <w:lang w:val="en-US"/>
        </w:rPr>
        <w:t xml:space="preserve"> the decision has been informed of the decision, </w:t>
      </w:r>
      <w:r w:rsidR="001870C0" w:rsidRPr="00044BD7">
        <w:rPr>
          <w:lang w:val="en-US"/>
        </w:rPr>
        <w:t>article </w:t>
      </w:r>
      <w:r w:rsidRPr="00044BD7">
        <w:rPr>
          <w:lang w:val="en-US"/>
        </w:rPr>
        <w:t>34(1) MAR, § 125 WpHG.</w:t>
      </w:r>
    </w:p>
    <w:p w14:paraId="2DA73361" w14:textId="320FB53C" w:rsidR="00EA1EE3" w:rsidRPr="002121A4" w:rsidRDefault="00EA1EE3" w:rsidP="00E00CDA">
      <w:pPr>
        <w:pStyle w:val="Standardwithparanumbering"/>
      </w:pPr>
      <w:bookmarkStart w:id="128" w:name="_Ref129767549"/>
      <w:r w:rsidRPr="002121A4">
        <w:t>The EU legislator lacks legislative competence for imposing criminal liability through regulations. These are therefore contained in a directive (</w:t>
      </w:r>
      <w:r w:rsidR="00096F6D" w:rsidRPr="002121A4">
        <w:t>MAD</w:t>
      </w:r>
      <w:r w:rsidRPr="002121A4">
        <w:t>) which is implem</w:t>
      </w:r>
      <w:r w:rsidR="001D116D" w:rsidRPr="002121A4">
        <w:t>en</w:t>
      </w:r>
      <w:r w:rsidRPr="002121A4">
        <w:t xml:space="preserve">ted in domestic law in Germany </w:t>
      </w:r>
      <w:r w:rsidR="00096F6D" w:rsidRPr="002121A4">
        <w:t xml:space="preserve">in §119 </w:t>
      </w:r>
      <w:proofErr w:type="spellStart"/>
      <w:r w:rsidR="00096F6D" w:rsidRPr="002121A4">
        <w:t>WpHG</w:t>
      </w:r>
      <w:proofErr w:type="spellEnd"/>
      <w:r w:rsidR="00096F6D" w:rsidRPr="002121A4">
        <w:t>. Insider dealing</w:t>
      </w:r>
      <w:r w:rsidR="00096F6D" w:rsidRPr="002121A4">
        <w:rPr>
          <w:rStyle w:val="Funotenzeichen"/>
        </w:rPr>
        <w:footnoteReference w:id="223"/>
      </w:r>
      <w:r w:rsidR="00096F6D" w:rsidRPr="002121A4">
        <w:t xml:space="preserve"> and unlawful disclosure of inside information</w:t>
      </w:r>
      <w:r w:rsidR="00096F6D" w:rsidRPr="002121A4">
        <w:rPr>
          <w:rStyle w:val="Funotenzeichen"/>
        </w:rPr>
        <w:footnoteReference w:id="224"/>
      </w:r>
      <w:r w:rsidR="00096F6D" w:rsidRPr="002121A4">
        <w:t xml:space="preserve"> are criminal offences, as is market manipulation that has an impact on the stock </w:t>
      </w:r>
      <w:r w:rsidR="00E96BB4" w:rsidRPr="002121A4">
        <w:t>exchange</w:t>
      </w:r>
      <w:r w:rsidR="00096F6D" w:rsidRPr="002121A4">
        <w:t xml:space="preserve"> or market price of a financial instrument or the fixing of a benchmark.</w:t>
      </w:r>
      <w:r w:rsidR="00096F6D" w:rsidRPr="002121A4">
        <w:rPr>
          <w:rStyle w:val="Funotenzeichen"/>
        </w:rPr>
        <w:footnoteReference w:id="225"/>
      </w:r>
      <w:bookmarkEnd w:id="128"/>
    </w:p>
    <w:p w14:paraId="1B8AB909" w14:textId="16417BBC" w:rsidR="00101342" w:rsidRDefault="00C8167A" w:rsidP="00292537">
      <w:pPr>
        <w:pStyle w:val="Standardwithparanumbering"/>
      </w:pPr>
      <w:r>
        <w:rPr>
          <w:noProof/>
        </w:rPr>
        <mc:AlternateContent>
          <mc:Choice Requires="wps">
            <w:drawing>
              <wp:anchor distT="0" distB="0" distL="114300" distR="114300" simplePos="0" relativeHeight="251721216" behindDoc="0" locked="0" layoutInCell="1" allowOverlap="1" wp14:anchorId="3BAAA986" wp14:editId="160173DE">
                <wp:simplePos x="0" y="0"/>
                <wp:positionH relativeFrom="column">
                  <wp:posOffset>1430539</wp:posOffset>
                </wp:positionH>
                <wp:positionV relativeFrom="paragraph">
                  <wp:posOffset>2793365</wp:posOffset>
                </wp:positionV>
                <wp:extent cx="0" cy="172192"/>
                <wp:effectExtent l="0" t="0" r="38100" b="37465"/>
                <wp:wrapNone/>
                <wp:docPr id="12" name="Gerader Verbinder 12"/>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319A9" id="Gerader Verbinder 12" o:spid="_x0000_s1026" style="position:absolute;z-index:251721216;visibility:visible;mso-wrap-style:square;mso-wrap-distance-left:9pt;mso-wrap-distance-top:0;mso-wrap-distance-right:9pt;mso-wrap-distance-bottom:0;mso-position-horizontal:absolute;mso-position-horizontal-relative:text;mso-position-vertical:absolute;mso-position-vertical-relative:text" from="112.65pt,219.95pt" to="112.6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" strokecolor="#4472c4 [3204]" strokeweight=".5pt">
                <v:stroke joinstyle="miter"/>
              </v:line>
            </w:pict>
          </mc:Fallback>
        </mc:AlternateContent>
      </w:r>
      <w:r w:rsidR="000907B5" w:rsidRPr="002121A4">
        <w:t>The MAR is silent on p</w:t>
      </w:r>
      <w:r w:rsidR="00E51CCF" w:rsidRPr="002121A4">
        <w:t xml:space="preserve">rivate enforcement </w:t>
      </w:r>
      <w:r w:rsidR="000907B5" w:rsidRPr="002121A4">
        <w:t>in case of infringements of the regulation</w:t>
      </w:r>
      <w:r w:rsidR="00E42C16" w:rsidRPr="002121A4">
        <w:t xml:space="preserve"> </w:t>
      </w:r>
      <w:r w:rsidR="00234853">
        <w:t>which</w:t>
      </w:r>
      <w:r w:rsidR="00E42C16" w:rsidRPr="002121A4">
        <w:t xml:space="preserve"> is therefore the remit of domestic legislation. </w:t>
      </w:r>
      <w:r w:rsidR="0019367E" w:rsidRPr="002121A4">
        <w:t xml:space="preserve">In German law, §§ 97, 98 </w:t>
      </w:r>
      <w:proofErr w:type="spellStart"/>
      <w:r w:rsidR="0019367E" w:rsidRPr="002121A4">
        <w:t>WpHG</w:t>
      </w:r>
      <w:proofErr w:type="spellEnd"/>
      <w:r w:rsidR="0019367E" w:rsidRPr="002121A4">
        <w:t xml:space="preserve"> </w:t>
      </w:r>
      <w:r w:rsidR="00E42C16" w:rsidRPr="002121A4">
        <w:t>make specific provision for liability for late or incorrect disclosure of inside information</w:t>
      </w:r>
      <w:r w:rsidR="0019367E" w:rsidRPr="002121A4">
        <w:t>:</w:t>
      </w:r>
      <w:r w:rsidR="00F06D1A" w:rsidRPr="002121A4">
        <w:t xml:space="preserve"> Under § 97(1) </w:t>
      </w:r>
      <w:proofErr w:type="spellStart"/>
      <w:r w:rsidR="00F06D1A" w:rsidRPr="002121A4">
        <w:t>WpHG</w:t>
      </w:r>
      <w:proofErr w:type="spellEnd"/>
      <w:r w:rsidR="00F06D1A" w:rsidRPr="002121A4">
        <w:t>, a claim for damages lies for investors against an issuer failing to timely disclose inside information. The claim is for the benefit of investors buying instruments after the moment disclosure should have been made and who still hold these instruments where the information is made public,</w:t>
      </w:r>
      <w:r w:rsidR="0019367E" w:rsidRPr="002121A4">
        <w:rPr>
          <w:rStyle w:val="Funotenzeichen"/>
        </w:rPr>
        <w:footnoteReference w:id="226"/>
      </w:r>
      <w:r w:rsidR="00F06D1A" w:rsidRPr="002121A4">
        <w:t xml:space="preserve"> and to investors who invested prior to the occurrence of inside information and sold the instruments </w:t>
      </w:r>
      <w:r w:rsidR="00E96BB4" w:rsidRPr="002121A4">
        <w:t>after</w:t>
      </w:r>
      <w:r w:rsidR="00F06D1A" w:rsidRPr="002121A4">
        <w:t xml:space="preserve"> the publication.</w:t>
      </w:r>
      <w:r w:rsidR="0019367E" w:rsidRPr="002121A4">
        <w:rPr>
          <w:rStyle w:val="Funotenzeichen"/>
        </w:rPr>
        <w:footnoteReference w:id="227"/>
      </w:r>
      <w:r w:rsidR="00101342" w:rsidRPr="002121A4">
        <w:t xml:space="preserve"> The issuer can defend liability where it can be established that failure to disclose was not due to intentional conduct or gross negligence, § 97(2) </w:t>
      </w:r>
      <w:proofErr w:type="spellStart"/>
      <w:r w:rsidR="00101342" w:rsidRPr="002121A4">
        <w:t>WpHG</w:t>
      </w:r>
      <w:proofErr w:type="spellEnd"/>
      <w:r w:rsidR="00916C8A" w:rsidRPr="002121A4">
        <w:t>, and where the investor was aware of the inside information.</w:t>
      </w:r>
      <w:r w:rsidR="003901DE" w:rsidRPr="002121A4">
        <w:rPr>
          <w:rStyle w:val="Funotenzeichen"/>
        </w:rPr>
        <w:footnoteReference w:id="228"/>
      </w:r>
      <w:r w:rsidR="00916C8A" w:rsidRPr="002121A4">
        <w:t xml:space="preserve"> </w:t>
      </w:r>
      <w:r w:rsidR="009E6336" w:rsidRPr="002121A4">
        <w:t>Liability also exists (</w:t>
      </w:r>
      <w:r w:rsidR="00105C00" w:rsidRPr="002121A4">
        <w:rPr>
          <w:i/>
        </w:rPr>
        <w:t>mutatis mutandis</w:t>
      </w:r>
      <w:r w:rsidR="009E6336" w:rsidRPr="002121A4">
        <w:t>)</w:t>
      </w:r>
      <w:r w:rsidR="00105C00" w:rsidRPr="002121A4">
        <w:t xml:space="preserve"> where an issuer publishes inside information which is incorrect and where an investor relies on the correctness of that information.</w:t>
      </w:r>
      <w:r w:rsidR="003901DE" w:rsidRPr="002121A4">
        <w:rPr>
          <w:rStyle w:val="Funotenzeichen"/>
        </w:rPr>
        <w:footnoteReference w:id="229"/>
      </w:r>
    </w:p>
    <w:p w14:paraId="388EC81A" w14:textId="7971434E" w:rsidR="00C8167A" w:rsidRPr="005C0511" w:rsidRDefault="00F72396" w:rsidP="00044BD7">
      <w:pPr>
        <w:rPr>
          <w:lang w:val="en-US"/>
        </w:rPr>
      </w:pPr>
      <w:r>
        <w:rPr>
          <w:noProof/>
        </w:rPr>
        <w:lastRenderedPageBreak/>
        <mc:AlternateContent>
          <mc:Choice Requires="wps">
            <w:drawing>
              <wp:anchor distT="0" distB="0" distL="114300" distR="114300" simplePos="0" relativeHeight="251753984" behindDoc="0" locked="0" layoutInCell="1" allowOverlap="1" wp14:anchorId="093011A8" wp14:editId="751EE491">
                <wp:simplePos x="0" y="0"/>
                <wp:positionH relativeFrom="column">
                  <wp:posOffset>-162256</wp:posOffset>
                </wp:positionH>
                <wp:positionV relativeFrom="paragraph">
                  <wp:posOffset>80010</wp:posOffset>
                </wp:positionV>
                <wp:extent cx="6388521" cy="1977241"/>
                <wp:effectExtent l="0" t="0" r="12700" b="23495"/>
                <wp:wrapNone/>
                <wp:docPr id="204" name="Rechteck 204"/>
                <wp:cNvGraphicFramePr/>
                <a:graphic xmlns:a="http://schemas.openxmlformats.org/drawingml/2006/main">
                  <a:graphicData uri="http://schemas.microsoft.com/office/word/2010/wordprocessingShape">
                    <wps:wsp>
                      <wps:cNvSpPr/>
                      <wps:spPr>
                        <a:xfrm>
                          <a:off x="0" y="0"/>
                          <a:ext cx="6388521" cy="1977241"/>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37BD8D" id="Rechteck 204" o:spid="_x0000_s1026" style="position:absolute;margin-left:-12.8pt;margin-top:6.3pt;width:503.05pt;height:155.7pt;z-index:25175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" filled="f" strokecolor="#bfbfbf [2412]" strokeweight="1pt"/>
            </w:pict>
          </mc:Fallback>
        </mc:AlternateContent>
      </w:r>
      <w:r w:rsidR="00C8167A">
        <w:rPr>
          <w:noProof/>
        </w:rPr>
        <mc:AlternateContent>
          <mc:Choice Requires="wps">
            <w:drawing>
              <wp:anchor distT="45720" distB="45720" distL="114300" distR="114300" simplePos="0" relativeHeight="251733504" behindDoc="0" locked="0" layoutInCell="1" allowOverlap="1" wp14:anchorId="5F17757E" wp14:editId="07E7F6D4">
                <wp:simplePos x="0" y="0"/>
                <wp:positionH relativeFrom="column">
                  <wp:posOffset>5034915</wp:posOffset>
                </wp:positionH>
                <wp:positionV relativeFrom="paragraph">
                  <wp:posOffset>151130</wp:posOffset>
                </wp:positionV>
                <wp:extent cx="1246505" cy="1404620"/>
                <wp:effectExtent l="0" t="0" r="0" b="0"/>
                <wp:wrapSquare wrapText="bothSides"/>
                <wp:docPr id="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389C81BE" w14:textId="0409B92B" w:rsidR="00C8167A" w:rsidRPr="00C8167A" w:rsidRDefault="00C8167A" w:rsidP="00C8167A">
                            <w:pPr>
                              <w:jc w:val="center"/>
                              <w:rPr>
                                <w:lang w:val="en-US"/>
                              </w:rPr>
                            </w:pPr>
                            <w:r>
                              <w:rPr>
                                <w:sz w:val="16"/>
                                <w:szCs w:val="16"/>
                                <w:lang w:val="en-US"/>
                              </w:rPr>
                              <w:t xml:space="preserve">Damage claim pursuant to § 97(1) no. 1 </w:t>
                            </w:r>
                            <w:r>
                              <w:rPr>
                                <w:sz w:val="16"/>
                                <w:szCs w:val="16"/>
                                <w:lang w:val="en-US"/>
                              </w:rPr>
                              <w:t>WpHG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17757E" id="Textfeld 2" o:spid="_x0000_s1033" type="#_x0000_t202" style="position:absolute;left:0;text-align:left;margin-left:396.45pt;margin-top:11.9pt;width:98.15pt;height:110.6pt;z-index:251733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" filled="f" stroked="f">
                <v:textbox style="mso-fit-shape-to-text:t">
                  <w:txbxContent>
                    <w:p w14:paraId="389C81BE" w14:textId="0409B92B" w:rsidR="00C8167A" w:rsidRPr="00C8167A" w:rsidRDefault="00C8167A" w:rsidP="00C8167A">
                      <w:pPr>
                        <w:jc w:val="center"/>
                        <w:rPr>
                          <w:lang w:val="en-US"/>
                        </w:rPr>
                      </w:pPr>
                      <w:r>
                        <w:rPr>
                          <w:sz w:val="16"/>
                          <w:szCs w:val="16"/>
                          <w:lang w:val="en-US"/>
                        </w:rPr>
                        <w:t xml:space="preserve">Damage claim pursuant to § 97(1) no. 1 </w:t>
                      </w:r>
                      <w:r>
                        <w:rPr>
                          <w:sz w:val="16"/>
                          <w:szCs w:val="16"/>
                          <w:lang w:val="en-US"/>
                        </w:rPr>
                        <w:t>WpHG</w:t>
                      </w:r>
                    </w:p>
                  </w:txbxContent>
                </v:textbox>
                <w10:wrap type="square"/>
              </v:shape>
            </w:pict>
          </mc:Fallback>
        </mc:AlternateContent>
      </w:r>
      <w:r w:rsidR="00C8167A">
        <w:rPr>
          <w:noProof/>
        </w:rPr>
        <mc:AlternateContent>
          <mc:Choice Requires="wps">
            <w:drawing>
              <wp:anchor distT="0" distB="0" distL="114300" distR="114300" simplePos="0" relativeHeight="251723264" behindDoc="0" locked="0" layoutInCell="1" allowOverlap="1" wp14:anchorId="177F5036" wp14:editId="632A1696">
                <wp:simplePos x="0" y="0"/>
                <wp:positionH relativeFrom="margin">
                  <wp:posOffset>2674512</wp:posOffset>
                </wp:positionH>
                <wp:positionV relativeFrom="paragraph">
                  <wp:posOffset>273141</wp:posOffset>
                </wp:positionV>
                <wp:extent cx="0" cy="172192"/>
                <wp:effectExtent l="0" t="0" r="38100" b="37465"/>
                <wp:wrapNone/>
                <wp:docPr id="13" name="Gerader Verbinder 13"/>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3B8E76" id="Gerader Verbinder 13" o:spid="_x0000_s1026" style="position:absolute;z-index:251723264;visibility:visible;mso-wrap-style:square;mso-wrap-distance-left:9pt;mso-wrap-distance-top:0;mso-wrap-distance-right:9pt;mso-wrap-distance-bottom:0;mso-position-horizontal:absolute;mso-position-horizontal-relative:margin;mso-position-vertical:absolute;mso-position-vertical-relative:text" from="210.6pt,21.5pt" to="210.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" strokecolor="#4472c4 [3204]" strokeweight=".5pt">
                <v:stroke joinstyle="miter"/>
                <w10:wrap anchorx="margin"/>
              </v:line>
            </w:pict>
          </mc:Fallback>
        </mc:AlternateContent>
      </w:r>
      <w:r w:rsidR="00C8167A">
        <w:rPr>
          <w:noProof/>
        </w:rPr>
        <mc:AlternateContent>
          <mc:Choice Requires="wps">
            <w:drawing>
              <wp:anchor distT="0" distB="0" distL="114300" distR="114300" simplePos="0" relativeHeight="251725312" behindDoc="0" locked="0" layoutInCell="1" allowOverlap="1" wp14:anchorId="1327BDAD" wp14:editId="3B451BDB">
                <wp:simplePos x="0" y="0"/>
                <wp:positionH relativeFrom="column">
                  <wp:posOffset>4022725</wp:posOffset>
                </wp:positionH>
                <wp:positionV relativeFrom="paragraph">
                  <wp:posOffset>278765</wp:posOffset>
                </wp:positionV>
                <wp:extent cx="0" cy="172085"/>
                <wp:effectExtent l="0" t="0" r="38100" b="37465"/>
                <wp:wrapNone/>
                <wp:docPr id="14" name="Gerader Verbinder 14"/>
                <wp:cNvGraphicFramePr/>
                <a:graphic xmlns:a="http://schemas.openxmlformats.org/drawingml/2006/main">
                  <a:graphicData uri="http://schemas.microsoft.com/office/word/2010/wordprocessingShape">
                    <wps:wsp>
                      <wps:cNvCnPr/>
                      <wps:spPr>
                        <a:xfrm>
                          <a:off x="0" y="0"/>
                          <a:ext cx="0" cy="172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EF78FA" id="Gerader Verbinder 14" o:spid="_x0000_s1026" style="position:absolute;z-index:251725312;visibility:visible;mso-wrap-style:square;mso-wrap-distance-left:9pt;mso-wrap-distance-top:0;mso-wrap-distance-right:9pt;mso-wrap-distance-bottom:0;mso-position-horizontal:absolute;mso-position-horizontal-relative:text;mso-position-vertical:absolute;mso-position-vertical-relative:text" from="316.75pt,21.95pt" to="316.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" strokecolor="#4472c4 [3204]" strokeweight=".5pt">
                <v:stroke joinstyle="miter"/>
              </v:line>
            </w:pict>
          </mc:Fallback>
        </mc:AlternateContent>
      </w:r>
    </w:p>
    <w:p w14:paraId="1C14BBA6" w14:textId="24733A3B" w:rsidR="00974A2D" w:rsidRPr="005C0511" w:rsidRDefault="00C8167A" w:rsidP="00044BD7">
      <w:pPr>
        <w:rPr>
          <w:lang w:val="en-US"/>
        </w:rPr>
      </w:pPr>
      <w:r>
        <w:rPr>
          <w:noProof/>
        </w:rPr>
        <mc:AlternateContent>
          <mc:Choice Requires="wps">
            <w:drawing>
              <wp:anchor distT="0" distB="0" distL="114300" distR="114300" simplePos="0" relativeHeight="251734528" behindDoc="0" locked="0" layoutInCell="1" allowOverlap="1" wp14:anchorId="3D7D0F61" wp14:editId="1E026334">
                <wp:simplePos x="0" y="0"/>
                <wp:positionH relativeFrom="column">
                  <wp:posOffset>35626</wp:posOffset>
                </wp:positionH>
                <wp:positionV relativeFrom="paragraph">
                  <wp:posOffset>116032</wp:posOffset>
                </wp:positionV>
                <wp:extent cx="5094514" cy="0"/>
                <wp:effectExtent l="0" t="76200" r="11430" b="95250"/>
                <wp:wrapNone/>
                <wp:docPr id="21" name="Gerade Verbindung mit Pfeil 21"/>
                <wp:cNvGraphicFramePr/>
                <a:graphic xmlns:a="http://schemas.openxmlformats.org/drawingml/2006/main">
                  <a:graphicData uri="http://schemas.microsoft.com/office/word/2010/wordprocessingShape">
                    <wps:wsp>
                      <wps:cNvCnPr/>
                      <wps:spPr>
                        <a:xfrm>
                          <a:off x="0" y="0"/>
                          <a:ext cx="509451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E0D003" id="_x0000_t32" coordsize="21600,21600" o:spt="32" o:oned="t" path="m,l21600,21600e" filled="f">
                <v:path arrowok="t" fillok="f" o:connecttype="none"/>
                <o:lock v:ext="edit" shapetype="t"/>
              </v:shapetype>
              <v:shape id="Gerade Verbindung mit Pfeil 21" o:spid="_x0000_s1026" type="#_x0000_t32" style="position:absolute;margin-left:2.8pt;margin-top:9.15pt;width:401.15pt;height:0;z-index:25173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729408" behindDoc="0" locked="0" layoutInCell="1" allowOverlap="1" wp14:anchorId="26199B81" wp14:editId="24A9D179">
                <wp:simplePos x="0" y="0"/>
                <wp:positionH relativeFrom="column">
                  <wp:posOffset>3271520</wp:posOffset>
                </wp:positionH>
                <wp:positionV relativeFrom="paragraph">
                  <wp:posOffset>80010</wp:posOffset>
                </wp:positionV>
                <wp:extent cx="1626235" cy="1404620"/>
                <wp:effectExtent l="0" t="0" r="0" b="3810"/>
                <wp:wrapSquare wrapText="bothSides"/>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235" cy="1404620"/>
                        </a:xfrm>
                        <a:prstGeom prst="rect">
                          <a:avLst/>
                        </a:prstGeom>
                        <a:noFill/>
                        <a:ln w="9525">
                          <a:noFill/>
                          <a:miter lim="800000"/>
                          <a:headEnd/>
                          <a:tailEnd/>
                        </a:ln>
                      </wps:spPr>
                      <wps:txbx>
                        <w:txbxContent>
                          <w:p w14:paraId="33171368" w14:textId="29850C57" w:rsidR="00C8167A" w:rsidRPr="00C8167A" w:rsidRDefault="00C8167A" w:rsidP="00C8167A">
                            <w:pPr>
                              <w:jc w:val="center"/>
                              <w:rPr>
                                <w:lang w:val="en-US"/>
                              </w:rPr>
                            </w:pPr>
                            <w:r>
                              <w:rPr>
                                <w:sz w:val="16"/>
                                <w:szCs w:val="16"/>
                                <w:lang w:val="en-US"/>
                              </w:rPr>
                              <w:t xml:space="preserve">Issuer </w:t>
                            </w:r>
                            <w:r w:rsidRPr="00C8167A">
                              <w:rPr>
                                <w:sz w:val="16"/>
                                <w:szCs w:val="16"/>
                                <w:lang w:val="en-US"/>
                              </w:rPr>
                              <w:t>disclose</w:t>
                            </w:r>
                            <w:r>
                              <w:rPr>
                                <w:sz w:val="16"/>
                                <w:szCs w:val="16"/>
                                <w:lang w:val="en-US"/>
                              </w:rPr>
                              <w:t>s inside information that negatively affects price of instruments that the investor still holds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199B81" id="_x0000_s1034" type="#_x0000_t202" style="position:absolute;left:0;text-align:left;margin-left:257.6pt;margin-top:6.3pt;width:128.05pt;height:110.6pt;z-index:251729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" filled="f" stroked="f">
                <v:textbox style="mso-fit-shape-to-text:t">
                  <w:txbxContent>
                    <w:p w14:paraId="33171368" w14:textId="29850C57" w:rsidR="00C8167A" w:rsidRPr="00C8167A" w:rsidRDefault="00C8167A" w:rsidP="00C8167A">
                      <w:pPr>
                        <w:jc w:val="center"/>
                        <w:rPr>
                          <w:lang w:val="en-US"/>
                        </w:rPr>
                      </w:pPr>
                      <w:r>
                        <w:rPr>
                          <w:sz w:val="16"/>
                          <w:szCs w:val="16"/>
                          <w:lang w:val="en-US"/>
                        </w:rPr>
                        <w:t xml:space="preserve">Issuer </w:t>
                      </w:r>
                      <w:r w:rsidRPr="00C8167A">
                        <w:rPr>
                          <w:sz w:val="16"/>
                          <w:szCs w:val="16"/>
                          <w:lang w:val="en-US"/>
                        </w:rPr>
                        <w:t>disclose</w:t>
                      </w:r>
                      <w:r>
                        <w:rPr>
                          <w:sz w:val="16"/>
                          <w:szCs w:val="16"/>
                          <w:lang w:val="en-US"/>
                        </w:rPr>
                        <w:t>s inside information that negatively affects price of instruments that the investor still holds</w:t>
                      </w:r>
                    </w:p>
                  </w:txbxContent>
                </v:textbox>
                <w10:wrap type="square"/>
              </v:shape>
            </w:pict>
          </mc:Fallback>
        </mc:AlternateContent>
      </w:r>
      <w:r>
        <w:rPr>
          <w:noProof/>
        </w:rPr>
        <mc:AlternateContent>
          <mc:Choice Requires="wps">
            <w:drawing>
              <wp:anchor distT="45720" distB="45720" distL="114300" distR="114300" simplePos="0" relativeHeight="251731456" behindDoc="0" locked="0" layoutInCell="1" allowOverlap="1" wp14:anchorId="2C172624" wp14:editId="6EAE2529">
                <wp:simplePos x="0" y="0"/>
                <wp:positionH relativeFrom="column">
                  <wp:posOffset>2120677</wp:posOffset>
                </wp:positionH>
                <wp:positionV relativeFrom="paragraph">
                  <wp:posOffset>80010</wp:posOffset>
                </wp:positionV>
                <wp:extent cx="1127760" cy="1404620"/>
                <wp:effectExtent l="0" t="0" r="0" b="6350"/>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2DDA1F6C" w14:textId="361B27BE" w:rsidR="00C8167A" w:rsidRPr="00C8167A" w:rsidRDefault="00C8167A" w:rsidP="00C8167A">
                            <w:pPr>
                              <w:jc w:val="center"/>
                              <w:rPr>
                                <w:lang w:val="en-US"/>
                              </w:rPr>
                            </w:pPr>
                            <w:r>
                              <w:rPr>
                                <w:sz w:val="16"/>
                                <w:szCs w:val="16"/>
                                <w:lang w:val="en-US"/>
                              </w:rPr>
                              <w:t>Investor acquires instruments at inflated 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72624" id="_x0000_s1035" type="#_x0000_t202" style="position:absolute;left:0;text-align:left;margin-left:167pt;margin-top:6.3pt;width:88.8pt;height:110.6pt;z-index:251731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vd/Q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" filled="f" stroked="f">
                <v:textbox style="mso-fit-shape-to-text:t">
                  <w:txbxContent>
                    <w:p w14:paraId="2DDA1F6C" w14:textId="361B27BE" w:rsidR="00C8167A" w:rsidRPr="00C8167A" w:rsidRDefault="00C8167A" w:rsidP="00C8167A">
                      <w:pPr>
                        <w:jc w:val="center"/>
                        <w:rPr>
                          <w:lang w:val="en-US"/>
                        </w:rPr>
                      </w:pPr>
                      <w:r>
                        <w:rPr>
                          <w:sz w:val="16"/>
                          <w:szCs w:val="16"/>
                          <w:lang w:val="en-US"/>
                        </w:rPr>
                        <w:t>Investor acquires instruments at inflated price</w:t>
                      </w:r>
                    </w:p>
                  </w:txbxContent>
                </v:textbox>
                <w10:wrap type="square"/>
              </v:shape>
            </w:pict>
          </mc:Fallback>
        </mc:AlternateContent>
      </w:r>
      <w:r>
        <w:rPr>
          <w:noProof/>
        </w:rPr>
        <mc:AlternateContent>
          <mc:Choice Requires="wps">
            <w:drawing>
              <wp:anchor distT="45720" distB="45720" distL="114300" distR="114300" simplePos="0" relativeHeight="251727360" behindDoc="0" locked="0" layoutInCell="1" allowOverlap="1" wp14:anchorId="56FF7DA4" wp14:editId="2E832726">
                <wp:simplePos x="0" y="0"/>
                <wp:positionH relativeFrom="column">
                  <wp:posOffset>896035</wp:posOffset>
                </wp:positionH>
                <wp:positionV relativeFrom="paragraph">
                  <wp:posOffset>80019</wp:posOffset>
                </wp:positionV>
                <wp:extent cx="1127760" cy="1404620"/>
                <wp:effectExtent l="0" t="0" r="0" b="6350"/>
                <wp:wrapSquare wrapText="bothSides"/>
                <wp:docPr id="1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7E9BF6A2" w14:textId="2E7B95CF" w:rsidR="00C8167A" w:rsidRPr="00C8167A" w:rsidRDefault="00C8167A" w:rsidP="00C8167A">
                            <w:pPr>
                              <w:jc w:val="center"/>
                              <w:rPr>
                                <w:lang w:val="en-US"/>
                              </w:rPr>
                            </w:pPr>
                            <w:r>
                              <w:rPr>
                                <w:sz w:val="16"/>
                                <w:szCs w:val="16"/>
                                <w:lang w:val="en-US"/>
                              </w:rPr>
                              <w:t xml:space="preserve">Issuer fails </w:t>
                            </w:r>
                            <w:r w:rsidRPr="00C8167A">
                              <w:rPr>
                                <w:sz w:val="16"/>
                                <w:szCs w:val="16"/>
                                <w:lang w:val="en-US"/>
                              </w:rPr>
                              <w:t>to disclose</w:t>
                            </w:r>
                            <w:r>
                              <w:rPr>
                                <w:sz w:val="16"/>
                                <w:szCs w:val="16"/>
                                <w:lang w:val="en-US"/>
                              </w:rPr>
                              <w:br/>
                              <w:t>in breach of article 17(1), (4) MAR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FF7DA4" id="_x0000_s1036" type="#_x0000_t202" style="position:absolute;left:0;text-align:left;margin-left:70.55pt;margin-top:6.3pt;width:88.8pt;height:110.6pt;z-index:251727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r/Q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" filled="f" stroked="f">
                <v:textbox style="mso-fit-shape-to-text:t">
                  <w:txbxContent>
                    <w:p w14:paraId="7E9BF6A2" w14:textId="2E7B95CF" w:rsidR="00C8167A" w:rsidRPr="00C8167A" w:rsidRDefault="00C8167A" w:rsidP="00C8167A">
                      <w:pPr>
                        <w:jc w:val="center"/>
                        <w:rPr>
                          <w:lang w:val="en-US"/>
                        </w:rPr>
                      </w:pPr>
                      <w:r>
                        <w:rPr>
                          <w:sz w:val="16"/>
                          <w:szCs w:val="16"/>
                          <w:lang w:val="en-US"/>
                        </w:rPr>
                        <w:t xml:space="preserve">Issuer fails </w:t>
                      </w:r>
                      <w:r w:rsidRPr="00C8167A">
                        <w:rPr>
                          <w:sz w:val="16"/>
                          <w:szCs w:val="16"/>
                          <w:lang w:val="en-US"/>
                        </w:rPr>
                        <w:t>to disclose</w:t>
                      </w:r>
                      <w:r>
                        <w:rPr>
                          <w:sz w:val="16"/>
                          <w:szCs w:val="16"/>
                          <w:lang w:val="en-US"/>
                        </w:rPr>
                        <w:br/>
                        <w:t>in breach of article 17(1), (4) MAR</w:t>
                      </w:r>
                    </w:p>
                  </w:txbxContent>
                </v:textbox>
                <w10:wrap type="square"/>
              </v:shape>
            </w:pict>
          </mc:Fallback>
        </mc:AlternateContent>
      </w:r>
    </w:p>
    <w:p w14:paraId="29AA26DB" w14:textId="3815EEB3" w:rsidR="00C8167A" w:rsidRPr="005C0511" w:rsidRDefault="00C8167A" w:rsidP="00044BD7">
      <w:pPr>
        <w:rPr>
          <w:lang w:val="en-US"/>
        </w:rPr>
      </w:pPr>
    </w:p>
    <w:p w14:paraId="6F4280AA" w14:textId="1DEB6876" w:rsidR="00C8167A" w:rsidRPr="005C0511" w:rsidRDefault="00C8167A" w:rsidP="00044BD7">
      <w:pPr>
        <w:rPr>
          <w:lang w:val="en-US"/>
        </w:rPr>
      </w:pPr>
      <w:r>
        <w:rPr>
          <w:noProof/>
        </w:rPr>
        <mc:AlternateContent>
          <mc:Choice Requires="wps">
            <w:drawing>
              <wp:anchor distT="45720" distB="45720" distL="114300" distR="114300" simplePos="0" relativeHeight="251752960" behindDoc="0" locked="0" layoutInCell="1" allowOverlap="1" wp14:anchorId="72BA44CF" wp14:editId="70D659CB">
                <wp:simplePos x="0" y="0"/>
                <wp:positionH relativeFrom="column">
                  <wp:posOffset>5076479</wp:posOffset>
                </wp:positionH>
                <wp:positionV relativeFrom="paragraph">
                  <wp:posOffset>103274</wp:posOffset>
                </wp:positionV>
                <wp:extent cx="1246505" cy="1404620"/>
                <wp:effectExtent l="0" t="0" r="0" b="0"/>
                <wp:wrapSquare wrapText="bothSides"/>
                <wp:docPr id="2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1EE946C4" w14:textId="5C5477B9" w:rsidR="00C8167A" w:rsidRPr="00C8167A" w:rsidRDefault="00C8167A" w:rsidP="00C8167A">
                            <w:pPr>
                              <w:jc w:val="center"/>
                              <w:rPr>
                                <w:lang w:val="en-US"/>
                              </w:rPr>
                            </w:pPr>
                            <w:r>
                              <w:rPr>
                                <w:sz w:val="16"/>
                                <w:szCs w:val="16"/>
                                <w:lang w:val="en-US"/>
                              </w:rPr>
                              <w:t xml:space="preserve">Damage claim pursuant to § 97(1) no. 2 </w:t>
                            </w:r>
                            <w:r>
                              <w:rPr>
                                <w:sz w:val="16"/>
                                <w:szCs w:val="16"/>
                                <w:lang w:val="en-US"/>
                              </w:rPr>
                              <w:t>WpHG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BA44CF" id="_x0000_s1037" type="#_x0000_t202" style="position:absolute;left:0;text-align:left;margin-left:399.7pt;margin-top:8.15pt;width:98.15pt;height:110.6pt;z-index:251752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hnG/gEAANY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" filled="f" stroked="f">
                <v:textbox style="mso-fit-shape-to-text:t">
                  <w:txbxContent>
                    <w:p w14:paraId="1EE946C4" w14:textId="5C5477B9" w:rsidR="00C8167A" w:rsidRPr="00C8167A" w:rsidRDefault="00C8167A" w:rsidP="00C8167A">
                      <w:pPr>
                        <w:jc w:val="center"/>
                        <w:rPr>
                          <w:lang w:val="en-US"/>
                        </w:rPr>
                      </w:pPr>
                      <w:r>
                        <w:rPr>
                          <w:sz w:val="16"/>
                          <w:szCs w:val="16"/>
                          <w:lang w:val="en-US"/>
                        </w:rPr>
                        <w:t xml:space="preserve">Damage claim pursuant to § 97(1) no. 2 </w:t>
                      </w:r>
                      <w:r>
                        <w:rPr>
                          <w:sz w:val="16"/>
                          <w:szCs w:val="16"/>
                          <w:lang w:val="en-US"/>
                        </w:rPr>
                        <w:t>WpHG</w:t>
                      </w:r>
                    </w:p>
                  </w:txbxContent>
                </v:textbox>
                <w10:wrap type="square"/>
              </v:shape>
            </w:pict>
          </mc:Fallback>
        </mc:AlternateContent>
      </w:r>
      <w:r>
        <w:rPr>
          <w:noProof/>
        </w:rPr>
        <mc:AlternateContent>
          <mc:Choice Requires="wps">
            <w:drawing>
              <wp:anchor distT="0" distB="0" distL="114300" distR="114300" simplePos="0" relativeHeight="251742720" behindDoc="0" locked="0" layoutInCell="1" allowOverlap="1" wp14:anchorId="3F1242FB" wp14:editId="3AD15B6E">
                <wp:simplePos x="0" y="0"/>
                <wp:positionH relativeFrom="column">
                  <wp:posOffset>4088600</wp:posOffset>
                </wp:positionH>
                <wp:positionV relativeFrom="paragraph">
                  <wp:posOffset>255707</wp:posOffset>
                </wp:positionV>
                <wp:extent cx="0" cy="172192"/>
                <wp:effectExtent l="0" t="0" r="38100" b="37465"/>
                <wp:wrapNone/>
                <wp:docPr id="25" name="Gerader Verbinder 25"/>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914B59" id="Gerader Verbinder 25" o:spid="_x0000_s1026" style="position:absolute;z-index:251742720;visibility:visible;mso-wrap-style:square;mso-wrap-distance-left:9pt;mso-wrap-distance-top:0;mso-wrap-distance-right:9pt;mso-wrap-distance-bottom:0;mso-position-horizontal:absolute;mso-position-horizontal-relative:text;mso-position-vertical:absolute;mso-position-vertical-relative:text" from="321.95pt,20.15pt" to="321.9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" strokecolor="#4472c4 [3204]" strokeweight=".5pt">
                <v:stroke joinstyle="miter"/>
              </v:line>
            </w:pict>
          </mc:Fallback>
        </mc:AlternateContent>
      </w:r>
      <w:r>
        <w:rPr>
          <w:noProof/>
        </w:rPr>
        <mc:AlternateContent>
          <mc:Choice Requires="wps">
            <w:drawing>
              <wp:anchor distT="0" distB="0" distL="114300" distR="114300" simplePos="0" relativeHeight="251740672" behindDoc="0" locked="0" layoutInCell="1" allowOverlap="1" wp14:anchorId="7DC95AAE" wp14:editId="33E2FFE2">
                <wp:simplePos x="0" y="0"/>
                <wp:positionH relativeFrom="column">
                  <wp:posOffset>2717074</wp:posOffset>
                </wp:positionH>
                <wp:positionV relativeFrom="paragraph">
                  <wp:posOffset>273595</wp:posOffset>
                </wp:positionV>
                <wp:extent cx="0" cy="172192"/>
                <wp:effectExtent l="0" t="0" r="38100" b="37465"/>
                <wp:wrapNone/>
                <wp:docPr id="24" name="Gerader Verbinder 24"/>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6F2844" id="Gerader Verbinder 24" o:spid="_x0000_s1026" style="position:absolute;z-index:251740672;visibility:visible;mso-wrap-style:square;mso-wrap-distance-left:9pt;mso-wrap-distance-top:0;mso-wrap-distance-right:9pt;mso-wrap-distance-bottom:0;mso-position-horizontal:absolute;mso-position-horizontal-relative:text;mso-position-vertical:absolute;mso-position-vertical-relative:text" from="213.95pt,21.55pt" to="213.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" strokecolor="#4472c4 [3204]" strokeweight=".5pt">
                <v:stroke joinstyle="miter"/>
              </v:line>
            </w:pict>
          </mc:Fallback>
        </mc:AlternateContent>
      </w:r>
      <w:r>
        <w:rPr>
          <w:noProof/>
        </w:rPr>
        <mc:AlternateContent>
          <mc:Choice Requires="wps">
            <w:drawing>
              <wp:anchor distT="0" distB="0" distL="114300" distR="114300" simplePos="0" relativeHeight="251738624" behindDoc="0" locked="0" layoutInCell="1" allowOverlap="1" wp14:anchorId="4E76465A" wp14:editId="30CC286B">
                <wp:simplePos x="0" y="0"/>
                <wp:positionH relativeFrom="column">
                  <wp:posOffset>1422738</wp:posOffset>
                </wp:positionH>
                <wp:positionV relativeFrom="paragraph">
                  <wp:posOffset>255856</wp:posOffset>
                </wp:positionV>
                <wp:extent cx="0" cy="172192"/>
                <wp:effectExtent l="0" t="0" r="38100" b="37465"/>
                <wp:wrapNone/>
                <wp:docPr id="23" name="Gerader Verbinder 23"/>
                <wp:cNvGraphicFramePr/>
                <a:graphic xmlns:a="http://schemas.openxmlformats.org/drawingml/2006/main">
                  <a:graphicData uri="http://schemas.microsoft.com/office/word/2010/wordprocessingShape">
                    <wps:wsp>
                      <wps:cNvCnPr/>
                      <wps:spPr>
                        <a:xfrm>
                          <a:off x="0" y="0"/>
                          <a:ext cx="0" cy="17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7A3A6D" id="Gerader Verbinder 23" o:spid="_x0000_s1026" style="position:absolute;z-index:251738624;visibility:visible;mso-wrap-style:square;mso-wrap-distance-left:9pt;mso-wrap-distance-top:0;mso-wrap-distance-right:9pt;mso-wrap-distance-bottom:0;mso-position-horizontal:absolute;mso-position-horizontal-relative:text;mso-position-vertical:absolute;mso-position-vertical-relative:text" from="112.05pt,20.15pt" to="112.0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" strokecolor="#4472c4 [3204]" strokeweight=".5pt">
                <v:stroke joinstyle="miter"/>
              </v:line>
            </w:pict>
          </mc:Fallback>
        </mc:AlternateContent>
      </w:r>
    </w:p>
    <w:p w14:paraId="22341FFA" w14:textId="5B712360" w:rsidR="00C8167A" w:rsidRPr="005C0511" w:rsidRDefault="00C8167A" w:rsidP="00044BD7">
      <w:pPr>
        <w:rPr>
          <w:lang w:val="en-US"/>
        </w:rPr>
      </w:pPr>
      <w:r>
        <w:rPr>
          <w:noProof/>
        </w:rPr>
        <mc:AlternateContent>
          <mc:Choice Requires="wps">
            <w:drawing>
              <wp:anchor distT="45720" distB="45720" distL="114300" distR="114300" simplePos="0" relativeHeight="251750912" behindDoc="0" locked="0" layoutInCell="1" allowOverlap="1" wp14:anchorId="6901553F" wp14:editId="6F313D08">
                <wp:simplePos x="0" y="0"/>
                <wp:positionH relativeFrom="column">
                  <wp:posOffset>3503105</wp:posOffset>
                </wp:positionH>
                <wp:positionV relativeFrom="paragraph">
                  <wp:posOffset>97468</wp:posOffset>
                </wp:positionV>
                <wp:extent cx="1127760" cy="1404620"/>
                <wp:effectExtent l="0" t="0" r="0" b="6350"/>
                <wp:wrapSquare wrapText="bothSides"/>
                <wp:docPr id="20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4679853B" w14:textId="35105DAE" w:rsidR="00C8167A" w:rsidRPr="00C8167A" w:rsidRDefault="00C8167A" w:rsidP="00C8167A">
                            <w:pPr>
                              <w:jc w:val="center"/>
                              <w:rPr>
                                <w:lang w:val="en-US"/>
                              </w:rPr>
                            </w:pPr>
                            <w:r>
                              <w:rPr>
                                <w:sz w:val="16"/>
                                <w:szCs w:val="16"/>
                                <w:lang w:val="en-US"/>
                              </w:rPr>
                              <w:t>Investor sells instruments at a low price not reflecting the positive price effect of inside information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01553F" id="_x0000_s1038" type="#_x0000_t202" style="position:absolute;left:0;text-align:left;margin-left:275.85pt;margin-top:7.65pt;width:88.8pt;height:110.6pt;z-index:251750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" filled="f" stroked="f">
                <v:textbox style="mso-fit-shape-to-text:t">
                  <w:txbxContent>
                    <w:p w14:paraId="4679853B" w14:textId="35105DAE" w:rsidR="00C8167A" w:rsidRPr="00C8167A" w:rsidRDefault="00C8167A" w:rsidP="00C8167A">
                      <w:pPr>
                        <w:jc w:val="center"/>
                        <w:rPr>
                          <w:lang w:val="en-US"/>
                        </w:rPr>
                      </w:pPr>
                      <w:r>
                        <w:rPr>
                          <w:sz w:val="16"/>
                          <w:szCs w:val="16"/>
                          <w:lang w:val="en-US"/>
                        </w:rPr>
                        <w:t>Investor sells instruments at a low price not reflecting the positive price effect of inside information</w:t>
                      </w:r>
                    </w:p>
                  </w:txbxContent>
                </v:textbox>
                <w10:wrap type="square"/>
              </v:shape>
            </w:pict>
          </mc:Fallback>
        </mc:AlternateContent>
      </w:r>
      <w:r>
        <w:rPr>
          <w:noProof/>
        </w:rPr>
        <mc:AlternateContent>
          <mc:Choice Requires="wps">
            <w:drawing>
              <wp:anchor distT="45720" distB="45720" distL="114300" distR="114300" simplePos="0" relativeHeight="251746816" behindDoc="0" locked="0" layoutInCell="1" allowOverlap="1" wp14:anchorId="3A1E1032" wp14:editId="09243D54">
                <wp:simplePos x="0" y="0"/>
                <wp:positionH relativeFrom="column">
                  <wp:posOffset>2196334</wp:posOffset>
                </wp:positionH>
                <wp:positionV relativeFrom="paragraph">
                  <wp:posOffset>85593</wp:posOffset>
                </wp:positionV>
                <wp:extent cx="1127760" cy="1404620"/>
                <wp:effectExtent l="0" t="0" r="0" b="6350"/>
                <wp:wrapSquare wrapText="bothSides"/>
                <wp:docPr id="1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6B88CB9C" w14:textId="2110D139" w:rsidR="00C8167A" w:rsidRPr="00C8167A" w:rsidRDefault="00C8167A" w:rsidP="00C8167A">
                            <w:pPr>
                              <w:jc w:val="center"/>
                              <w:rPr>
                                <w:lang w:val="en-US"/>
                              </w:rPr>
                            </w:pPr>
                            <w:r>
                              <w:rPr>
                                <w:sz w:val="16"/>
                                <w:szCs w:val="16"/>
                                <w:lang w:val="en-US"/>
                              </w:rPr>
                              <w:t>Inside information exists and issuer fails to disclose in breach of article 17(1), (4) MAR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1E1032" id="_x0000_s1039" type="#_x0000_t202" style="position:absolute;left:0;text-align:left;margin-left:172.95pt;margin-top:6.75pt;width:88.8pt;height:110.6pt;z-index:251746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Oy/Q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" filled="f" stroked="f">
                <v:textbox style="mso-fit-shape-to-text:t">
                  <w:txbxContent>
                    <w:p w14:paraId="6B88CB9C" w14:textId="2110D139" w:rsidR="00C8167A" w:rsidRPr="00C8167A" w:rsidRDefault="00C8167A" w:rsidP="00C8167A">
                      <w:pPr>
                        <w:jc w:val="center"/>
                        <w:rPr>
                          <w:lang w:val="en-US"/>
                        </w:rPr>
                      </w:pPr>
                      <w:r>
                        <w:rPr>
                          <w:sz w:val="16"/>
                          <w:szCs w:val="16"/>
                          <w:lang w:val="en-US"/>
                        </w:rPr>
                        <w:t>Inside information exists and issuer fails to disclose in breach of article 17(1), (4) MAR</w:t>
                      </w:r>
                    </w:p>
                  </w:txbxContent>
                </v:textbox>
                <w10:wrap type="square"/>
              </v:shape>
            </w:pict>
          </mc:Fallback>
        </mc:AlternateContent>
      </w:r>
      <w:r>
        <w:rPr>
          <w:noProof/>
        </w:rPr>
        <mc:AlternateContent>
          <mc:Choice Requires="wps">
            <w:drawing>
              <wp:anchor distT="45720" distB="45720" distL="114300" distR="114300" simplePos="0" relativeHeight="251744768" behindDoc="0" locked="0" layoutInCell="1" allowOverlap="1" wp14:anchorId="1AE7AF06" wp14:editId="44DC44D2">
                <wp:simplePos x="0" y="0"/>
                <wp:positionH relativeFrom="column">
                  <wp:posOffset>896587</wp:posOffset>
                </wp:positionH>
                <wp:positionV relativeFrom="paragraph">
                  <wp:posOffset>27297</wp:posOffset>
                </wp:positionV>
                <wp:extent cx="1127760" cy="1404620"/>
                <wp:effectExtent l="0" t="0" r="0" b="6350"/>
                <wp:wrapSquare wrapText="bothSides"/>
                <wp:docPr id="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noFill/>
                        <a:ln w="9525">
                          <a:noFill/>
                          <a:miter lim="800000"/>
                          <a:headEnd/>
                          <a:tailEnd/>
                        </a:ln>
                      </wps:spPr>
                      <wps:txbx>
                        <w:txbxContent>
                          <w:p w14:paraId="089AF5AB" w14:textId="4955192E" w:rsidR="00C8167A" w:rsidRPr="00C8167A" w:rsidRDefault="00C8167A" w:rsidP="00C8167A">
                            <w:pPr>
                              <w:jc w:val="center"/>
                              <w:rPr>
                                <w:lang w:val="en-US"/>
                              </w:rPr>
                            </w:pPr>
                            <w:r>
                              <w:rPr>
                                <w:sz w:val="16"/>
                                <w:szCs w:val="16"/>
                                <w:lang w:val="en-US"/>
                              </w:rPr>
                              <w:t xml:space="preserve">Investor acquires </w:t>
                            </w:r>
                            <w:r>
                              <w:rPr>
                                <w:sz w:val="16"/>
                                <w:szCs w:val="16"/>
                                <w:lang w:val="en-US"/>
                              </w:rPr>
                              <w:br/>
                              <w:t xml:space="preserve">instruments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E7AF06" id="_x0000_s1040" type="#_x0000_t202" style="position:absolute;left:0;text-align:left;margin-left:70.6pt;margin-top:2.15pt;width:88.8pt;height:110.6pt;z-index:251744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" filled="f" stroked="f">
                <v:textbox style="mso-fit-shape-to-text:t">
                  <w:txbxContent>
                    <w:p w14:paraId="089AF5AB" w14:textId="4955192E" w:rsidR="00C8167A" w:rsidRPr="00C8167A" w:rsidRDefault="00C8167A" w:rsidP="00C8167A">
                      <w:pPr>
                        <w:jc w:val="center"/>
                        <w:rPr>
                          <w:lang w:val="en-US"/>
                        </w:rPr>
                      </w:pPr>
                      <w:r>
                        <w:rPr>
                          <w:sz w:val="16"/>
                          <w:szCs w:val="16"/>
                          <w:lang w:val="en-US"/>
                        </w:rPr>
                        <w:t xml:space="preserve">Investor acquires </w:t>
                      </w:r>
                      <w:r>
                        <w:rPr>
                          <w:sz w:val="16"/>
                          <w:szCs w:val="16"/>
                          <w:lang w:val="en-US"/>
                        </w:rPr>
                        <w:br/>
                        <w:t xml:space="preserve">instruments </w:t>
                      </w:r>
                    </w:p>
                  </w:txbxContent>
                </v:textbox>
                <w10:wrap type="square"/>
              </v:shape>
            </w:pict>
          </mc:Fallback>
        </mc:AlternateContent>
      </w:r>
      <w:r>
        <w:rPr>
          <w:noProof/>
        </w:rPr>
        <mc:AlternateContent>
          <mc:Choice Requires="wps">
            <w:drawing>
              <wp:anchor distT="0" distB="0" distL="114300" distR="114300" simplePos="0" relativeHeight="251736576" behindDoc="0" locked="0" layoutInCell="1" allowOverlap="1" wp14:anchorId="37E87DB9" wp14:editId="6214B05B">
                <wp:simplePos x="0" y="0"/>
                <wp:positionH relativeFrom="column">
                  <wp:posOffset>92958</wp:posOffset>
                </wp:positionH>
                <wp:positionV relativeFrom="paragraph">
                  <wp:posOffset>65100</wp:posOffset>
                </wp:positionV>
                <wp:extent cx="5094514" cy="0"/>
                <wp:effectExtent l="0" t="76200" r="11430" b="95250"/>
                <wp:wrapNone/>
                <wp:docPr id="22" name="Gerade Verbindung mit Pfeil 22"/>
                <wp:cNvGraphicFramePr/>
                <a:graphic xmlns:a="http://schemas.openxmlformats.org/drawingml/2006/main">
                  <a:graphicData uri="http://schemas.microsoft.com/office/word/2010/wordprocessingShape">
                    <wps:wsp>
                      <wps:cNvCnPr/>
                      <wps:spPr>
                        <a:xfrm>
                          <a:off x="0" y="0"/>
                          <a:ext cx="509451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5E3ED5" id="Gerade Verbindung mit Pfeil 22" o:spid="_x0000_s1026" type="#_x0000_t32" style="position:absolute;margin-left:7.3pt;margin-top:5.15pt;width:401.15pt;height:0;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" strokecolor="#4472c4 [3204]" strokeweight=".5pt">
                <v:stroke endarrow="block" joinstyle="miter"/>
              </v:shape>
            </w:pict>
          </mc:Fallback>
        </mc:AlternateContent>
      </w:r>
    </w:p>
    <w:p w14:paraId="6992BDC8" w14:textId="2F81EAD2" w:rsidR="00C8167A" w:rsidRPr="005C0511" w:rsidRDefault="00C8167A" w:rsidP="00044BD7">
      <w:pPr>
        <w:rPr>
          <w:lang w:val="en-US"/>
        </w:rPr>
      </w:pPr>
      <w:r w:rsidRPr="005C0511">
        <w:rPr>
          <w:lang w:val="en-US"/>
        </w:rPr>
        <w:br/>
      </w:r>
    </w:p>
    <w:p w14:paraId="15A73A20" w14:textId="7C75B0D2" w:rsidR="00C8167A" w:rsidRPr="005C0511" w:rsidRDefault="00C8167A" w:rsidP="00044BD7">
      <w:pPr>
        <w:rPr>
          <w:lang w:val="en-US"/>
        </w:rPr>
      </w:pPr>
    </w:p>
    <w:p w14:paraId="546BA705" w14:textId="76F6E059" w:rsidR="0019367E" w:rsidRPr="002121A4" w:rsidRDefault="0019367E" w:rsidP="00292537">
      <w:pPr>
        <w:pStyle w:val="Standardwithparanumbering"/>
      </w:pPr>
      <w:r w:rsidRPr="002121A4">
        <w:t xml:space="preserve">In addition to </w:t>
      </w:r>
      <w:r w:rsidR="003901DE" w:rsidRPr="002121A4">
        <w:t>the MAR-</w:t>
      </w:r>
      <w:r w:rsidRPr="002121A4">
        <w:t>specific liability</w:t>
      </w:r>
      <w:r w:rsidR="003901DE" w:rsidRPr="002121A4">
        <w:t xml:space="preserve"> regime</w:t>
      </w:r>
      <w:r w:rsidRPr="002121A4">
        <w:t xml:space="preserve">, general tort law principles apply, e.g., §§ 823(2), 826 BGB. As regards </w:t>
      </w:r>
      <w:r w:rsidR="005D2E56" w:rsidRPr="002121A4">
        <w:t>the prohibitions of insider dealing and market manipulation, the traditional view under</w:t>
      </w:r>
      <w:r w:rsidRPr="002121A4">
        <w:t xml:space="preserve"> German law </w:t>
      </w:r>
      <w:r w:rsidR="005D2E56" w:rsidRPr="002121A4">
        <w:t xml:space="preserve">is that these </w:t>
      </w:r>
      <w:r w:rsidRPr="002121A4">
        <w:t xml:space="preserve">protect only the public interest in the functioning of capital markets and therefore </w:t>
      </w:r>
      <w:r w:rsidR="009E6336" w:rsidRPr="002121A4">
        <w:t xml:space="preserve">do </w:t>
      </w:r>
      <w:r w:rsidRPr="002121A4">
        <w:t>not create liability under § 823(2) BGB,</w:t>
      </w:r>
      <w:r w:rsidRPr="002121A4">
        <w:rPr>
          <w:rStyle w:val="Funotenzeichen"/>
        </w:rPr>
        <w:footnoteReference w:id="230"/>
      </w:r>
      <w:r w:rsidRPr="002121A4">
        <w:t xml:space="preserve"> but there is some debate whether this reasoning still applies under the new MAR regime.</w:t>
      </w:r>
      <w:r w:rsidRPr="002121A4">
        <w:rPr>
          <w:rStyle w:val="Funotenzeichen"/>
        </w:rPr>
        <w:footnoteReference w:id="231"/>
      </w:r>
      <w:r w:rsidRPr="002121A4">
        <w:t xml:space="preserve"> Likewise, a breach of the prohibition of market manipulation was not in itself sufficient to be qualified as “against good morals” within the meaning of § 826 BGB,</w:t>
      </w:r>
      <w:r w:rsidRPr="002121A4">
        <w:rPr>
          <w:rStyle w:val="Funotenzeichen"/>
        </w:rPr>
        <w:footnoteReference w:id="232"/>
      </w:r>
      <w:r w:rsidRPr="002121A4">
        <w:t xml:space="preserve"> but </w:t>
      </w:r>
      <w:r w:rsidR="00922D25">
        <w:t xml:space="preserve">some writers </w:t>
      </w:r>
      <w:r w:rsidR="00256D17">
        <w:t>adopt</w:t>
      </w:r>
      <w:r w:rsidR="00922D25">
        <w:t xml:space="preserve"> a more investor-friendly approach</w:t>
      </w:r>
      <w:r w:rsidRPr="002121A4">
        <w:t>.</w:t>
      </w:r>
      <w:r w:rsidRPr="002121A4">
        <w:rPr>
          <w:rStyle w:val="Funotenzeichen"/>
        </w:rPr>
        <w:footnoteReference w:id="233"/>
      </w:r>
    </w:p>
    <w:p w14:paraId="47596B36" w14:textId="67A72C15" w:rsidR="001C1C61" w:rsidRPr="002121A4" w:rsidRDefault="001C1C61" w:rsidP="00AB42AA">
      <w:pPr>
        <w:pStyle w:val="Case"/>
        <w:numPr>
          <w:ilvl w:val="0"/>
          <w:numId w:val="14"/>
        </w:numPr>
        <w:ind w:left="567" w:firstLine="0"/>
      </w:pPr>
      <w:bookmarkStart w:id="129" w:name="_Ref163123870"/>
      <w:r w:rsidRPr="002121A4">
        <w:t>IKB</w:t>
      </w:r>
      <w:r w:rsidRPr="002121A4">
        <w:rPr>
          <w:b/>
        </w:rPr>
        <w:t xml:space="preserve"> </w:t>
      </w:r>
      <w:r w:rsidRPr="002121A4">
        <w:t xml:space="preserve">is a listed bank that invested, prior to the financial crisis 2007/08, in subprime mortgage products for a total of just under €7bn. In July 2007, several rating agencies downgraded the investments. Subsequently, there were rumours in the market relating as to how IKB was affected by the crisis. On 20 July, the CEO IKB issued a press statement to the </w:t>
      </w:r>
      <w:r w:rsidRPr="002121A4">
        <w:rPr>
          <w:szCs w:val="23"/>
        </w:rPr>
        <w:t>effect</w:t>
      </w:r>
      <w:r w:rsidRPr="002121A4">
        <w:t xml:space="preserve"> that </w:t>
      </w:r>
      <w:r w:rsidR="00DC60C4">
        <w:t xml:space="preserve">it </w:t>
      </w:r>
      <w:r w:rsidRPr="002121A4">
        <w:t>was not affected by the rating downgrade. The statement did not mention that IKB was exposed to losses of several hundred million euros and was, in fact, on the verge of financial collapse. On 26 July, an investor bought shares in IKB. Can the investor c</w:t>
      </w:r>
      <w:r w:rsidR="00200CD8" w:rsidRPr="002121A4">
        <w:t>laim</w:t>
      </w:r>
      <w:r w:rsidRPr="002121A4">
        <w:t xml:space="preserve"> damages on the basis that (</w:t>
      </w:r>
      <w:proofErr w:type="spellStart"/>
      <w:r w:rsidRPr="002121A4">
        <w:t>i</w:t>
      </w:r>
      <w:proofErr w:type="spellEnd"/>
      <w:r w:rsidRPr="002121A4">
        <w:t xml:space="preserve">) the press release of 20 July was misleading and (ii) that IKB should have disclosed its exposure to subprime before 26 July 2007? (BGH, 13 December 2011, XI ZR 51/10, BGHZ 192, 90 = NJW 2012, 1800 – </w:t>
      </w:r>
      <w:r w:rsidRPr="002121A4">
        <w:rPr>
          <w:i/>
        </w:rPr>
        <w:t>IKB</w:t>
      </w:r>
      <w:r w:rsidRPr="002121A4">
        <w:t>)</w:t>
      </w:r>
      <w:bookmarkEnd w:id="129"/>
      <w:r w:rsidRPr="002121A4">
        <w:t xml:space="preserve"> </w:t>
      </w:r>
    </w:p>
    <w:p w14:paraId="4C72D181" w14:textId="61D7C57D" w:rsidR="001C1C61" w:rsidRPr="002121A4" w:rsidRDefault="001C1C61" w:rsidP="001C1C61">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35627A6A" w14:textId="558FB200" w:rsidR="00514D10" w:rsidRPr="002121A4" w:rsidRDefault="00514D10" w:rsidP="00AB42AA">
      <w:pPr>
        <w:pStyle w:val="Case"/>
        <w:numPr>
          <w:ilvl w:val="0"/>
          <w:numId w:val="14"/>
        </w:numPr>
        <w:ind w:left="567" w:firstLine="0"/>
        <w:rPr>
          <w:szCs w:val="23"/>
        </w:rPr>
      </w:pPr>
      <w:bookmarkStart w:id="130" w:name="_Ref163123872"/>
      <w:r w:rsidRPr="002121A4">
        <w:rPr>
          <w:szCs w:val="23"/>
        </w:rPr>
        <w:t xml:space="preserve">Hypo Real Estate Holding AG was the ultimate parent of </w:t>
      </w:r>
      <w:r w:rsidR="00292537" w:rsidRPr="002121A4">
        <w:rPr>
          <w:szCs w:val="23"/>
        </w:rPr>
        <w:t>a banking group invested in a certain type of debt instruments (so</w:t>
      </w:r>
      <w:r w:rsidRPr="002121A4">
        <w:rPr>
          <w:szCs w:val="23"/>
        </w:rPr>
        <w:t>-called “Collateralized Debt Obligations” (CDOs</w:t>
      </w:r>
      <w:r w:rsidR="00292537" w:rsidRPr="002121A4">
        <w:rPr>
          <w:szCs w:val="23"/>
        </w:rPr>
        <w:t>)</w:t>
      </w:r>
      <w:r w:rsidRPr="002121A4">
        <w:rPr>
          <w:szCs w:val="23"/>
        </w:rPr>
        <w:t xml:space="preserve">) with a nominal value of €1.5bn. On 10 July 2007, rating agencies announced they would look into some of these CDOs. On 11 July, HRE published inside information </w:t>
      </w:r>
      <w:r w:rsidR="00292537" w:rsidRPr="002121A4">
        <w:rPr>
          <w:szCs w:val="23"/>
        </w:rPr>
        <w:t xml:space="preserve">posting </w:t>
      </w:r>
      <w:r w:rsidRPr="002121A4">
        <w:rPr>
          <w:szCs w:val="23"/>
        </w:rPr>
        <w:t xml:space="preserve">a profit of €183m in Q2 and </w:t>
      </w:r>
      <w:r w:rsidR="0007067C">
        <w:rPr>
          <w:szCs w:val="23"/>
        </w:rPr>
        <w:t>rais</w:t>
      </w:r>
      <w:r w:rsidR="00292537" w:rsidRPr="002121A4">
        <w:rPr>
          <w:szCs w:val="23"/>
        </w:rPr>
        <w:t xml:space="preserve">ing </w:t>
      </w:r>
      <w:r w:rsidRPr="002121A4">
        <w:rPr>
          <w:szCs w:val="23"/>
        </w:rPr>
        <w:t xml:space="preserve">its profit forecast for </w:t>
      </w:r>
      <w:r w:rsidR="00512F53">
        <w:rPr>
          <w:szCs w:val="23"/>
        </w:rPr>
        <w:t xml:space="preserve">the year </w:t>
      </w:r>
      <w:r w:rsidRPr="002121A4">
        <w:rPr>
          <w:szCs w:val="23"/>
        </w:rPr>
        <w:t xml:space="preserve">from €680m to €710m. On 3 August, HRE issued a press release confirming its profit forecast, adding that it did not expect negative effects from CDOs. On </w:t>
      </w:r>
      <w:r w:rsidRPr="002121A4">
        <w:rPr>
          <w:szCs w:val="23"/>
        </w:rPr>
        <w:lastRenderedPageBreak/>
        <w:t xml:space="preserve">7 November, HRE issued a press release stating that its position had improved notwithstanding the </w:t>
      </w:r>
      <w:r w:rsidRPr="005152F4">
        <w:t>financial</w:t>
      </w:r>
      <w:r w:rsidRPr="002121A4">
        <w:rPr>
          <w:szCs w:val="23"/>
        </w:rPr>
        <w:t xml:space="preserve"> turmoil. Subsequently, HRE instructed auditors to reassess its CDOs. On 7 January 2008, HRE received the auditors’ report which indicated a need too write-off several hundred millions euros. On the morning of 15 January, HRE announced a loss of €290m, causing the share to drop by 30%. Can investors raise damage claims on the basis that (</w:t>
      </w:r>
      <w:proofErr w:type="spellStart"/>
      <w:r w:rsidRPr="002121A4">
        <w:rPr>
          <w:szCs w:val="23"/>
        </w:rPr>
        <w:t>i</w:t>
      </w:r>
      <w:proofErr w:type="spellEnd"/>
      <w:r w:rsidRPr="002121A4">
        <w:rPr>
          <w:szCs w:val="23"/>
        </w:rPr>
        <w:t xml:space="preserve">) the </w:t>
      </w:r>
      <w:r w:rsidR="00E1128D" w:rsidRPr="002121A4">
        <w:rPr>
          <w:szCs w:val="23"/>
        </w:rPr>
        <w:t xml:space="preserve">profit </w:t>
      </w:r>
      <w:r w:rsidRPr="002121A4">
        <w:rPr>
          <w:szCs w:val="23"/>
        </w:rPr>
        <w:t xml:space="preserve">forecast of 11 July </w:t>
      </w:r>
      <w:r w:rsidR="00E1128D" w:rsidRPr="002121A4">
        <w:rPr>
          <w:szCs w:val="23"/>
        </w:rPr>
        <w:t>did not correspond to the actual profit</w:t>
      </w:r>
      <w:r w:rsidRPr="002121A4">
        <w:rPr>
          <w:szCs w:val="23"/>
        </w:rPr>
        <w:t xml:space="preserve">; (ii) the press releases of August and November were incorrect or should have been corrected, and (iii) HRE should have made public the results of the auditors’ report on 7 January? (BGH, 17 December 2020, II ZB 31/14, WM 2021, 285 – </w:t>
      </w:r>
      <w:r w:rsidRPr="002121A4">
        <w:rPr>
          <w:i/>
          <w:szCs w:val="23"/>
        </w:rPr>
        <w:t>Hypo Real Estate</w:t>
      </w:r>
      <w:r w:rsidRPr="002121A4">
        <w:rPr>
          <w:szCs w:val="23"/>
        </w:rPr>
        <w:t>)</w:t>
      </w:r>
      <w:bookmarkEnd w:id="130"/>
    </w:p>
    <w:p w14:paraId="21995939" w14:textId="2B05DD63" w:rsidR="004E3B1F" w:rsidRPr="002121A4" w:rsidRDefault="00970C75" w:rsidP="004E3B1F">
      <w:pPr>
        <w:pStyle w:val="Case"/>
        <w:rPr>
          <w:szCs w:val="23"/>
        </w:rPr>
      </w:pPr>
      <w:r w:rsidRPr="002121A4">
        <w:rPr>
          <w:b/>
        </w:rPr>
        <w:t>Notes.</w:t>
      </w:r>
      <w:r w:rsidR="00956EF4" w:rsidRPr="002121A4">
        <w:rPr>
          <w:b/>
        </w:rPr>
        <w:br/>
      </w:r>
      <w:r w:rsidR="00956EF4" w:rsidRPr="002121A4">
        <w:rPr>
          <w:b/>
        </w:rPr>
        <w:br/>
      </w:r>
      <w:r w:rsidR="00F266DB">
        <w:rPr>
          <w:b/>
        </w:rPr>
        <w:br/>
      </w:r>
      <w:r w:rsidR="00956EF4" w:rsidRPr="002121A4">
        <w:rPr>
          <w:b/>
        </w:rPr>
        <w:br/>
      </w:r>
      <w:r w:rsidR="00956EF4" w:rsidRPr="002121A4">
        <w:rPr>
          <w:b/>
        </w:rPr>
        <w:br/>
      </w:r>
    </w:p>
    <w:p w14:paraId="56528B76" w14:textId="0FB6BFD9" w:rsidR="0053528F" w:rsidRPr="00044BD7" w:rsidRDefault="0057283B" w:rsidP="00044BD7">
      <w:pPr>
        <w:rPr>
          <w:lang w:val="en-US"/>
        </w:rPr>
      </w:pPr>
      <w:r w:rsidRPr="00044BD7">
        <w:rPr>
          <w:lang w:val="en-US"/>
        </w:rPr>
        <w:t xml:space="preserve">For an overview on civil liability claims in relation to late or incorrect disclosure of inside information, see the box </w:t>
      </w:r>
      <w:r w:rsidR="00F266DB" w:rsidRPr="00044BD7">
        <w:rPr>
          <w:lang w:val="en-US"/>
        </w:rPr>
        <w:t>on the next page</w:t>
      </w:r>
      <w:r w:rsidRPr="00044BD7">
        <w:rPr>
          <w:lang w:val="en-US"/>
        </w:rPr>
        <w:t>.</w:t>
      </w:r>
    </w:p>
    <w:p w14:paraId="0B79FB55" w14:textId="77777777" w:rsidR="00874833" w:rsidRPr="002121A4" w:rsidRDefault="00874833" w:rsidP="00874833">
      <w:pPr>
        <w:pStyle w:val="berschrift2"/>
        <w:rPr>
          <w:lang w:val="en-GB"/>
        </w:rPr>
      </w:pPr>
      <w:bookmarkStart w:id="131" w:name="_Toc194577776"/>
      <w:r w:rsidRPr="002121A4">
        <w:rPr>
          <w:lang w:val="en-GB"/>
        </w:rPr>
        <w:t>Reading assignment</w:t>
      </w:r>
      <w:bookmarkEnd w:id="131"/>
      <w:r w:rsidRPr="002121A4">
        <w:rPr>
          <w:lang w:val="en-GB"/>
        </w:rPr>
        <w:t xml:space="preserve"> </w:t>
      </w:r>
    </w:p>
    <w:p w14:paraId="61AB9D1B" w14:textId="77777777" w:rsidR="00874833" w:rsidRPr="002121A4" w:rsidRDefault="00874833" w:rsidP="00874833">
      <w:pPr>
        <w:rPr>
          <w:szCs w:val="23"/>
          <w:lang w:val="en-GB"/>
        </w:rPr>
      </w:pPr>
      <w:r w:rsidRPr="002121A4">
        <w:rPr>
          <w:szCs w:val="23"/>
          <w:lang w:val="en-GB"/>
        </w:rPr>
        <w:t xml:space="preserve">Buck-Heeb, </w:t>
      </w:r>
      <w:proofErr w:type="spellStart"/>
      <w:r w:rsidRPr="002121A4">
        <w:rPr>
          <w:i/>
          <w:szCs w:val="23"/>
          <w:lang w:val="en-GB"/>
        </w:rPr>
        <w:t>Kapitalmarktrecht</w:t>
      </w:r>
      <w:proofErr w:type="spellEnd"/>
      <w:r w:rsidRPr="002121A4">
        <w:rPr>
          <w:szCs w:val="23"/>
          <w:lang w:val="en-GB"/>
        </w:rPr>
        <w:t xml:space="preserve">, §§ 6–7; Veil, </w:t>
      </w:r>
      <w:r w:rsidRPr="002121A4">
        <w:rPr>
          <w:i/>
          <w:szCs w:val="23"/>
          <w:lang w:val="en-GB"/>
        </w:rPr>
        <w:t>European Capital Markets Law</w:t>
      </w:r>
      <w:r w:rsidRPr="002121A4">
        <w:rPr>
          <w:szCs w:val="23"/>
          <w:lang w:val="en-GB"/>
        </w:rPr>
        <w:t>, §§ 13–15, 19.</w:t>
      </w:r>
    </w:p>
    <w:p w14:paraId="0FB6FB9D" w14:textId="77777777" w:rsidR="00874833" w:rsidRPr="00503463" w:rsidRDefault="00874833" w:rsidP="00874833">
      <w:pPr>
        <w:rPr>
          <w:szCs w:val="23"/>
          <w:lang w:val="en-GB"/>
        </w:rPr>
      </w:pPr>
      <w:r w:rsidRPr="002121A4">
        <w:rPr>
          <w:szCs w:val="23"/>
          <w:lang w:val="en-GB"/>
        </w:rPr>
        <w:t xml:space="preserve">Further material: Busch, “The private law effect of the EU market abuse regulation” (2019) 14 </w:t>
      </w:r>
      <w:r w:rsidRPr="002121A4">
        <w:rPr>
          <w:i/>
          <w:szCs w:val="23"/>
          <w:lang w:val="en-GB"/>
        </w:rPr>
        <w:t>Cap. Mark. Law J.</w:t>
      </w:r>
      <w:r w:rsidRPr="002121A4">
        <w:rPr>
          <w:szCs w:val="23"/>
          <w:lang w:val="en-GB"/>
        </w:rPr>
        <w:t xml:space="preserve"> 296–319; </w:t>
      </w:r>
      <w:proofErr w:type="spellStart"/>
      <w:r w:rsidRPr="002121A4">
        <w:rPr>
          <w:szCs w:val="23"/>
          <w:lang w:val="en-GB"/>
        </w:rPr>
        <w:t>Giltjes</w:t>
      </w:r>
      <w:proofErr w:type="spellEnd"/>
      <w:r w:rsidRPr="002121A4">
        <w:rPr>
          <w:szCs w:val="23"/>
          <w:lang w:val="en-GB"/>
        </w:rPr>
        <w:t xml:space="preserve"> &amp; </w:t>
      </w:r>
      <w:proofErr w:type="spellStart"/>
      <w:r w:rsidRPr="002121A4">
        <w:rPr>
          <w:szCs w:val="23"/>
          <w:lang w:val="en-GB"/>
        </w:rPr>
        <w:t>Pijls</w:t>
      </w:r>
      <w:proofErr w:type="spellEnd"/>
      <w:r w:rsidRPr="002121A4">
        <w:rPr>
          <w:szCs w:val="23"/>
          <w:lang w:val="en-GB"/>
        </w:rPr>
        <w:t xml:space="preserve">, “The subtle relationship between paragraphs 1, 4, 7 and 8 of Article 17 of the Market Abuse Regulation”, (2020) 15 </w:t>
      </w:r>
      <w:r w:rsidRPr="002121A4">
        <w:rPr>
          <w:i/>
          <w:szCs w:val="23"/>
          <w:lang w:val="en-GB"/>
        </w:rPr>
        <w:t xml:space="preserve">Cap. </w:t>
      </w:r>
      <w:r w:rsidRPr="00503463">
        <w:rPr>
          <w:i/>
          <w:szCs w:val="23"/>
          <w:lang w:val="en-GB"/>
        </w:rPr>
        <w:t>Mark. Law J.</w:t>
      </w:r>
      <w:r w:rsidRPr="00503463">
        <w:rPr>
          <w:szCs w:val="23"/>
          <w:lang w:val="en-GB"/>
        </w:rPr>
        <w:t xml:space="preserve"> 474–488.</w:t>
      </w:r>
    </w:p>
    <w:p w14:paraId="1A208D55" w14:textId="0C160A4C" w:rsidR="00874833" w:rsidRPr="00503463" w:rsidRDefault="00874833" w:rsidP="00874833">
      <w:pPr>
        <w:jc w:val="left"/>
        <w:rPr>
          <w:lang w:val="en-GB"/>
        </w:rPr>
      </w:pPr>
      <w:r w:rsidRPr="00503463">
        <w:rPr>
          <w:szCs w:val="23"/>
          <w:lang w:val="en-GB"/>
        </w:rPr>
        <w:t>LG Stuttgart, 24 October 2018 – 22 O 101/16, WM 2019, 463 – Porsche.</w:t>
      </w:r>
      <w:r w:rsidRPr="00503463">
        <w:rPr>
          <w:szCs w:val="23"/>
          <w:lang w:val="en-GB"/>
        </w:rPr>
        <w:br/>
        <w:t>OLG Stuttgart, 29 March 2023 – 20 Kap 2/17 – Porsche.</w:t>
      </w:r>
    </w:p>
    <w:p w14:paraId="7E17174A" w14:textId="441B2D0C" w:rsidR="00D9551D" w:rsidRPr="00080F04" w:rsidRDefault="00D9551D" w:rsidP="00EC573D">
      <w:pPr>
        <w:rPr>
          <w:lang w:val="en-GB"/>
        </w:rPr>
      </w:pPr>
      <w:r w:rsidRPr="002121A4">
        <w:rPr>
          <w:noProof/>
        </w:rPr>
        <w:lastRenderedPageBreak/>
        <mc:AlternateContent>
          <mc:Choice Requires="wps">
            <w:drawing>
              <wp:anchor distT="0" distB="0" distL="114300" distR="114300" simplePos="0" relativeHeight="251656704" behindDoc="0" locked="0" layoutInCell="1" allowOverlap="1" wp14:anchorId="17ED0DB8" wp14:editId="78207955">
                <wp:simplePos x="0" y="0"/>
                <wp:positionH relativeFrom="margin">
                  <wp:align>left</wp:align>
                </wp:positionH>
                <wp:positionV relativeFrom="paragraph">
                  <wp:posOffset>313033</wp:posOffset>
                </wp:positionV>
                <wp:extent cx="6103620" cy="6911340"/>
                <wp:effectExtent l="0" t="0" r="11430" b="2286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6911439"/>
                        </a:xfrm>
                        <a:prstGeom prst="rect">
                          <a:avLst/>
                        </a:prstGeom>
                        <a:solidFill>
                          <a:srgbClr val="FFFFFF"/>
                        </a:solidFill>
                        <a:ln w="9525">
                          <a:solidFill>
                            <a:schemeClr val="bg1">
                              <a:lumMod val="65000"/>
                            </a:schemeClr>
                          </a:solidFill>
                          <a:miter lim="800000"/>
                          <a:headEnd/>
                          <a:tailEnd/>
                        </a:ln>
                      </wps:spPr>
                      <wps:txbx>
                        <w:txbxContent>
                          <w:p w14:paraId="412938CD" w14:textId="368212BC" w:rsidR="00874833" w:rsidRPr="00874833" w:rsidRDefault="00874833" w:rsidP="00874833">
                            <w:pPr>
                              <w:keepNext/>
                              <w:ind w:left="567" w:hanging="567"/>
                              <w:jc w:val="center"/>
                              <w:rPr>
                                <w:b/>
                                <w:lang w:val="en-GB"/>
                              </w:rPr>
                            </w:pPr>
                            <w:r w:rsidRPr="00874833">
                              <w:rPr>
                                <w:b/>
                                <w:lang w:val="en-GB"/>
                              </w:rPr>
                              <w:t>Civil liability in relation to late or incorrect disclosure of inside information</w:t>
                            </w:r>
                          </w:p>
                          <w:p w14:paraId="4E957F6D" w14:textId="77777777" w:rsidR="00874833" w:rsidRPr="00874833" w:rsidRDefault="00874833" w:rsidP="00874833">
                            <w:pPr>
                              <w:keepNext/>
                              <w:ind w:left="567" w:hanging="567"/>
                              <w:jc w:val="center"/>
                              <w:rPr>
                                <w:lang w:val="en-GB"/>
                              </w:rPr>
                            </w:pPr>
                          </w:p>
                          <w:p w14:paraId="48C4C096" w14:textId="77777777" w:rsidR="0053528F" w:rsidRPr="00A37639" w:rsidRDefault="0053528F" w:rsidP="0053528F">
                            <w:pPr>
                              <w:pStyle w:val="Listenabsatz"/>
                              <w:keepNext/>
                              <w:numPr>
                                <w:ilvl w:val="0"/>
                                <w:numId w:val="2"/>
                              </w:numPr>
                              <w:contextualSpacing w:val="0"/>
                              <w:rPr>
                                <w:b/>
                                <w:sz w:val="19"/>
                                <w:szCs w:val="19"/>
                                <w:lang w:val="en-GB"/>
                              </w:rPr>
                            </w:pPr>
                            <w:r w:rsidRPr="00A37639">
                              <w:rPr>
                                <w:b/>
                                <w:sz w:val="19"/>
                                <w:szCs w:val="19"/>
                                <w:lang w:val="en-GB"/>
                              </w:rPr>
                              <w:t xml:space="preserve">§§ 97, 98 </w:t>
                            </w:r>
                            <w:r w:rsidRPr="00A37639">
                              <w:rPr>
                                <w:b/>
                                <w:sz w:val="19"/>
                                <w:szCs w:val="19"/>
                                <w:lang w:val="en-GB"/>
                              </w:rPr>
                              <w:t>WpHG</w:t>
                            </w:r>
                          </w:p>
                          <w:p w14:paraId="3F1D0545"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Issuer of instruments within the meaning of § 97(1), § 98(1) WpHG</w:t>
                            </w:r>
                          </w:p>
                          <w:p w14:paraId="57600C8B"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Breach of article 17 MAR</w:t>
                            </w:r>
                          </w:p>
                          <w:p w14:paraId="1ACE2097"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Inside information within article 7(1) MAR</w:t>
                            </w:r>
                          </w:p>
                          <w:p w14:paraId="70C51080"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Inside information directly concerns issuer, article 17(1)</w:t>
                            </w:r>
                          </w:p>
                          <w:p w14:paraId="531701EC"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Failure to disclose, § 97(1) WpHG</w:t>
                            </w:r>
                          </w:p>
                          <w:p w14:paraId="34B1ABA7" w14:textId="77777777" w:rsidR="0053528F" w:rsidRPr="00A37639" w:rsidRDefault="0053528F" w:rsidP="0053528F">
                            <w:pPr>
                              <w:pStyle w:val="Listenabsatz"/>
                              <w:numPr>
                                <w:ilvl w:val="3"/>
                                <w:numId w:val="2"/>
                              </w:numPr>
                              <w:contextualSpacing w:val="0"/>
                              <w:rPr>
                                <w:sz w:val="19"/>
                                <w:szCs w:val="19"/>
                                <w:lang w:val="en-GB"/>
                              </w:rPr>
                            </w:pPr>
                            <w:r w:rsidRPr="00A37639">
                              <w:rPr>
                                <w:sz w:val="19"/>
                                <w:szCs w:val="19"/>
                                <w:lang w:val="en-GB"/>
                              </w:rPr>
                              <w:t>Time limit (as soon as possible, article 17(1) MAR)</w:t>
                            </w:r>
                          </w:p>
                          <w:p w14:paraId="1F12F53F" w14:textId="77777777" w:rsidR="0053528F" w:rsidRPr="00A37639" w:rsidRDefault="0053528F" w:rsidP="0053528F">
                            <w:pPr>
                              <w:pStyle w:val="Listenabsatz"/>
                              <w:numPr>
                                <w:ilvl w:val="3"/>
                                <w:numId w:val="2"/>
                              </w:numPr>
                              <w:contextualSpacing w:val="0"/>
                              <w:rPr>
                                <w:sz w:val="19"/>
                                <w:szCs w:val="19"/>
                                <w:lang w:val="en-GB"/>
                              </w:rPr>
                            </w:pPr>
                            <w:r w:rsidRPr="00A37639">
                              <w:rPr>
                                <w:sz w:val="19"/>
                                <w:szCs w:val="19"/>
                                <w:lang w:val="en-GB"/>
                              </w:rPr>
                              <w:t xml:space="preserve">Form and content of disclosure (article 2(1) Reg. 2016/1055, § 4 WpAV) </w:t>
                            </w:r>
                          </w:p>
                          <w:p w14:paraId="3557219E" w14:textId="77777777" w:rsidR="0053528F" w:rsidRPr="00A37639" w:rsidRDefault="0053528F" w:rsidP="0053528F">
                            <w:pPr>
                              <w:pStyle w:val="Listenabsatz"/>
                              <w:numPr>
                                <w:ilvl w:val="3"/>
                                <w:numId w:val="2"/>
                              </w:numPr>
                              <w:contextualSpacing w:val="0"/>
                              <w:rPr>
                                <w:sz w:val="19"/>
                                <w:szCs w:val="19"/>
                                <w:lang w:val="en-GB"/>
                              </w:rPr>
                            </w:pPr>
                            <w:r w:rsidRPr="00A37639">
                              <w:rPr>
                                <w:sz w:val="19"/>
                                <w:szCs w:val="19"/>
                                <w:lang w:val="en-GB"/>
                              </w:rPr>
                              <w:t>Delay of disclosure, article 17(4) MAR</w:t>
                            </w:r>
                          </w:p>
                          <w:p w14:paraId="6AB178EC"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Alternatively: disclosure of incorrect information, § 98(1) WpHG</w:t>
                            </w:r>
                          </w:p>
                          <w:p w14:paraId="3578DD5C" w14:textId="4C16DF56"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Relevant transaction, § 97(1), § 98(1) WpHG</w:t>
                            </w:r>
                          </w:p>
                          <w:p w14:paraId="78D0F446"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Exclusion of liability</w:t>
                            </w:r>
                          </w:p>
                          <w:p w14:paraId="03382A2E"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No gross negligence or intentional misconduct, § 97(2), § 98(2) WpHG</w:t>
                            </w:r>
                          </w:p>
                          <w:p w14:paraId="1CB6C6DC"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Investor was aware of relevant information, § 97(3), § 98(2) WpHG</w:t>
                            </w:r>
                          </w:p>
                          <w:p w14:paraId="2AF7967B"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Scope of damages: §§ 249ff. BGB</w:t>
                            </w:r>
                          </w:p>
                          <w:p w14:paraId="7754ABC5"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 xml:space="preserve">Unwinding of the transaction </w:t>
                            </w:r>
                          </w:p>
                          <w:p w14:paraId="064EA286"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 xml:space="preserve">Payment of difference between original purchase price and hypothetical adequate purchase price </w:t>
                            </w:r>
                          </w:p>
                          <w:p w14:paraId="11BDAF32"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Causal link needed between failure to disclose and transaction?</w:t>
                            </w:r>
                          </w:p>
                          <w:p w14:paraId="34F6D3B4" w14:textId="77777777" w:rsidR="0053528F" w:rsidRPr="00A37639" w:rsidRDefault="0053528F" w:rsidP="0053528F">
                            <w:pPr>
                              <w:pStyle w:val="Listenabsatz"/>
                              <w:numPr>
                                <w:ilvl w:val="0"/>
                                <w:numId w:val="2"/>
                              </w:numPr>
                              <w:contextualSpacing w:val="0"/>
                              <w:rPr>
                                <w:b/>
                                <w:sz w:val="19"/>
                                <w:szCs w:val="19"/>
                                <w:lang w:val="en-GB"/>
                              </w:rPr>
                            </w:pPr>
                            <w:r w:rsidRPr="00A37639">
                              <w:rPr>
                                <w:b/>
                                <w:sz w:val="19"/>
                                <w:szCs w:val="19"/>
                                <w:lang w:val="en-GB"/>
                              </w:rPr>
                              <w:t>§ 823(2) BGB in conjunction with relevant laws</w:t>
                            </w:r>
                          </w:p>
                          <w:p w14:paraId="7C245F41" w14:textId="77777777" w:rsidR="0053528F" w:rsidRPr="00A37639" w:rsidRDefault="0053528F" w:rsidP="00A37639">
                            <w:pPr>
                              <w:pStyle w:val="Listenabsatz"/>
                              <w:numPr>
                                <w:ilvl w:val="1"/>
                                <w:numId w:val="2"/>
                              </w:numPr>
                              <w:contextualSpacing w:val="0"/>
                              <w:rPr>
                                <w:sz w:val="19"/>
                                <w:szCs w:val="19"/>
                                <w:lang w:val="en-GB"/>
                              </w:rPr>
                            </w:pPr>
                            <w:r w:rsidRPr="00A37639">
                              <w:rPr>
                                <w:i/>
                                <w:sz w:val="19"/>
                                <w:szCs w:val="19"/>
                                <w:lang w:val="en-GB"/>
                              </w:rPr>
                              <w:t>Note</w:t>
                            </w:r>
                            <w:r w:rsidRPr="00A37639">
                              <w:rPr>
                                <w:sz w:val="19"/>
                                <w:szCs w:val="19"/>
                                <w:lang w:val="en-GB"/>
                              </w:rPr>
                              <w:t xml:space="preserve">: German case law considers the prohibition of market manipulation and the requirement to disclose inside information to protect only the </w:t>
                            </w:r>
                            <w:r w:rsidRPr="00A37639">
                              <w:rPr>
                                <w:i/>
                                <w:sz w:val="19"/>
                                <w:szCs w:val="19"/>
                                <w:lang w:val="en-GB"/>
                              </w:rPr>
                              <w:t>public</w:t>
                            </w:r>
                            <w:r w:rsidRPr="00A37639">
                              <w:rPr>
                                <w:sz w:val="19"/>
                                <w:szCs w:val="19"/>
                                <w:lang w:val="en-GB"/>
                              </w:rPr>
                              <w:t xml:space="preserve"> interest in the functioning of the markt, but not the </w:t>
                            </w:r>
                            <w:r w:rsidRPr="00A37639">
                              <w:rPr>
                                <w:i/>
                                <w:sz w:val="19"/>
                                <w:szCs w:val="19"/>
                                <w:lang w:val="en-GB"/>
                              </w:rPr>
                              <w:t>private</w:t>
                            </w:r>
                            <w:r w:rsidRPr="00A37639">
                              <w:rPr>
                                <w:sz w:val="19"/>
                                <w:szCs w:val="19"/>
                                <w:lang w:val="en-GB"/>
                              </w:rPr>
                              <w:t xml:space="preserve"> interests of individual investors – and accordingly, would not hold issuers liable on the basis of § 823(2) BGB. Query whether that is still correct against the background of article 1 MAR.</w:t>
                            </w:r>
                          </w:p>
                          <w:p w14:paraId="1A6729AA" w14:textId="3A86CFE2" w:rsidR="0053528F" w:rsidRPr="00A37639" w:rsidRDefault="0053528F" w:rsidP="00A37639">
                            <w:pPr>
                              <w:pStyle w:val="Listenabsatz"/>
                              <w:numPr>
                                <w:ilvl w:val="1"/>
                                <w:numId w:val="2"/>
                              </w:numPr>
                              <w:contextualSpacing w:val="0"/>
                              <w:rPr>
                                <w:sz w:val="19"/>
                                <w:szCs w:val="19"/>
                                <w:lang w:val="en-GB"/>
                              </w:rPr>
                            </w:pPr>
                            <w:r w:rsidRPr="00A37639">
                              <w:rPr>
                                <w:sz w:val="19"/>
                                <w:szCs w:val="19"/>
                                <w:lang w:val="en-GB"/>
                              </w:rPr>
                              <w:t xml:space="preserve">§ 400 I Nr. 1 AktG – recognized by case law </w:t>
                            </w:r>
                            <w:r w:rsidR="00B00624">
                              <w:rPr>
                                <w:sz w:val="19"/>
                                <w:szCs w:val="19"/>
                                <w:lang w:val="en-GB"/>
                              </w:rPr>
                              <w:t>as a “protective norm” (“</w:t>
                            </w:r>
                            <w:r w:rsidR="00B00624" w:rsidRPr="00B00624">
                              <w:rPr>
                                <w:i/>
                                <w:sz w:val="19"/>
                                <w:szCs w:val="19"/>
                                <w:lang w:val="en-GB"/>
                              </w:rPr>
                              <w:t>Schutznorm</w:t>
                            </w:r>
                            <w:r w:rsidR="00B00624">
                              <w:rPr>
                                <w:sz w:val="19"/>
                                <w:szCs w:val="19"/>
                                <w:lang w:val="en-GB"/>
                              </w:rPr>
                              <w:t>”)</w:t>
                            </w:r>
                            <w:r w:rsidRPr="00A37639">
                              <w:rPr>
                                <w:sz w:val="19"/>
                                <w:szCs w:val="19"/>
                                <w:lang w:val="en-GB"/>
                              </w:rPr>
                              <w:t xml:space="preserve"> protect</w:t>
                            </w:r>
                            <w:r w:rsidR="00B00624">
                              <w:rPr>
                                <w:sz w:val="19"/>
                                <w:szCs w:val="19"/>
                                <w:lang w:val="en-GB"/>
                              </w:rPr>
                              <w:t>ing</w:t>
                            </w:r>
                            <w:r w:rsidRPr="00A37639">
                              <w:rPr>
                                <w:sz w:val="19"/>
                                <w:szCs w:val="19"/>
                                <w:lang w:val="en-GB"/>
                              </w:rPr>
                              <w:t xml:space="preserve"> individual investors, but limited scope of communications covered under that provision</w:t>
                            </w:r>
                            <w:r w:rsidR="00EB2355">
                              <w:rPr>
                                <w:sz w:val="19"/>
                                <w:szCs w:val="19"/>
                                <w:lang w:val="en-GB"/>
                              </w:rPr>
                              <w:t>.</w:t>
                            </w:r>
                          </w:p>
                          <w:p w14:paraId="42BA7FFB" w14:textId="13AAF2F3" w:rsidR="0053528F" w:rsidRPr="00A37639" w:rsidRDefault="0053528F" w:rsidP="0053528F">
                            <w:pPr>
                              <w:pStyle w:val="Listenabsatz"/>
                              <w:numPr>
                                <w:ilvl w:val="0"/>
                                <w:numId w:val="2"/>
                              </w:numPr>
                              <w:contextualSpacing w:val="0"/>
                              <w:rPr>
                                <w:b/>
                                <w:sz w:val="19"/>
                                <w:szCs w:val="19"/>
                                <w:lang w:val="en-GB"/>
                              </w:rPr>
                            </w:pPr>
                            <w:r w:rsidRPr="00A37639">
                              <w:rPr>
                                <w:b/>
                                <w:sz w:val="19"/>
                                <w:szCs w:val="19"/>
                                <w:lang w:val="en-GB"/>
                              </w:rPr>
                              <w:t>§ 826 BGB</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7ED0DB8" id="_x0000_s1041" type="#_x0000_t202" style="position:absolute;left:0;text-align:left;margin-left:0;margin-top:24.65pt;width:480.6pt;height:544.2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" strokecolor="#a5a5a5 [2092]">
                <v:textbox>
                  <w:txbxContent>
                    <w:p w14:paraId="412938CD" w14:textId="368212BC" w:rsidR="00874833" w:rsidRPr="00874833" w:rsidRDefault="00874833" w:rsidP="00874833">
                      <w:pPr>
                        <w:keepNext/>
                        <w:ind w:left="567" w:hanging="567"/>
                        <w:jc w:val="center"/>
                        <w:rPr>
                          <w:b/>
                          <w:lang w:val="en-GB"/>
                        </w:rPr>
                      </w:pPr>
                      <w:r w:rsidRPr="00874833">
                        <w:rPr>
                          <w:b/>
                          <w:lang w:val="en-GB"/>
                        </w:rPr>
                        <w:t>Civil liability in relation to late or incorrect disclosure of inside information</w:t>
                      </w:r>
                    </w:p>
                    <w:p w14:paraId="4E957F6D" w14:textId="77777777" w:rsidR="00874833" w:rsidRPr="00874833" w:rsidRDefault="00874833" w:rsidP="00874833">
                      <w:pPr>
                        <w:keepNext/>
                        <w:ind w:left="567" w:hanging="567"/>
                        <w:jc w:val="center"/>
                        <w:rPr>
                          <w:lang w:val="en-GB"/>
                        </w:rPr>
                      </w:pPr>
                    </w:p>
                    <w:p w14:paraId="48C4C096" w14:textId="77777777" w:rsidR="0053528F" w:rsidRPr="00A37639" w:rsidRDefault="0053528F" w:rsidP="0053528F">
                      <w:pPr>
                        <w:pStyle w:val="Listenabsatz"/>
                        <w:keepNext/>
                        <w:numPr>
                          <w:ilvl w:val="0"/>
                          <w:numId w:val="2"/>
                        </w:numPr>
                        <w:contextualSpacing w:val="0"/>
                        <w:rPr>
                          <w:b/>
                          <w:sz w:val="19"/>
                          <w:szCs w:val="19"/>
                          <w:lang w:val="en-GB"/>
                        </w:rPr>
                      </w:pPr>
                      <w:r w:rsidRPr="00A37639">
                        <w:rPr>
                          <w:b/>
                          <w:sz w:val="19"/>
                          <w:szCs w:val="19"/>
                          <w:lang w:val="en-GB"/>
                        </w:rPr>
                        <w:t xml:space="preserve">§§ 97, 98 </w:t>
                      </w:r>
                      <w:r w:rsidRPr="00A37639">
                        <w:rPr>
                          <w:b/>
                          <w:sz w:val="19"/>
                          <w:szCs w:val="19"/>
                          <w:lang w:val="en-GB"/>
                        </w:rPr>
                        <w:t>WpHG</w:t>
                      </w:r>
                    </w:p>
                    <w:p w14:paraId="3F1D0545"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Issuer of instruments within the meaning of § 97(1), § 98(1) WpHG</w:t>
                      </w:r>
                    </w:p>
                    <w:p w14:paraId="57600C8B"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Breach of article 17 MAR</w:t>
                      </w:r>
                    </w:p>
                    <w:p w14:paraId="1ACE2097"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Inside information within article 7(1) MAR</w:t>
                      </w:r>
                    </w:p>
                    <w:p w14:paraId="70C51080"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Inside information directly concerns issuer, article 17(1)</w:t>
                      </w:r>
                    </w:p>
                    <w:p w14:paraId="531701EC"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Failure to disclose, § 97(1) WpHG</w:t>
                      </w:r>
                    </w:p>
                    <w:p w14:paraId="34B1ABA7" w14:textId="77777777" w:rsidR="0053528F" w:rsidRPr="00A37639" w:rsidRDefault="0053528F" w:rsidP="0053528F">
                      <w:pPr>
                        <w:pStyle w:val="Listenabsatz"/>
                        <w:numPr>
                          <w:ilvl w:val="3"/>
                          <w:numId w:val="2"/>
                        </w:numPr>
                        <w:contextualSpacing w:val="0"/>
                        <w:rPr>
                          <w:sz w:val="19"/>
                          <w:szCs w:val="19"/>
                          <w:lang w:val="en-GB"/>
                        </w:rPr>
                      </w:pPr>
                      <w:r w:rsidRPr="00A37639">
                        <w:rPr>
                          <w:sz w:val="19"/>
                          <w:szCs w:val="19"/>
                          <w:lang w:val="en-GB"/>
                        </w:rPr>
                        <w:t>Time limit (as soon as possible, article 17(1) MAR)</w:t>
                      </w:r>
                    </w:p>
                    <w:p w14:paraId="1F12F53F" w14:textId="77777777" w:rsidR="0053528F" w:rsidRPr="00A37639" w:rsidRDefault="0053528F" w:rsidP="0053528F">
                      <w:pPr>
                        <w:pStyle w:val="Listenabsatz"/>
                        <w:numPr>
                          <w:ilvl w:val="3"/>
                          <w:numId w:val="2"/>
                        </w:numPr>
                        <w:contextualSpacing w:val="0"/>
                        <w:rPr>
                          <w:sz w:val="19"/>
                          <w:szCs w:val="19"/>
                          <w:lang w:val="en-GB"/>
                        </w:rPr>
                      </w:pPr>
                      <w:r w:rsidRPr="00A37639">
                        <w:rPr>
                          <w:sz w:val="19"/>
                          <w:szCs w:val="19"/>
                          <w:lang w:val="en-GB"/>
                        </w:rPr>
                        <w:t xml:space="preserve">Form and content of disclosure (article 2(1) Reg. 2016/1055, § 4 WpAV) </w:t>
                      </w:r>
                    </w:p>
                    <w:p w14:paraId="3557219E" w14:textId="77777777" w:rsidR="0053528F" w:rsidRPr="00A37639" w:rsidRDefault="0053528F" w:rsidP="0053528F">
                      <w:pPr>
                        <w:pStyle w:val="Listenabsatz"/>
                        <w:numPr>
                          <w:ilvl w:val="3"/>
                          <w:numId w:val="2"/>
                        </w:numPr>
                        <w:contextualSpacing w:val="0"/>
                        <w:rPr>
                          <w:sz w:val="19"/>
                          <w:szCs w:val="19"/>
                          <w:lang w:val="en-GB"/>
                        </w:rPr>
                      </w:pPr>
                      <w:r w:rsidRPr="00A37639">
                        <w:rPr>
                          <w:sz w:val="19"/>
                          <w:szCs w:val="19"/>
                          <w:lang w:val="en-GB"/>
                        </w:rPr>
                        <w:t>Delay of disclosure, article 17(4) MAR</w:t>
                      </w:r>
                    </w:p>
                    <w:p w14:paraId="6AB178EC"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Alternatively: disclosure of incorrect information, § 98(1) WpHG</w:t>
                      </w:r>
                    </w:p>
                    <w:p w14:paraId="3578DD5C" w14:textId="4C16DF56"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Relevant transaction, § 97(1), § 98(1) WpHG</w:t>
                      </w:r>
                    </w:p>
                    <w:p w14:paraId="78D0F446"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Exclusion of liability</w:t>
                      </w:r>
                    </w:p>
                    <w:p w14:paraId="03382A2E"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No gross negligence or intentional misconduct, § 97(2), § 98(2) WpHG</w:t>
                      </w:r>
                    </w:p>
                    <w:p w14:paraId="1CB6C6DC"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Investor was aware of relevant information, § 97(3), § 98(2) WpHG</w:t>
                      </w:r>
                    </w:p>
                    <w:p w14:paraId="2AF7967B" w14:textId="77777777" w:rsidR="0053528F" w:rsidRPr="00A37639" w:rsidRDefault="0053528F" w:rsidP="0053528F">
                      <w:pPr>
                        <w:pStyle w:val="Listenabsatz"/>
                        <w:numPr>
                          <w:ilvl w:val="1"/>
                          <w:numId w:val="2"/>
                        </w:numPr>
                        <w:contextualSpacing w:val="0"/>
                        <w:rPr>
                          <w:sz w:val="19"/>
                          <w:szCs w:val="19"/>
                          <w:lang w:val="en-GB"/>
                        </w:rPr>
                      </w:pPr>
                      <w:r w:rsidRPr="00A37639">
                        <w:rPr>
                          <w:sz w:val="19"/>
                          <w:szCs w:val="19"/>
                          <w:lang w:val="en-GB"/>
                        </w:rPr>
                        <w:t>Scope of damages: §§ 249ff. BGB</w:t>
                      </w:r>
                    </w:p>
                    <w:p w14:paraId="7754ABC5"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 xml:space="preserve">Unwinding of the transaction </w:t>
                      </w:r>
                    </w:p>
                    <w:p w14:paraId="064EA286"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 xml:space="preserve">Payment of difference between original purchase price and hypothetical adequate purchase price </w:t>
                      </w:r>
                    </w:p>
                    <w:p w14:paraId="11BDAF32" w14:textId="77777777" w:rsidR="0053528F" w:rsidRPr="00A37639" w:rsidRDefault="0053528F" w:rsidP="0053528F">
                      <w:pPr>
                        <w:pStyle w:val="Listenabsatz"/>
                        <w:numPr>
                          <w:ilvl w:val="2"/>
                          <w:numId w:val="2"/>
                        </w:numPr>
                        <w:contextualSpacing w:val="0"/>
                        <w:rPr>
                          <w:sz w:val="19"/>
                          <w:szCs w:val="19"/>
                          <w:lang w:val="en-GB"/>
                        </w:rPr>
                      </w:pPr>
                      <w:r w:rsidRPr="00A37639">
                        <w:rPr>
                          <w:sz w:val="19"/>
                          <w:szCs w:val="19"/>
                          <w:lang w:val="en-GB"/>
                        </w:rPr>
                        <w:t>Causal link needed between failure to disclose and transaction?</w:t>
                      </w:r>
                    </w:p>
                    <w:p w14:paraId="34F6D3B4" w14:textId="77777777" w:rsidR="0053528F" w:rsidRPr="00A37639" w:rsidRDefault="0053528F" w:rsidP="0053528F">
                      <w:pPr>
                        <w:pStyle w:val="Listenabsatz"/>
                        <w:numPr>
                          <w:ilvl w:val="0"/>
                          <w:numId w:val="2"/>
                        </w:numPr>
                        <w:contextualSpacing w:val="0"/>
                        <w:rPr>
                          <w:b/>
                          <w:sz w:val="19"/>
                          <w:szCs w:val="19"/>
                          <w:lang w:val="en-GB"/>
                        </w:rPr>
                      </w:pPr>
                      <w:r w:rsidRPr="00A37639">
                        <w:rPr>
                          <w:b/>
                          <w:sz w:val="19"/>
                          <w:szCs w:val="19"/>
                          <w:lang w:val="en-GB"/>
                        </w:rPr>
                        <w:t>§ 823(2) BGB in conjunction with relevant laws</w:t>
                      </w:r>
                    </w:p>
                    <w:p w14:paraId="7C245F41" w14:textId="77777777" w:rsidR="0053528F" w:rsidRPr="00A37639" w:rsidRDefault="0053528F" w:rsidP="00A37639">
                      <w:pPr>
                        <w:pStyle w:val="Listenabsatz"/>
                        <w:numPr>
                          <w:ilvl w:val="1"/>
                          <w:numId w:val="2"/>
                        </w:numPr>
                        <w:contextualSpacing w:val="0"/>
                        <w:rPr>
                          <w:sz w:val="19"/>
                          <w:szCs w:val="19"/>
                          <w:lang w:val="en-GB"/>
                        </w:rPr>
                      </w:pPr>
                      <w:r w:rsidRPr="00A37639">
                        <w:rPr>
                          <w:i/>
                          <w:sz w:val="19"/>
                          <w:szCs w:val="19"/>
                          <w:lang w:val="en-GB"/>
                        </w:rPr>
                        <w:t>Note</w:t>
                      </w:r>
                      <w:r w:rsidRPr="00A37639">
                        <w:rPr>
                          <w:sz w:val="19"/>
                          <w:szCs w:val="19"/>
                          <w:lang w:val="en-GB"/>
                        </w:rPr>
                        <w:t xml:space="preserve">: German case law considers the prohibition of market manipulation and the requirement to disclose inside information to protect only the </w:t>
                      </w:r>
                      <w:r w:rsidRPr="00A37639">
                        <w:rPr>
                          <w:i/>
                          <w:sz w:val="19"/>
                          <w:szCs w:val="19"/>
                          <w:lang w:val="en-GB"/>
                        </w:rPr>
                        <w:t>public</w:t>
                      </w:r>
                      <w:r w:rsidRPr="00A37639">
                        <w:rPr>
                          <w:sz w:val="19"/>
                          <w:szCs w:val="19"/>
                          <w:lang w:val="en-GB"/>
                        </w:rPr>
                        <w:t xml:space="preserve"> interest in the functioning of the markt, but not the </w:t>
                      </w:r>
                      <w:r w:rsidRPr="00A37639">
                        <w:rPr>
                          <w:i/>
                          <w:sz w:val="19"/>
                          <w:szCs w:val="19"/>
                          <w:lang w:val="en-GB"/>
                        </w:rPr>
                        <w:t>private</w:t>
                      </w:r>
                      <w:r w:rsidRPr="00A37639">
                        <w:rPr>
                          <w:sz w:val="19"/>
                          <w:szCs w:val="19"/>
                          <w:lang w:val="en-GB"/>
                        </w:rPr>
                        <w:t xml:space="preserve"> interests of individual investors – and accordingly, would not hold issuers liable on the basis of § 823(2) BGB. Query whether that is still correct against the background of article 1 MAR.</w:t>
                      </w:r>
                    </w:p>
                    <w:p w14:paraId="1A6729AA" w14:textId="3A86CFE2" w:rsidR="0053528F" w:rsidRPr="00A37639" w:rsidRDefault="0053528F" w:rsidP="00A37639">
                      <w:pPr>
                        <w:pStyle w:val="Listenabsatz"/>
                        <w:numPr>
                          <w:ilvl w:val="1"/>
                          <w:numId w:val="2"/>
                        </w:numPr>
                        <w:contextualSpacing w:val="0"/>
                        <w:rPr>
                          <w:sz w:val="19"/>
                          <w:szCs w:val="19"/>
                          <w:lang w:val="en-GB"/>
                        </w:rPr>
                      </w:pPr>
                      <w:r w:rsidRPr="00A37639">
                        <w:rPr>
                          <w:sz w:val="19"/>
                          <w:szCs w:val="19"/>
                          <w:lang w:val="en-GB"/>
                        </w:rPr>
                        <w:t xml:space="preserve">§ 400 I Nr. 1 AktG – recognized by case law </w:t>
                      </w:r>
                      <w:r w:rsidR="00B00624">
                        <w:rPr>
                          <w:sz w:val="19"/>
                          <w:szCs w:val="19"/>
                          <w:lang w:val="en-GB"/>
                        </w:rPr>
                        <w:t>as a “protective norm” (“</w:t>
                      </w:r>
                      <w:r w:rsidR="00B00624" w:rsidRPr="00B00624">
                        <w:rPr>
                          <w:i/>
                          <w:sz w:val="19"/>
                          <w:szCs w:val="19"/>
                          <w:lang w:val="en-GB"/>
                        </w:rPr>
                        <w:t>Schutznorm</w:t>
                      </w:r>
                      <w:r w:rsidR="00B00624">
                        <w:rPr>
                          <w:sz w:val="19"/>
                          <w:szCs w:val="19"/>
                          <w:lang w:val="en-GB"/>
                        </w:rPr>
                        <w:t>”)</w:t>
                      </w:r>
                      <w:r w:rsidRPr="00A37639">
                        <w:rPr>
                          <w:sz w:val="19"/>
                          <w:szCs w:val="19"/>
                          <w:lang w:val="en-GB"/>
                        </w:rPr>
                        <w:t xml:space="preserve"> protect</w:t>
                      </w:r>
                      <w:r w:rsidR="00B00624">
                        <w:rPr>
                          <w:sz w:val="19"/>
                          <w:szCs w:val="19"/>
                          <w:lang w:val="en-GB"/>
                        </w:rPr>
                        <w:t>ing</w:t>
                      </w:r>
                      <w:r w:rsidRPr="00A37639">
                        <w:rPr>
                          <w:sz w:val="19"/>
                          <w:szCs w:val="19"/>
                          <w:lang w:val="en-GB"/>
                        </w:rPr>
                        <w:t xml:space="preserve"> individual investors, but limited scope of communications covered under that provision</w:t>
                      </w:r>
                      <w:r w:rsidR="00EB2355">
                        <w:rPr>
                          <w:sz w:val="19"/>
                          <w:szCs w:val="19"/>
                          <w:lang w:val="en-GB"/>
                        </w:rPr>
                        <w:t>.</w:t>
                      </w:r>
                    </w:p>
                    <w:p w14:paraId="42BA7FFB" w14:textId="13AAF2F3" w:rsidR="0053528F" w:rsidRPr="00A37639" w:rsidRDefault="0053528F" w:rsidP="0053528F">
                      <w:pPr>
                        <w:pStyle w:val="Listenabsatz"/>
                        <w:numPr>
                          <w:ilvl w:val="0"/>
                          <w:numId w:val="2"/>
                        </w:numPr>
                        <w:contextualSpacing w:val="0"/>
                        <w:rPr>
                          <w:b/>
                          <w:sz w:val="19"/>
                          <w:szCs w:val="19"/>
                          <w:lang w:val="en-GB"/>
                        </w:rPr>
                      </w:pPr>
                      <w:r w:rsidRPr="00A37639">
                        <w:rPr>
                          <w:b/>
                          <w:sz w:val="19"/>
                          <w:szCs w:val="19"/>
                          <w:lang w:val="en-GB"/>
                        </w:rPr>
                        <w:t>§ 826 BGB</w:t>
                      </w:r>
                    </w:p>
                  </w:txbxContent>
                </v:textbox>
                <w10:wrap type="topAndBottom" anchorx="margin"/>
              </v:shape>
            </w:pict>
          </mc:Fallback>
        </mc:AlternateContent>
      </w:r>
    </w:p>
    <w:p w14:paraId="13FFD8EC" w14:textId="5668EC58" w:rsidR="00E51CCF" w:rsidRPr="002121A4" w:rsidRDefault="00E51CCF" w:rsidP="00A83093">
      <w:pPr>
        <w:pStyle w:val="berschrift1"/>
        <w:rPr>
          <w:lang w:val="en-GB"/>
        </w:rPr>
      </w:pPr>
      <w:bookmarkStart w:id="132" w:name="_Ref125374746"/>
      <w:bookmarkStart w:id="133" w:name="_Toc194577777"/>
      <w:r w:rsidRPr="002121A4">
        <w:rPr>
          <w:lang w:val="en-GB"/>
        </w:rPr>
        <w:lastRenderedPageBreak/>
        <w:t>Transparen</w:t>
      </w:r>
      <w:r w:rsidR="00994244" w:rsidRPr="002121A4">
        <w:rPr>
          <w:lang w:val="en-GB"/>
        </w:rPr>
        <w:t>c</w:t>
      </w:r>
      <w:r w:rsidRPr="002121A4">
        <w:rPr>
          <w:lang w:val="en-GB"/>
        </w:rPr>
        <w:t xml:space="preserve">y </w:t>
      </w:r>
      <w:r w:rsidR="00811C7D" w:rsidRPr="002121A4">
        <w:rPr>
          <w:lang w:val="en-GB"/>
        </w:rPr>
        <w:t>R</w:t>
      </w:r>
      <w:r w:rsidR="00905DFD" w:rsidRPr="002121A4">
        <w:rPr>
          <w:lang w:val="en-GB"/>
        </w:rPr>
        <w:t>equirement</w:t>
      </w:r>
      <w:r w:rsidR="00AF4C98" w:rsidRPr="002121A4">
        <w:rPr>
          <w:lang w:val="en-GB"/>
        </w:rPr>
        <w:t>s</w:t>
      </w:r>
      <w:bookmarkEnd w:id="132"/>
      <w:bookmarkEnd w:id="133"/>
    </w:p>
    <w:p w14:paraId="60015405" w14:textId="67472CA8" w:rsidR="00FF1C3B" w:rsidRPr="002121A4" w:rsidRDefault="00FF1C3B" w:rsidP="00A83093">
      <w:pPr>
        <w:pStyle w:val="berschrift2"/>
        <w:rPr>
          <w:lang w:val="en-GB"/>
        </w:rPr>
      </w:pPr>
      <w:bookmarkStart w:id="134" w:name="_Toc194577778"/>
      <w:r w:rsidRPr="002121A4">
        <w:rPr>
          <w:lang w:val="en-GB"/>
        </w:rPr>
        <w:t>Overview</w:t>
      </w:r>
      <w:bookmarkEnd w:id="134"/>
    </w:p>
    <w:p w14:paraId="30891C0C" w14:textId="54CA0C16" w:rsidR="00B979E7" w:rsidRPr="002121A4" w:rsidRDefault="00B979E7" w:rsidP="00B979E7">
      <w:pPr>
        <w:pStyle w:val="Standardwithparanumbering"/>
      </w:pPr>
      <w:r w:rsidRPr="002121A4">
        <w:t xml:space="preserve">Capital market legislation imposes a number of disclosure obligations on market participants. </w:t>
      </w:r>
      <w:r w:rsidR="00E948B9" w:rsidRPr="002121A4">
        <w:t>This reflects one of the overarching regulatory objectives of capital market law</w:t>
      </w:r>
      <w:r w:rsidR="00E47BD7" w:rsidRPr="002121A4">
        <w:t>:</w:t>
      </w:r>
      <w:r w:rsidR="00BA2B03">
        <w:t xml:space="preserve"> namely,</w:t>
      </w:r>
      <w:r w:rsidR="00E47BD7" w:rsidRPr="002121A4">
        <w:t xml:space="preserve"> to create transparency which is needed for a level playing field for capital market investors</w:t>
      </w:r>
      <w:r w:rsidR="00E948B9" w:rsidRPr="002121A4">
        <w:t xml:space="preserve"> (see para. </w:t>
      </w:r>
      <w:r w:rsidR="00E948B9" w:rsidRPr="002121A4">
        <w:fldChar w:fldCharType="begin"/>
      </w:r>
      <w:r w:rsidR="00E948B9" w:rsidRPr="002121A4">
        <w:instrText xml:space="preserve"> REF _Ref127633561 \r \h </w:instrText>
      </w:r>
      <w:r w:rsidR="00E948B9" w:rsidRPr="002121A4">
        <w:fldChar w:fldCharType="separate"/>
      </w:r>
      <w:r w:rsidR="00D56145">
        <w:t>18</w:t>
      </w:r>
      <w:r w:rsidR="00E948B9" w:rsidRPr="002121A4">
        <w:fldChar w:fldCharType="end"/>
      </w:r>
      <w:r w:rsidR="00E948B9" w:rsidRPr="002121A4">
        <w:t xml:space="preserve"> above). </w:t>
      </w:r>
      <w:r w:rsidR="0088053E" w:rsidRPr="002121A4">
        <w:t xml:space="preserve">Examples that we have </w:t>
      </w:r>
      <w:r w:rsidR="00E23814" w:rsidRPr="002121A4">
        <w:t>covered</w:t>
      </w:r>
      <w:r w:rsidR="0088053E" w:rsidRPr="002121A4">
        <w:t xml:space="preserve"> already include the requirement to publish securities prospectuses under </w:t>
      </w:r>
      <w:r w:rsidR="001870C0" w:rsidRPr="002121A4">
        <w:t>article </w:t>
      </w:r>
      <w:r w:rsidR="0088053E" w:rsidRPr="002121A4">
        <w:t xml:space="preserve">3 PR, and to disclose inside information under </w:t>
      </w:r>
      <w:r w:rsidR="001870C0" w:rsidRPr="002121A4">
        <w:t>article </w:t>
      </w:r>
      <w:r w:rsidR="0088053E" w:rsidRPr="002121A4">
        <w:t xml:space="preserve">17(1) MAR. </w:t>
      </w:r>
      <w:r w:rsidR="00440483" w:rsidRPr="002121A4">
        <w:t xml:space="preserve">Additional </w:t>
      </w:r>
      <w:r w:rsidR="00E948B9" w:rsidRPr="002121A4">
        <w:t>disclosure obligations can be found in other legislative acts such as the Short Selling Regulation</w:t>
      </w:r>
      <w:r w:rsidR="009257CC" w:rsidRPr="002121A4">
        <w:rPr>
          <w:rStyle w:val="Funotenzeichen"/>
        </w:rPr>
        <w:footnoteReference w:id="234"/>
      </w:r>
      <w:r w:rsidR="00E948B9" w:rsidRPr="002121A4">
        <w:t xml:space="preserve"> and the Shareholders’ Rights Directive</w:t>
      </w:r>
      <w:r w:rsidR="000C087F" w:rsidRPr="002121A4">
        <w:t>.</w:t>
      </w:r>
      <w:r w:rsidR="00CE40E2" w:rsidRPr="002121A4">
        <w:rPr>
          <w:rStyle w:val="Funotenzeichen"/>
        </w:rPr>
        <w:footnoteReference w:id="235"/>
      </w:r>
      <w:r w:rsidR="00E948B9" w:rsidRPr="002121A4">
        <w:t xml:space="preserve"> </w:t>
      </w:r>
      <w:r w:rsidR="0041789F" w:rsidRPr="002121A4">
        <w:t>Another central piece of legislation in this context is the Transparency Directive which is dealt with in this chapter.</w:t>
      </w:r>
    </w:p>
    <w:p w14:paraId="593183F7" w14:textId="469BBF29" w:rsidR="00E51CCF" w:rsidRPr="002121A4" w:rsidRDefault="002A2EF5" w:rsidP="002C3146">
      <w:pPr>
        <w:pStyle w:val="berschrift2"/>
        <w:rPr>
          <w:lang w:val="en-GB"/>
        </w:rPr>
      </w:pPr>
      <w:bookmarkStart w:id="135" w:name="_Ref127633729"/>
      <w:bookmarkStart w:id="136" w:name="_Toc194577779"/>
      <w:r w:rsidRPr="002121A4">
        <w:rPr>
          <w:lang w:val="en-GB"/>
        </w:rPr>
        <w:t>EU Transparency Directive</w:t>
      </w:r>
      <w:bookmarkEnd w:id="135"/>
      <w:bookmarkEnd w:id="136"/>
    </w:p>
    <w:p w14:paraId="5BA07757" w14:textId="4EBB474E" w:rsidR="00E51CCF" w:rsidRPr="002121A4" w:rsidRDefault="007C6E8D" w:rsidP="001C77A9">
      <w:pPr>
        <w:pStyle w:val="berschrift3"/>
        <w:rPr>
          <w:lang w:val="en-GB"/>
        </w:rPr>
      </w:pPr>
      <w:r w:rsidRPr="002121A4">
        <w:rPr>
          <w:lang w:val="en-GB"/>
        </w:rPr>
        <w:t>General provisions (chapter I TD)</w:t>
      </w:r>
    </w:p>
    <w:p w14:paraId="3DEB4205" w14:textId="267DC23D" w:rsidR="00377D98" w:rsidRPr="002121A4" w:rsidRDefault="006303D4" w:rsidP="00E44EC2">
      <w:pPr>
        <w:pStyle w:val="Standardwithparanumbering"/>
      </w:pPr>
      <w:r w:rsidRPr="002121A4">
        <w:t>In the view of the EU legislator, efficient, transparent and integrated securities markets contribute to a genuine single market in the EU. Disclosure of accurate, comprehensive and timely information about security issuers builds sustained investor confidence which in turn enhances market efficiency. To that end, the Transparency Directive compels security issuers to ensure appropriate transparency for investors through a regular flow of information</w:t>
      </w:r>
      <w:r w:rsidR="0095551E" w:rsidRPr="002121A4">
        <w:t>, essentially through the publicati</w:t>
      </w:r>
      <w:r w:rsidR="00E23814" w:rsidRPr="002121A4">
        <w:t>o</w:t>
      </w:r>
      <w:r w:rsidR="0095551E" w:rsidRPr="002121A4">
        <w:t xml:space="preserve">n of annual and </w:t>
      </w:r>
      <w:r w:rsidR="00120727" w:rsidRPr="002121A4">
        <w:t xml:space="preserve">half-yearly </w:t>
      </w:r>
      <w:r w:rsidR="0095551E" w:rsidRPr="002121A4">
        <w:t>reports complied under applicable accounting rules</w:t>
      </w:r>
      <w:r w:rsidR="00C01F58" w:rsidRPr="002121A4">
        <w:t xml:space="preserve">. </w:t>
      </w:r>
      <w:r w:rsidR="00C956E6" w:rsidRPr="002121A4">
        <w:t>The TD</w:t>
      </w:r>
      <w:r w:rsidR="00C01F58" w:rsidRPr="002121A4">
        <w:t xml:space="preserve"> </w:t>
      </w:r>
      <w:r w:rsidRPr="002121A4">
        <w:t xml:space="preserve">also imposes on shareholders holding voting rights or </w:t>
      </w:r>
      <w:r w:rsidR="00E23814" w:rsidRPr="002121A4">
        <w:t xml:space="preserve">related </w:t>
      </w:r>
      <w:r w:rsidRPr="002121A4">
        <w:t>financial instruments to inform issuers of the acquisition of or other changes in major holdings in companies so that these issuers are in a position to keep the public informed.</w:t>
      </w:r>
      <w:r w:rsidR="00BC5BE7" w:rsidRPr="002121A4">
        <w:rPr>
          <w:rStyle w:val="Funotenzeichen"/>
        </w:rPr>
        <w:footnoteReference w:id="236"/>
      </w:r>
    </w:p>
    <w:p w14:paraId="1687C54B" w14:textId="5582EFF6" w:rsidR="00286182" w:rsidRPr="002121A4" w:rsidRDefault="006865D3" w:rsidP="00E44EC2">
      <w:pPr>
        <w:pStyle w:val="Standardwithparanumbering"/>
      </w:pPr>
      <w:r w:rsidRPr="002121A4">
        <w:t xml:space="preserve">As a </w:t>
      </w:r>
      <w:r w:rsidR="00286182" w:rsidRPr="002121A4">
        <w:t>directive</w:t>
      </w:r>
      <w:r w:rsidRPr="002121A4">
        <w:t xml:space="preserve">, the TD is </w:t>
      </w:r>
      <w:r w:rsidR="00286182" w:rsidRPr="002121A4">
        <w:t xml:space="preserve">not of immediate application, </w:t>
      </w:r>
      <w:r w:rsidRPr="002121A4">
        <w:t xml:space="preserve">and </w:t>
      </w:r>
      <w:r w:rsidR="00286182" w:rsidRPr="002121A4">
        <w:t>requires Member States to transpose the directive into domestic laws. In that regard, the directive pursues a minimum harmon</w:t>
      </w:r>
      <w:r w:rsidR="00706D6F" w:rsidRPr="002121A4">
        <w:t>ization</w:t>
      </w:r>
      <w:r w:rsidR="00286182" w:rsidRPr="002121A4">
        <w:t xml:space="preserve"> approach in that it allows home Member States to impose more stringent requirements than those laid down in the directive.</w:t>
      </w:r>
      <w:r w:rsidR="003C5356" w:rsidRPr="002121A4">
        <w:rPr>
          <w:rStyle w:val="Funotenzeichen"/>
        </w:rPr>
        <w:footnoteReference w:id="237"/>
      </w:r>
      <w:r w:rsidR="00286182" w:rsidRPr="002121A4">
        <w:t xml:space="preserve"> </w:t>
      </w:r>
      <w:r w:rsidR="00817536" w:rsidRPr="002121A4">
        <w:t xml:space="preserve">However, imposing requirements that go beyond the directive are subject to specific </w:t>
      </w:r>
      <w:r w:rsidR="006C327A" w:rsidRPr="002121A4">
        <w:t>condition</w:t>
      </w:r>
      <w:r w:rsidR="00817536" w:rsidRPr="002121A4">
        <w:t>s in some cases,</w:t>
      </w:r>
      <w:r w:rsidR="003C5356" w:rsidRPr="002121A4">
        <w:rPr>
          <w:rStyle w:val="Funotenzeichen"/>
        </w:rPr>
        <w:footnoteReference w:id="238"/>
      </w:r>
      <w:r w:rsidR="00817536" w:rsidRPr="002121A4">
        <w:t xml:space="preserve"> and in some cases expressly prohibited.</w:t>
      </w:r>
      <w:r w:rsidR="003C5356" w:rsidRPr="002121A4">
        <w:rPr>
          <w:rStyle w:val="Funotenzeichen"/>
        </w:rPr>
        <w:footnoteReference w:id="239"/>
      </w:r>
    </w:p>
    <w:p w14:paraId="5621E458" w14:textId="2450FE1D" w:rsidR="00817536" w:rsidRPr="002121A4" w:rsidRDefault="00166B31" w:rsidP="00E44EC2">
      <w:pPr>
        <w:pStyle w:val="Standardwithparanumbering"/>
      </w:pPr>
      <w:r w:rsidRPr="002121A4">
        <w:lastRenderedPageBreak/>
        <w:t>One important restriction to bear in mind is that the TD only applies to issuers as defined in the directive, i.e., issuers whose securities are admitted to trading on a regulated market.</w:t>
      </w:r>
      <w:r w:rsidR="00F962E3" w:rsidRPr="002121A4">
        <w:rPr>
          <w:rStyle w:val="Funotenzeichen"/>
        </w:rPr>
        <w:footnoteReference w:id="240"/>
      </w:r>
      <w:r w:rsidRPr="002121A4">
        <w:t xml:space="preserve"> Accordingly, disclosure requirements for issuers outside regulated markets are not subject to the directive, and corresponding disclosure obligations depend on domestic law</w:t>
      </w:r>
      <w:r w:rsidR="006C327A" w:rsidRPr="002121A4">
        <w:t xml:space="preserve"> (e.g., in Germany, </w:t>
      </w:r>
      <w:r w:rsidR="00823ED6" w:rsidRPr="002121A4">
        <w:t>pursuant to</w:t>
      </w:r>
      <w:r w:rsidR="00D501D2" w:rsidRPr="002121A4">
        <w:t xml:space="preserve"> </w:t>
      </w:r>
      <w:r w:rsidR="006C327A" w:rsidRPr="002121A4">
        <w:t xml:space="preserve">§§ 20, 21 </w:t>
      </w:r>
      <w:proofErr w:type="spellStart"/>
      <w:r w:rsidR="006C327A" w:rsidRPr="002121A4">
        <w:t>AktG</w:t>
      </w:r>
      <w:proofErr w:type="spellEnd"/>
      <w:r w:rsidR="006C327A" w:rsidRPr="002121A4">
        <w:t>)</w:t>
      </w:r>
      <w:r w:rsidRPr="002121A4">
        <w:t>.</w:t>
      </w:r>
      <w:r w:rsidR="00E0439F">
        <w:t xml:space="preserve"> The Directive ceases to apply where admission to trading for shares is revoked (delisting or </w:t>
      </w:r>
      <w:r w:rsidR="00256D17">
        <w:t>downlisting</w:t>
      </w:r>
      <w:r w:rsidR="00E0439F">
        <w:t>).</w:t>
      </w:r>
      <w:r w:rsidR="00E0439F">
        <w:rPr>
          <w:rStyle w:val="Funotenzeichen"/>
        </w:rPr>
        <w:footnoteReference w:id="241"/>
      </w:r>
    </w:p>
    <w:p w14:paraId="360F31ED" w14:textId="7FCF4847" w:rsidR="00E51CCF" w:rsidRPr="002121A4" w:rsidRDefault="00E51CCF" w:rsidP="001C77A9">
      <w:pPr>
        <w:pStyle w:val="berschrift3"/>
        <w:rPr>
          <w:lang w:val="en-GB"/>
        </w:rPr>
      </w:pPr>
      <w:r w:rsidRPr="002121A4">
        <w:rPr>
          <w:lang w:val="en-GB"/>
        </w:rPr>
        <w:t>Periodic information</w:t>
      </w:r>
      <w:r w:rsidR="007624AB" w:rsidRPr="002121A4">
        <w:rPr>
          <w:lang w:val="en-GB"/>
        </w:rPr>
        <w:t xml:space="preserve"> (chapter II TD)</w:t>
      </w:r>
      <w:r w:rsidRPr="002121A4">
        <w:rPr>
          <w:lang w:val="en-GB"/>
        </w:rPr>
        <w:t xml:space="preserve"> </w:t>
      </w:r>
    </w:p>
    <w:p w14:paraId="043F24B9" w14:textId="28F0D616" w:rsidR="00600237" w:rsidRPr="002121A4" w:rsidRDefault="00A836E0" w:rsidP="00377D98">
      <w:pPr>
        <w:pStyle w:val="Standardwithparanumbering"/>
        <w:rPr>
          <w:i/>
        </w:rPr>
      </w:pPr>
      <w:r w:rsidRPr="002121A4">
        <w:t xml:space="preserve">Chapter II of the TD deals with periodic information, </w:t>
      </w:r>
      <w:r w:rsidR="00600237" w:rsidRPr="002121A4">
        <w:t xml:space="preserve">the most important examples being </w:t>
      </w:r>
      <w:r w:rsidR="00E51CCF" w:rsidRPr="002121A4">
        <w:t>annual</w:t>
      </w:r>
      <w:r w:rsidRPr="002121A4">
        <w:t xml:space="preserve"> and</w:t>
      </w:r>
      <w:r w:rsidR="00E51CCF" w:rsidRPr="002121A4">
        <w:t xml:space="preserve"> half-yearly financial </w:t>
      </w:r>
      <w:r w:rsidRPr="002121A4">
        <w:t>reports (</w:t>
      </w:r>
      <w:r w:rsidR="001870C0" w:rsidRPr="002121A4">
        <w:t>articles </w:t>
      </w:r>
      <w:r w:rsidRPr="002121A4">
        <w:t>4</w:t>
      </w:r>
      <w:r w:rsidR="00600237" w:rsidRPr="002121A4">
        <w:t xml:space="preserve"> and</w:t>
      </w:r>
      <w:r w:rsidRPr="002121A4">
        <w:t xml:space="preserve"> 5 TD)</w:t>
      </w:r>
      <w:r w:rsidR="00600237" w:rsidRPr="002121A4">
        <w:t xml:space="preserve">. The directive sets down timelines for the publication of these reports, which has to occur within four months after </w:t>
      </w:r>
      <w:r w:rsidR="00D63AAA" w:rsidRPr="002121A4">
        <w:t xml:space="preserve">the </w:t>
      </w:r>
      <w:r w:rsidR="00600237" w:rsidRPr="002121A4">
        <w:t xml:space="preserve">end </w:t>
      </w:r>
      <w:r w:rsidR="00D63AAA" w:rsidRPr="002121A4">
        <w:t xml:space="preserve">of the financial year </w:t>
      </w:r>
      <w:r w:rsidR="00600237" w:rsidRPr="002121A4">
        <w:t>for annual reports,</w:t>
      </w:r>
      <w:r w:rsidR="00600237" w:rsidRPr="002121A4">
        <w:rPr>
          <w:rStyle w:val="Funotenzeichen"/>
        </w:rPr>
        <w:footnoteReference w:id="242"/>
      </w:r>
      <w:r w:rsidR="00D63AAA" w:rsidRPr="002121A4">
        <w:t xml:space="preserve"> and three months after the end of the relevant period in case of half-yearly reports.</w:t>
      </w:r>
      <w:r w:rsidR="00D63AAA" w:rsidRPr="002121A4">
        <w:rPr>
          <w:rStyle w:val="Funotenzeichen"/>
        </w:rPr>
        <w:footnoteReference w:id="243"/>
      </w:r>
      <w:r w:rsidR="00D63AAA" w:rsidRPr="002121A4">
        <w:t xml:space="preserve"> </w:t>
      </w:r>
      <w:r w:rsidR="00220728" w:rsidRPr="002121A4">
        <w:t>These reports must remain publicly available for at least 10 years.</w:t>
      </w:r>
      <w:r w:rsidR="00220728" w:rsidRPr="002121A4">
        <w:rPr>
          <w:rStyle w:val="Funotenzeichen"/>
        </w:rPr>
        <w:footnoteReference w:id="244"/>
      </w:r>
      <w:r w:rsidR="00220728" w:rsidRPr="002121A4">
        <w:t xml:space="preserve"> </w:t>
      </w:r>
    </w:p>
    <w:p w14:paraId="11E3BE0F" w14:textId="77777777" w:rsidR="00706C9A" w:rsidRPr="00706C9A" w:rsidRDefault="00E65E5D" w:rsidP="00934AB0">
      <w:pPr>
        <w:pStyle w:val="Standardwithparanumbering"/>
        <w:rPr>
          <w:i/>
        </w:rPr>
      </w:pPr>
      <w:r w:rsidRPr="002121A4">
        <w:t>The directive also defines the format of these reports</w:t>
      </w:r>
      <w:r w:rsidR="00086C7C" w:rsidRPr="002121A4">
        <w:t>:</w:t>
      </w:r>
      <w:r w:rsidRPr="002121A4">
        <w:t xml:space="preserve"> </w:t>
      </w:r>
      <w:r w:rsidR="00086C7C" w:rsidRPr="002121A4">
        <w:t xml:space="preserve">An </w:t>
      </w:r>
      <w:r w:rsidRPr="002121A4">
        <w:t xml:space="preserve">annual report shall comprise audited financial statements, the management report, and </w:t>
      </w:r>
      <w:r w:rsidR="002C480F">
        <w:t>a “true and fair view” confirmation from the management of the issuer.</w:t>
      </w:r>
      <w:r w:rsidR="00E27CEC" w:rsidRPr="002121A4">
        <w:rPr>
          <w:rStyle w:val="Funotenzeichen"/>
        </w:rPr>
        <w:footnoteReference w:id="245"/>
      </w:r>
      <w:r w:rsidR="00E27CEC" w:rsidRPr="002121A4">
        <w:t xml:space="preserve"> </w:t>
      </w:r>
      <w:r w:rsidR="002C480F">
        <w:t>The financial statements include at least a balance sheet, a profit and loss account, and notes.</w:t>
      </w:r>
      <w:r w:rsidR="002C480F">
        <w:rPr>
          <w:rStyle w:val="Funotenzeichen"/>
        </w:rPr>
        <w:footnoteReference w:id="246"/>
      </w:r>
      <w:r w:rsidR="009C7106">
        <w:t xml:space="preserve"> </w:t>
      </w:r>
      <w:r w:rsidR="009C7106" w:rsidRPr="009C7106">
        <w:t xml:space="preserve">The management report </w:t>
      </w:r>
      <w:r w:rsidR="009C7106">
        <w:t xml:space="preserve">includes </w:t>
      </w:r>
      <w:r w:rsidR="009C7106" w:rsidRPr="009C7106">
        <w:t xml:space="preserve">a fair review of the development and performance of the </w:t>
      </w:r>
      <w:r w:rsidR="009C7106">
        <w:t>issuer’</w:t>
      </w:r>
      <w:r w:rsidR="009C7106" w:rsidRPr="009C7106">
        <w:t>s business and of its position, together with a description of the principal risks and uncertainties that it faces.</w:t>
      </w:r>
      <w:r w:rsidR="009C7106">
        <w:rPr>
          <w:rStyle w:val="Funotenzeichen"/>
        </w:rPr>
        <w:footnoteReference w:id="247"/>
      </w:r>
      <w:r w:rsidR="009C7106">
        <w:t xml:space="preserve"> The “true and fair view” confirmation is a s</w:t>
      </w:r>
      <w:r w:rsidR="002C480F" w:rsidRPr="002121A4">
        <w:t>tatement of the persons responsible within the issuer to the effect that, to the best of their knowledge, the financial statements prepared in accordance with applicable accounting standards give a true and fair view of the situation of the issuer, and that the management report includes a fair review of the position of the issuer, together with a description of principal risks and uncertainties</w:t>
      </w:r>
      <w:r w:rsidR="009C7106">
        <w:t xml:space="preserve">. </w:t>
      </w:r>
      <w:r w:rsidR="00B419D9" w:rsidRPr="002121A4">
        <w:t>Following recent legislative reform, this statement must also include a confirmation that the management report is, where appropriate, prepared in accordance with EU sustainability reporting standards.</w:t>
      </w:r>
      <w:r w:rsidR="00B419D9" w:rsidRPr="002121A4">
        <w:rPr>
          <w:rStyle w:val="Funotenzeichen"/>
        </w:rPr>
        <w:footnoteReference w:id="248"/>
      </w:r>
      <w:r w:rsidR="00706C9A">
        <w:t xml:space="preserve"> </w:t>
      </w:r>
    </w:p>
    <w:p w14:paraId="7AE3F1E6" w14:textId="449779FC" w:rsidR="004469C8" w:rsidRPr="00706C9A" w:rsidRDefault="00E27CEC" w:rsidP="00092E4C">
      <w:pPr>
        <w:pStyle w:val="Standardwithparanumbering"/>
        <w:rPr>
          <w:i/>
        </w:rPr>
      </w:pPr>
      <w:r w:rsidRPr="002121A4">
        <w:t xml:space="preserve">The drawing up of the annual report is largely a matter of EU legislation on accounting and consolidated accounts (cf. the references in </w:t>
      </w:r>
      <w:r w:rsidR="001870C0" w:rsidRPr="002121A4">
        <w:t>article </w:t>
      </w:r>
      <w:r w:rsidRPr="002121A4">
        <w:t xml:space="preserve">4(3), (4), (5) TD). </w:t>
      </w:r>
      <w:r w:rsidR="004469C8">
        <w:t>For the format of the half-yearly financial reports, see article 5(2) TD together with implementing domestic legislation.</w:t>
      </w:r>
      <w:r w:rsidR="004469C8">
        <w:rPr>
          <w:rStyle w:val="Funotenzeichen"/>
        </w:rPr>
        <w:footnoteReference w:id="249"/>
      </w:r>
      <w:r w:rsidR="00706C9A">
        <w:t xml:space="preserve"> </w:t>
      </w:r>
      <w:r w:rsidR="00706C9A" w:rsidRPr="002121A4">
        <w:t>To make sure reports are comparable, they have to be prepared in a single electronic reporting format, also referred to as the “European Single Electronic Format” (ESEF).</w:t>
      </w:r>
      <w:r w:rsidR="00706C9A" w:rsidRPr="002121A4">
        <w:rPr>
          <w:rStyle w:val="Funotenzeichen"/>
        </w:rPr>
        <w:footnoteReference w:id="250"/>
      </w:r>
    </w:p>
    <w:p w14:paraId="75F05F2A" w14:textId="43458B86" w:rsidR="00706C9A" w:rsidRPr="002121A4" w:rsidRDefault="00706C9A" w:rsidP="008A719F">
      <w:pPr>
        <w:pStyle w:val="Standardwithparanumbering"/>
        <w:rPr>
          <w:i/>
        </w:rPr>
      </w:pPr>
      <w:r w:rsidRPr="002121A4">
        <w:t xml:space="preserve">The financial reporting requirements under articles 4 and 5 TD do not apply to States, certain public bodies, and issuers with only wholesale debt instruments (denomination of at least €100k) listed </w:t>
      </w:r>
      <w:r w:rsidRPr="002121A4">
        <w:lastRenderedPageBreak/>
        <w:t>on a regulated market.</w:t>
      </w:r>
      <w:r w:rsidRPr="002121A4">
        <w:rPr>
          <w:rStyle w:val="Funotenzeichen"/>
        </w:rPr>
        <w:footnoteReference w:id="251"/>
      </w:r>
      <w:r w:rsidRPr="002121A4">
        <w:t xml:space="preserve"> Issuers in the mining and forestry industry also have to disclose a report on payments to governments.</w:t>
      </w:r>
      <w:r w:rsidRPr="002121A4">
        <w:rPr>
          <w:rStyle w:val="Funotenzeichen"/>
        </w:rPr>
        <w:footnoteReference w:id="252"/>
      </w:r>
      <w:r w:rsidRPr="002121A4">
        <w:t xml:space="preserve"> The</w:t>
      </w:r>
      <w:r w:rsidR="00310800">
        <w:t xml:space="preserve"> periodic</w:t>
      </w:r>
      <w:r w:rsidRPr="002121A4">
        <w:t xml:space="preserve"> reporting requirements </w:t>
      </w:r>
      <w:r w:rsidR="00310800">
        <w:t xml:space="preserve">pursuant to </w:t>
      </w:r>
      <w:r w:rsidRPr="002121A4">
        <w:t xml:space="preserve">the TD are implemented in domestic law in Germany in §§ 114ff. </w:t>
      </w:r>
      <w:proofErr w:type="spellStart"/>
      <w:r w:rsidRPr="002121A4">
        <w:t>WpHG</w:t>
      </w:r>
      <w:proofErr w:type="spellEnd"/>
      <w:r w:rsidRPr="002121A4">
        <w:t>.</w:t>
      </w:r>
    </w:p>
    <w:p w14:paraId="0DC56AB3" w14:textId="01DC3E8D" w:rsidR="000A4C6D" w:rsidRPr="002121A4" w:rsidRDefault="008A719F" w:rsidP="00CB43CE">
      <w:pPr>
        <w:pStyle w:val="Standardwithparanumbering"/>
        <w:rPr>
          <w:i/>
        </w:rPr>
      </w:pPr>
      <w:r w:rsidRPr="002121A4">
        <w:t xml:space="preserve">Pursuant to </w:t>
      </w:r>
      <w:r w:rsidR="001870C0" w:rsidRPr="002121A4">
        <w:t>article </w:t>
      </w:r>
      <w:r w:rsidRPr="002121A4">
        <w:t xml:space="preserve">7 TD, Member States shall ensure that responsibility for the information to be drawn up in accordance with </w:t>
      </w:r>
      <w:r w:rsidR="001870C0" w:rsidRPr="002121A4">
        <w:t>articles </w:t>
      </w:r>
      <w:r w:rsidRPr="002121A4">
        <w:t xml:space="preserve">4, 5, 6 </w:t>
      </w:r>
      <w:r w:rsidR="00F20426" w:rsidRPr="002121A4">
        <w:t xml:space="preserve">and </w:t>
      </w:r>
      <w:r w:rsidRPr="002121A4">
        <w:t>16 TD lies at least with the issuer or its administrative, management or supervisory bodies. They must ensure that their laws on liability apply to these perso</w:t>
      </w:r>
      <w:r w:rsidR="00F20426" w:rsidRPr="002121A4">
        <w:t>n</w:t>
      </w:r>
      <w:r w:rsidRPr="002121A4">
        <w:t xml:space="preserve">s and bodies. Under German domestic law, liability is essentially a question of tort law, in particular liability under § 823(2) BGB where there is an infringement of § 400(1) no. 1 </w:t>
      </w:r>
      <w:proofErr w:type="spellStart"/>
      <w:r w:rsidRPr="002121A4">
        <w:t>AktG</w:t>
      </w:r>
      <w:proofErr w:type="spellEnd"/>
      <w:r w:rsidRPr="002121A4">
        <w:t xml:space="preserve"> </w:t>
      </w:r>
      <w:r w:rsidR="00823ED6" w:rsidRPr="002121A4">
        <w:t xml:space="preserve">or </w:t>
      </w:r>
      <w:r w:rsidRPr="002121A4">
        <w:t xml:space="preserve">§ 331(1) no. 1a HGB </w:t>
      </w:r>
      <w:r w:rsidR="008378F3" w:rsidRPr="002121A4">
        <w:t>which</w:t>
      </w:r>
      <w:r w:rsidR="00762C53" w:rsidRPr="002121A4">
        <w:t xml:space="preserve"> make it a criminal offense to make incorrect or misleading statements in the context of financial reporting</w:t>
      </w:r>
      <w:r w:rsidRPr="002121A4">
        <w:t>.</w:t>
      </w:r>
    </w:p>
    <w:p w14:paraId="41D83225" w14:textId="3A819F10" w:rsidR="001C77A9" w:rsidRPr="002121A4" w:rsidRDefault="001C77A9" w:rsidP="001C77A9">
      <w:pPr>
        <w:pStyle w:val="berschrift3"/>
        <w:rPr>
          <w:lang w:val="en-GB"/>
        </w:rPr>
      </w:pPr>
      <w:r w:rsidRPr="002121A4">
        <w:rPr>
          <w:lang w:val="en-GB"/>
        </w:rPr>
        <w:t>Ongoing information (chapter III TD)</w:t>
      </w:r>
    </w:p>
    <w:p w14:paraId="19C00C19" w14:textId="4985AC1D" w:rsidR="00B7029C" w:rsidRPr="002121A4" w:rsidRDefault="00B7029C" w:rsidP="00B7029C">
      <w:pPr>
        <w:pStyle w:val="Standardwithparanumbering"/>
      </w:pPr>
      <w:r w:rsidRPr="002121A4">
        <w:t xml:space="preserve">Chapter III of the Transparency Directive deals with ongoing information. It covers both disclosure of important participation in listed issuers under </w:t>
      </w:r>
      <w:r w:rsidR="001870C0" w:rsidRPr="002121A4">
        <w:t>articles </w:t>
      </w:r>
      <w:r w:rsidRPr="002121A4">
        <w:t>9ff. TD, and information that issuers have to disclose to their investors (i.e., shareholders and bondholders)</w:t>
      </w:r>
      <w:r w:rsidR="001457DF" w:rsidRPr="002121A4">
        <w:t xml:space="preserve"> pursuant to </w:t>
      </w:r>
      <w:r w:rsidR="001870C0" w:rsidRPr="002121A4">
        <w:t>articles </w:t>
      </w:r>
      <w:r w:rsidR="001457DF" w:rsidRPr="002121A4">
        <w:t>17 and 18 TD</w:t>
      </w:r>
      <w:r w:rsidRPr="002121A4">
        <w:t>.</w:t>
      </w:r>
    </w:p>
    <w:p w14:paraId="7DB9589E" w14:textId="30949753" w:rsidR="00E51CCF" w:rsidRPr="002121A4" w:rsidRDefault="00E51CCF" w:rsidP="00FF1C3B">
      <w:pPr>
        <w:pStyle w:val="berschrift4"/>
        <w:rPr>
          <w:lang w:val="en-GB"/>
        </w:rPr>
      </w:pPr>
      <w:r w:rsidRPr="002121A4">
        <w:rPr>
          <w:lang w:val="en-GB"/>
        </w:rPr>
        <w:t>Major holdings</w:t>
      </w:r>
    </w:p>
    <w:p w14:paraId="3F7D633C" w14:textId="5B53F387" w:rsidR="001643CE" w:rsidRPr="002121A4" w:rsidRDefault="001870C0" w:rsidP="00FD3B9E">
      <w:pPr>
        <w:pStyle w:val="Standardwithparanumbering"/>
      </w:pPr>
      <w:r w:rsidRPr="002121A4">
        <w:t>Articles </w:t>
      </w:r>
      <w:r w:rsidR="0092287D" w:rsidRPr="002121A4">
        <w:t>9ff. TD create a d</w:t>
      </w:r>
      <w:r w:rsidR="00E51CCF" w:rsidRPr="002121A4">
        <w:t xml:space="preserve">isclosure regime for </w:t>
      </w:r>
      <w:r w:rsidR="00A32F00" w:rsidRPr="002121A4">
        <w:t xml:space="preserve">major holdings </w:t>
      </w:r>
      <w:r w:rsidR="001643CE" w:rsidRPr="002121A4">
        <w:t>in shares</w:t>
      </w:r>
      <w:r w:rsidR="0092287D" w:rsidRPr="002121A4">
        <w:t xml:space="preserve"> that is designed to enable investors to form a view on the influence that major shareholders have, in particular as regards voting at general assemblies. The principle under </w:t>
      </w:r>
      <w:r w:rsidRPr="002121A4">
        <w:t>article </w:t>
      </w:r>
      <w:r w:rsidR="0092287D" w:rsidRPr="002121A4">
        <w:t>9(1)</w:t>
      </w:r>
      <w:r w:rsidR="00CC01B3" w:rsidRPr="002121A4">
        <w:t xml:space="preserve"> TD</w:t>
      </w:r>
      <w:r w:rsidR="0092287D" w:rsidRPr="002121A4">
        <w:t xml:space="preserve"> is that a shareholder holding shares with voting rights is obliged to notify the issuer whenever</w:t>
      </w:r>
      <w:r w:rsidR="00AC2DCA" w:rsidRPr="002121A4">
        <w:t xml:space="preserve"> as a result of the acquisition or the disposal of shares</w:t>
      </w:r>
      <w:r w:rsidR="0092287D" w:rsidRPr="002121A4">
        <w:t xml:space="preserve"> the proportion of voting rights </w:t>
      </w:r>
      <w:r w:rsidR="00AC2DCA" w:rsidRPr="002121A4">
        <w:t xml:space="preserve">held by the shareholder </w:t>
      </w:r>
      <w:r w:rsidR="0092287D" w:rsidRPr="002121A4">
        <w:t>reaches, exceeds or falls below the thresholds of 5%, 10%, 15%, 20%, 25%, 30%, 50%, and 75%. Such notification must also be filed with the competent authority of the issuer’s home Member State.</w:t>
      </w:r>
      <w:r w:rsidR="00755CB1" w:rsidRPr="002121A4">
        <w:rPr>
          <w:rStyle w:val="Funotenzeichen"/>
        </w:rPr>
        <w:footnoteReference w:id="253"/>
      </w:r>
      <w:r w:rsidR="00AC2DCA" w:rsidRPr="002121A4">
        <w:t xml:space="preserve"> </w:t>
      </w:r>
      <w:r w:rsidR="000A274D" w:rsidRPr="002121A4">
        <w:t xml:space="preserve">A </w:t>
      </w:r>
      <w:r w:rsidR="00755CB1" w:rsidRPr="002121A4">
        <w:t xml:space="preserve">corresponding </w:t>
      </w:r>
      <w:r w:rsidR="000A274D" w:rsidRPr="002121A4">
        <w:t>disclosure obligation exists where thresholds are crossed as a result of events changing the breakdown of voting rights (</w:t>
      </w:r>
      <w:r w:rsidRPr="002121A4">
        <w:t>article </w:t>
      </w:r>
      <w:r w:rsidR="000A274D" w:rsidRPr="002121A4">
        <w:t xml:space="preserve">9(2) TD) which in turn have to be disclosed by the issuer under </w:t>
      </w:r>
      <w:r w:rsidRPr="002121A4">
        <w:t>article </w:t>
      </w:r>
      <w:r w:rsidR="000A274D" w:rsidRPr="002121A4">
        <w:t>15 TD.</w:t>
      </w:r>
      <w:r w:rsidR="00231F80" w:rsidRPr="002121A4">
        <w:t xml:space="preserve"> Certain exemptions apply to market makers and trading book positions under </w:t>
      </w:r>
      <w:r w:rsidRPr="002121A4">
        <w:t>article </w:t>
      </w:r>
      <w:r w:rsidR="00231F80" w:rsidRPr="002121A4">
        <w:t>9(5), (6) TD.</w:t>
      </w:r>
    </w:p>
    <w:p w14:paraId="5BD1FAE4" w14:textId="77777777" w:rsidR="00EF5B70" w:rsidRPr="002121A4" w:rsidRDefault="00EF5B70" w:rsidP="00EF5B70">
      <w:pPr>
        <w:pStyle w:val="Standardwithparanumbering"/>
      </w:pPr>
      <w:bookmarkStart w:id="137" w:name="_Ref129771839"/>
      <w:r w:rsidRPr="002121A4">
        <w:t xml:space="preserve">Major holding disclosure under the TD is implemented in Germany in §§ 33ff. </w:t>
      </w:r>
      <w:proofErr w:type="spellStart"/>
      <w:r w:rsidRPr="002121A4">
        <w:t>WpHG</w:t>
      </w:r>
      <w:proofErr w:type="spellEnd"/>
      <w:r w:rsidRPr="002121A4">
        <w:t>. Due to the minimum harmonization approach of the directive, some provisions go beyond what is required as a matter of EU law (this excess in implementation is colloquially referred to as “gold-plating”). For example, the initial threshold for voting rights disclosure in Germany is at 3%</w:t>
      </w:r>
      <w:r w:rsidRPr="002121A4">
        <w:rPr>
          <w:rStyle w:val="Funotenzeichen"/>
        </w:rPr>
        <w:footnoteReference w:id="254"/>
      </w:r>
      <w:r w:rsidRPr="002121A4">
        <w:t xml:space="preserve"> and therefore lower than would be required under article 9(1) TD.</w:t>
      </w:r>
      <w:r w:rsidRPr="002121A4">
        <w:rPr>
          <w:rStyle w:val="Funotenzeichen"/>
        </w:rPr>
        <w:footnoteReference w:id="255"/>
      </w:r>
      <w:r w:rsidRPr="002121A4">
        <w:t xml:space="preserve"> In addition, German law also requires a shareholder reaching or crossing a threshold of 10% to make a “declaration of intent” and to disclose whether he pursues strategic aims or profits from trades, whether he intends to acquire additional voting rights in the course of the next 12 months, to influence the composition of corporate boards or a material change of the capital structure of the issuer.</w:t>
      </w:r>
      <w:bookmarkEnd w:id="137"/>
      <w:r w:rsidRPr="002121A4">
        <w:rPr>
          <w:rStyle w:val="Funotenzeichen"/>
        </w:rPr>
        <w:footnoteReference w:id="256"/>
      </w:r>
    </w:p>
    <w:p w14:paraId="19CDC82D" w14:textId="6AB938E8" w:rsidR="009D57E1" w:rsidRPr="002121A4" w:rsidRDefault="004535CB" w:rsidP="009D57E1">
      <w:pPr>
        <w:pStyle w:val="Standardwithparanumbering"/>
      </w:pPr>
      <w:bookmarkStart w:id="138" w:name="_Ref129776620"/>
      <w:r w:rsidRPr="002121A4">
        <w:lastRenderedPageBreak/>
        <w:t>In an attempt to maxim</w:t>
      </w:r>
      <w:r w:rsidR="00706D6F" w:rsidRPr="002121A4">
        <w:t>ize</w:t>
      </w:r>
      <w:r w:rsidRPr="002121A4">
        <w:t xml:space="preserve"> transparency, and to avoid circumvention of disclosure obligations by financial engineering or artificial structures, the Directive extends the disclosure obligation to certain types of scenarios of indirect </w:t>
      </w:r>
      <w:r w:rsidR="00E96BB4" w:rsidRPr="002121A4">
        <w:t>acquisition</w:t>
      </w:r>
      <w:r w:rsidRPr="002121A4">
        <w:t xml:space="preserve"> and disposal (</w:t>
      </w:r>
      <w:r w:rsidR="001870C0" w:rsidRPr="002121A4">
        <w:t>article </w:t>
      </w:r>
      <w:r w:rsidRPr="002121A4">
        <w:t>10) and certain types of financial instruments (</w:t>
      </w:r>
      <w:r w:rsidR="001870C0" w:rsidRPr="002121A4">
        <w:t>articles </w:t>
      </w:r>
      <w:r w:rsidRPr="002121A4">
        <w:t>13, 13a TD</w:t>
      </w:r>
      <w:r w:rsidR="005B27F0" w:rsidRPr="002121A4">
        <w:t xml:space="preserve">, </w:t>
      </w:r>
      <w:r w:rsidR="005B27F0" w:rsidRPr="002121A4">
        <w:rPr>
          <w:rFonts w:cs="Times New Roman"/>
        </w:rPr>
        <w:t xml:space="preserve">→ </w:t>
      </w:r>
      <w:r w:rsidR="005B27F0" w:rsidRPr="002121A4">
        <w:t xml:space="preserve">see </w:t>
      </w:r>
      <w:r w:rsidR="005B27F0" w:rsidRPr="002121A4">
        <w:fldChar w:fldCharType="begin"/>
      </w:r>
      <w:r w:rsidR="005B27F0" w:rsidRPr="002121A4">
        <w:instrText xml:space="preserve"> REF _Ref131682958 \r \h </w:instrText>
      </w:r>
      <w:r w:rsidR="005B27F0" w:rsidRPr="002121A4">
        <w:fldChar w:fldCharType="separate"/>
      </w:r>
      <w:r w:rsidR="00D56145">
        <w:t>Case Study 26</w:t>
      </w:r>
      <w:r w:rsidR="005B27F0" w:rsidRPr="002121A4">
        <w:fldChar w:fldCharType="end"/>
      </w:r>
      <w:r w:rsidR="005B27F0" w:rsidRPr="002121A4">
        <w:t>, p. </w:t>
      </w:r>
      <w:r w:rsidR="005B27F0" w:rsidRPr="002121A4">
        <w:fldChar w:fldCharType="begin"/>
      </w:r>
      <w:r w:rsidR="005B27F0" w:rsidRPr="002121A4">
        <w:instrText xml:space="preserve"> PAGEREF _Ref131682958 \h </w:instrText>
      </w:r>
      <w:r w:rsidR="005B27F0" w:rsidRPr="002121A4">
        <w:fldChar w:fldCharType="separate"/>
      </w:r>
      <w:r w:rsidR="00D56145">
        <w:rPr>
          <w:noProof/>
        </w:rPr>
        <w:t>44</w:t>
      </w:r>
      <w:r w:rsidR="005B27F0" w:rsidRPr="002121A4">
        <w:fldChar w:fldCharType="end"/>
      </w:r>
      <w:r w:rsidR="005B27F0" w:rsidRPr="002121A4">
        <w:t xml:space="preserve"> above</w:t>
      </w:r>
      <w:r w:rsidRPr="002121A4">
        <w:t xml:space="preserve">). Under </w:t>
      </w:r>
      <w:r w:rsidR="001870C0" w:rsidRPr="002121A4">
        <w:t>article </w:t>
      </w:r>
      <w:r w:rsidRPr="002121A4">
        <w:t>10(e) TD</w:t>
      </w:r>
      <w:r w:rsidR="00D77741" w:rsidRPr="002121A4">
        <w:rPr>
          <w:rStyle w:val="Funotenzeichen"/>
        </w:rPr>
        <w:footnoteReference w:id="257"/>
      </w:r>
      <w:r w:rsidRPr="002121A4">
        <w:t xml:space="preserve">, voting rights held by controlled entities as defined in </w:t>
      </w:r>
      <w:r w:rsidR="001870C0" w:rsidRPr="002121A4">
        <w:t>article </w:t>
      </w:r>
      <w:r w:rsidRPr="002121A4">
        <w:t>2(1)(f) TD</w:t>
      </w:r>
      <w:r w:rsidR="00AF3111" w:rsidRPr="002121A4">
        <w:rPr>
          <w:rStyle w:val="Funotenzeichen"/>
        </w:rPr>
        <w:footnoteReference w:id="258"/>
      </w:r>
      <w:r w:rsidRPr="002121A4">
        <w:t xml:space="preserve"> are also captured by the obligation to notify under </w:t>
      </w:r>
      <w:r w:rsidR="001870C0" w:rsidRPr="002121A4">
        <w:t>article </w:t>
      </w:r>
      <w:r w:rsidRPr="002121A4">
        <w:t>9(1)</w:t>
      </w:r>
      <w:r w:rsidR="00D77741" w:rsidRPr="002121A4">
        <w:t xml:space="preserve"> TD</w:t>
      </w:r>
      <w:r w:rsidRPr="002121A4">
        <w:t>, and accordingly, a controlling entity has to aggregate its exposure across all affiliates when calculating the applicable thresholds.</w:t>
      </w:r>
      <w:bookmarkEnd w:id="138"/>
      <w:r w:rsidR="003E0FC0" w:rsidRPr="002121A4">
        <w:t xml:space="preserve"> </w:t>
      </w:r>
      <w:r w:rsidR="005D1D33" w:rsidRPr="002121A4">
        <w:t xml:space="preserve">Aggregation requirements under article 10 TD are implemented in § 34 </w:t>
      </w:r>
      <w:proofErr w:type="spellStart"/>
      <w:r w:rsidR="005D1D33" w:rsidRPr="002121A4">
        <w:t>WpHG</w:t>
      </w:r>
      <w:proofErr w:type="spellEnd"/>
      <w:r w:rsidR="005D1D33" w:rsidRPr="002121A4">
        <w:t>.</w:t>
      </w:r>
    </w:p>
    <w:p w14:paraId="43A1B019" w14:textId="5A4AFBF3" w:rsidR="009D57E1" w:rsidRPr="002121A4" w:rsidRDefault="009D57E1" w:rsidP="00AB42AA">
      <w:pPr>
        <w:pStyle w:val="Case"/>
        <w:numPr>
          <w:ilvl w:val="0"/>
          <w:numId w:val="14"/>
        </w:numPr>
        <w:ind w:left="567" w:firstLine="0"/>
        <w:rPr>
          <w:szCs w:val="23"/>
        </w:rPr>
      </w:pPr>
      <w:bookmarkStart w:id="139" w:name="_Ref163123984"/>
      <w:r w:rsidRPr="002121A4">
        <w:rPr>
          <w:szCs w:val="23"/>
        </w:rPr>
        <w:t>D is the sole shareholder of</w:t>
      </w:r>
      <w:r w:rsidRPr="002121A4">
        <w:rPr>
          <w:b/>
          <w:szCs w:val="23"/>
        </w:rPr>
        <w:t xml:space="preserve"> </w:t>
      </w:r>
      <w:r w:rsidRPr="002121A4">
        <w:rPr>
          <w:szCs w:val="23"/>
        </w:rPr>
        <w:t xml:space="preserve">H GmbH. H acquires a 5% stake in T, a German company listed on a regulated market. While H makes appropriate disclosures, D does not disclose its indirect holdings. Subsequently, H sells 2.5% in T to a third party, and 1% to a </w:t>
      </w:r>
      <w:r w:rsidRPr="005152F4">
        <w:t>subsidiary</w:t>
      </w:r>
      <w:r w:rsidRPr="002121A4">
        <w:rPr>
          <w:szCs w:val="23"/>
        </w:rPr>
        <w:t>, S GmbH. Can H and S vote at a general meeting of T on the basis that (</w:t>
      </w:r>
      <w:proofErr w:type="spellStart"/>
      <w:r w:rsidRPr="002121A4">
        <w:rPr>
          <w:szCs w:val="23"/>
        </w:rPr>
        <w:t>i</w:t>
      </w:r>
      <w:proofErr w:type="spellEnd"/>
      <w:r w:rsidRPr="002121A4">
        <w:rPr>
          <w:szCs w:val="23"/>
        </w:rPr>
        <w:t>) D and its subsidiaries no longer hold a disclosable position, and (ii) any restriction on the exercise of rights linked to the shares is lifted by the subsequent sale to S? (OLG Hamm, 4 March 2009 – 8 U 59/01, AG 2009, 876)</w:t>
      </w:r>
      <w:bookmarkEnd w:id="139"/>
    </w:p>
    <w:p w14:paraId="7E3A3884" w14:textId="6D0F9B72" w:rsidR="00523216" w:rsidRPr="002121A4" w:rsidRDefault="001E5644" w:rsidP="00523216">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7716518E" w14:textId="3FF6F266" w:rsidR="00807655" w:rsidRDefault="00523216" w:rsidP="00956EF4">
      <w:pPr>
        <w:pStyle w:val="Standardwithparanumbering"/>
      </w:pPr>
      <w:bookmarkStart w:id="140" w:name="_Ref170398098"/>
      <w:r w:rsidRPr="002121A4">
        <w:t xml:space="preserve">Likewise, </w:t>
      </w:r>
      <w:r w:rsidR="001870C0" w:rsidRPr="002121A4">
        <w:t>article </w:t>
      </w:r>
      <w:r w:rsidRPr="002121A4">
        <w:t>10(a) TD</w:t>
      </w:r>
      <w:r w:rsidRPr="002121A4">
        <w:rPr>
          <w:rStyle w:val="Funotenzeichen"/>
        </w:rPr>
        <w:footnoteReference w:id="259"/>
      </w:r>
      <w:r w:rsidRPr="002121A4">
        <w:t xml:space="preserve"> requires aggregation of voting rights with third parties where there is an agreement obliging the shareholder to adopt by concerted exercise of voting rights a lasting common policy towards the management of the issuer in question (commonly referred to as “acting in concert”).</w:t>
      </w:r>
      <w:r w:rsidR="00181E01" w:rsidRPr="002121A4">
        <w:t xml:space="preserve"> Note that § 34(2) </w:t>
      </w:r>
      <w:proofErr w:type="spellStart"/>
      <w:r w:rsidR="00181E01" w:rsidRPr="002121A4">
        <w:t>WpHG</w:t>
      </w:r>
      <w:proofErr w:type="spellEnd"/>
      <w:r w:rsidR="00181E01" w:rsidRPr="002121A4">
        <w:t xml:space="preserve"> is not a </w:t>
      </w:r>
      <w:r w:rsidR="00181E01" w:rsidRPr="002121A4">
        <w:rPr>
          <w:i/>
        </w:rPr>
        <w:t>verbatim</w:t>
      </w:r>
      <w:r w:rsidR="00181E01" w:rsidRPr="002121A4">
        <w:t xml:space="preserve"> implementation of article 10(a) TD</w:t>
      </w:r>
      <w:r w:rsidR="005271EF">
        <w:t>, and the question of whether German domestic law is compatible with article 10(a) is subject of a request for preliminary ruling</w:t>
      </w:r>
      <w:r w:rsidR="00181E01" w:rsidRPr="002121A4">
        <w:t>.</w:t>
      </w:r>
      <w:bookmarkEnd w:id="140"/>
      <w:r w:rsidR="005271EF">
        <w:rPr>
          <w:rStyle w:val="Funotenzeichen"/>
        </w:rPr>
        <w:footnoteReference w:id="260"/>
      </w:r>
    </w:p>
    <w:tbl>
      <w:tblPr>
        <w:tblStyle w:val="Tabellenraster"/>
        <w:tblpPr w:leftFromText="141" w:rightFromText="141" w:vertAnchor="text" w:tblpXSpec="center" w:tblpY="2"/>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508"/>
        <w:gridCol w:w="4508"/>
      </w:tblGrid>
      <w:tr w:rsidR="00807655" w:rsidRPr="00080F04" w14:paraId="30073077" w14:textId="77777777" w:rsidTr="00E65C78">
        <w:tc>
          <w:tcPr>
            <w:tcW w:w="9016" w:type="dxa"/>
            <w:gridSpan w:val="2"/>
          </w:tcPr>
          <w:p w14:paraId="05C9F6A1" w14:textId="2160D9F1" w:rsidR="00807655" w:rsidRPr="00080F04" w:rsidRDefault="00807655" w:rsidP="00E65C78">
            <w:pPr>
              <w:jc w:val="center"/>
              <w:rPr>
                <w:b/>
                <w:sz w:val="22"/>
                <w:szCs w:val="22"/>
                <w:lang w:val="en-US"/>
              </w:rPr>
            </w:pPr>
            <w:r w:rsidRPr="00080F04">
              <w:rPr>
                <w:b/>
                <w:sz w:val="22"/>
                <w:szCs w:val="22"/>
                <w:lang w:val="en-US"/>
              </w:rPr>
              <w:t>Acting in concert pursuant to § 34(2) WpHG</w:t>
            </w:r>
          </w:p>
        </w:tc>
      </w:tr>
      <w:tr w:rsidR="00807655" w:rsidRPr="00E65C78" w14:paraId="65F8E95E" w14:textId="77777777" w:rsidTr="00E65C78">
        <w:tc>
          <w:tcPr>
            <w:tcW w:w="4508" w:type="dxa"/>
          </w:tcPr>
          <w:p w14:paraId="1EDB24FE" w14:textId="741CEDC3" w:rsidR="00807655" w:rsidRPr="00E65C78" w:rsidRDefault="00807655" w:rsidP="00E65C78">
            <w:pPr>
              <w:rPr>
                <w:sz w:val="22"/>
                <w:szCs w:val="22"/>
              </w:rPr>
            </w:pPr>
            <w:r w:rsidRPr="00E65C78">
              <w:rPr>
                <w:sz w:val="22"/>
                <w:szCs w:val="22"/>
              </w:rPr>
              <w:t>Formal requirement</w:t>
            </w:r>
            <w:r w:rsidR="0067793D" w:rsidRPr="00E65C78">
              <w:rPr>
                <w:sz w:val="22"/>
                <w:szCs w:val="22"/>
              </w:rPr>
              <w:t>s</w:t>
            </w:r>
          </w:p>
        </w:tc>
        <w:tc>
          <w:tcPr>
            <w:tcW w:w="4508" w:type="dxa"/>
          </w:tcPr>
          <w:p w14:paraId="5826DCFE" w14:textId="14DA4DD9" w:rsidR="00807655" w:rsidRPr="00E65C78" w:rsidRDefault="00807655" w:rsidP="00E65C78">
            <w:pPr>
              <w:rPr>
                <w:sz w:val="22"/>
                <w:szCs w:val="22"/>
              </w:rPr>
            </w:pPr>
            <w:r w:rsidRPr="00E65C78">
              <w:rPr>
                <w:sz w:val="22"/>
                <w:szCs w:val="22"/>
              </w:rPr>
              <w:t>Substantive requirement</w:t>
            </w:r>
            <w:r w:rsidR="0067793D" w:rsidRPr="00E65C78">
              <w:rPr>
                <w:sz w:val="22"/>
                <w:szCs w:val="22"/>
              </w:rPr>
              <w:t>s</w:t>
            </w:r>
          </w:p>
        </w:tc>
      </w:tr>
      <w:tr w:rsidR="00807655" w:rsidRPr="00E65C78" w14:paraId="60D39647" w14:textId="77777777" w:rsidTr="00E65C78">
        <w:tc>
          <w:tcPr>
            <w:tcW w:w="4508" w:type="dxa"/>
          </w:tcPr>
          <w:p w14:paraId="581D600F" w14:textId="65990A29" w:rsidR="00807655" w:rsidRPr="00080F04" w:rsidRDefault="00807655" w:rsidP="00E65C78">
            <w:pPr>
              <w:jc w:val="left"/>
              <w:rPr>
                <w:sz w:val="22"/>
                <w:szCs w:val="22"/>
                <w:lang w:val="en-US"/>
              </w:rPr>
            </w:pPr>
            <w:r w:rsidRPr="00080F04">
              <w:rPr>
                <w:sz w:val="22"/>
                <w:szCs w:val="22"/>
                <w:lang w:val="en-US"/>
              </w:rPr>
              <w:t>Binding agreement (“</w:t>
            </w:r>
            <w:r w:rsidRPr="00080F04">
              <w:rPr>
                <w:i/>
                <w:sz w:val="22"/>
                <w:szCs w:val="22"/>
                <w:lang w:val="en-US"/>
              </w:rPr>
              <w:t>Vereinbarung</w:t>
            </w:r>
            <w:r w:rsidRPr="00080F04">
              <w:rPr>
                <w:sz w:val="22"/>
                <w:szCs w:val="22"/>
                <w:lang w:val="en-US"/>
              </w:rPr>
              <w:t>”)</w:t>
            </w:r>
          </w:p>
          <w:p w14:paraId="54007D47" w14:textId="034B4200" w:rsidR="00807655" w:rsidRPr="00080F04" w:rsidRDefault="00807655" w:rsidP="00E65C78">
            <w:pPr>
              <w:jc w:val="center"/>
              <w:rPr>
                <w:sz w:val="22"/>
                <w:szCs w:val="22"/>
                <w:lang w:val="en-US"/>
              </w:rPr>
            </w:pPr>
            <w:r w:rsidRPr="00080F04">
              <w:rPr>
                <w:sz w:val="22"/>
                <w:szCs w:val="22"/>
                <w:lang w:val="en-US"/>
              </w:rPr>
              <w:t>OR</w:t>
            </w:r>
          </w:p>
          <w:p w14:paraId="55FBBBFD" w14:textId="67FDD3FE" w:rsidR="00807655" w:rsidRPr="00080F04" w:rsidRDefault="00807655" w:rsidP="00E65C78">
            <w:pPr>
              <w:jc w:val="left"/>
              <w:rPr>
                <w:sz w:val="22"/>
                <w:szCs w:val="22"/>
                <w:lang w:val="en-US"/>
              </w:rPr>
            </w:pPr>
            <w:r w:rsidRPr="00080F04">
              <w:rPr>
                <w:sz w:val="22"/>
                <w:szCs w:val="22"/>
                <w:lang w:val="en-US"/>
              </w:rPr>
              <w:t>Some other form of co-ordination</w:t>
            </w:r>
            <w:r w:rsidR="009C4611" w:rsidRPr="00080F04">
              <w:rPr>
                <w:sz w:val="22"/>
                <w:szCs w:val="22"/>
                <w:lang w:val="en-US"/>
              </w:rPr>
              <w:t xml:space="preserve">, </w:t>
            </w:r>
            <w:r w:rsidRPr="00080F04">
              <w:rPr>
                <w:sz w:val="22"/>
                <w:szCs w:val="22"/>
                <w:lang w:val="en-US"/>
              </w:rPr>
              <w:t>e.g., a non-binding gentlemen’s agreement</w:t>
            </w:r>
            <w:r w:rsidR="009C4611" w:rsidRPr="00080F04">
              <w:rPr>
                <w:sz w:val="22"/>
                <w:szCs w:val="22"/>
                <w:lang w:val="en-US"/>
              </w:rPr>
              <w:br/>
              <w:t>(“</w:t>
            </w:r>
            <w:r w:rsidR="009C4611" w:rsidRPr="00080F04">
              <w:rPr>
                <w:i/>
                <w:sz w:val="22"/>
                <w:szCs w:val="22"/>
                <w:lang w:val="en-US"/>
              </w:rPr>
              <w:t>in sonstiger Weise</w:t>
            </w:r>
            <w:r w:rsidR="009C4611" w:rsidRPr="00080F04">
              <w:rPr>
                <w:sz w:val="22"/>
                <w:szCs w:val="22"/>
                <w:lang w:val="en-US"/>
              </w:rPr>
              <w:t>”</w:t>
            </w:r>
            <w:r w:rsidRPr="00080F04">
              <w:rPr>
                <w:sz w:val="22"/>
                <w:szCs w:val="22"/>
                <w:lang w:val="en-US"/>
              </w:rPr>
              <w:t xml:space="preserve">) </w:t>
            </w:r>
          </w:p>
          <w:p w14:paraId="25802727" w14:textId="77777777" w:rsidR="00C741EB" w:rsidRPr="00E65C78" w:rsidRDefault="00C741EB" w:rsidP="00E65C78">
            <w:pPr>
              <w:jc w:val="center"/>
              <w:rPr>
                <w:sz w:val="22"/>
                <w:szCs w:val="22"/>
              </w:rPr>
            </w:pPr>
            <w:r w:rsidRPr="00E65C78">
              <w:rPr>
                <w:sz w:val="22"/>
                <w:szCs w:val="22"/>
              </w:rPr>
              <w:t>EXCEPT</w:t>
            </w:r>
          </w:p>
          <w:p w14:paraId="191DA6F9" w14:textId="4A304106" w:rsidR="00C741EB" w:rsidRPr="00E65C78" w:rsidRDefault="00C741EB" w:rsidP="00E65C78">
            <w:pPr>
              <w:jc w:val="left"/>
              <w:rPr>
                <w:sz w:val="22"/>
                <w:szCs w:val="22"/>
              </w:rPr>
            </w:pPr>
            <w:r w:rsidRPr="00E65C78">
              <w:rPr>
                <w:sz w:val="22"/>
                <w:szCs w:val="22"/>
              </w:rPr>
              <w:t xml:space="preserve">Agreements in individual </w:t>
            </w:r>
            <w:proofErr w:type="spellStart"/>
            <w:r w:rsidRPr="00E65C78">
              <w:rPr>
                <w:sz w:val="22"/>
                <w:szCs w:val="22"/>
              </w:rPr>
              <w:t>cases</w:t>
            </w:r>
            <w:proofErr w:type="spellEnd"/>
            <w:r w:rsidRPr="00E65C78">
              <w:rPr>
                <w:sz w:val="22"/>
                <w:szCs w:val="22"/>
              </w:rPr>
              <w:t xml:space="preserve"> </w:t>
            </w:r>
            <w:r w:rsidRPr="00E65C78">
              <w:rPr>
                <w:sz w:val="22"/>
                <w:szCs w:val="22"/>
              </w:rPr>
              <w:br/>
              <w:t>(„</w:t>
            </w:r>
            <w:r w:rsidRPr="00E65C78">
              <w:rPr>
                <w:i/>
                <w:sz w:val="22"/>
                <w:szCs w:val="22"/>
              </w:rPr>
              <w:t>Vereinbarungen in Einzelfällen</w:t>
            </w:r>
            <w:r w:rsidRPr="00E65C78">
              <w:rPr>
                <w:sz w:val="22"/>
                <w:szCs w:val="22"/>
              </w:rPr>
              <w:t>“)</w:t>
            </w:r>
          </w:p>
        </w:tc>
        <w:tc>
          <w:tcPr>
            <w:tcW w:w="4508" w:type="dxa"/>
          </w:tcPr>
          <w:p w14:paraId="51B871CB" w14:textId="77777777" w:rsidR="00807655" w:rsidRPr="00080F04" w:rsidRDefault="00807655" w:rsidP="009F11D0">
            <w:pPr>
              <w:jc w:val="left"/>
              <w:rPr>
                <w:sz w:val="22"/>
                <w:szCs w:val="22"/>
                <w:lang w:val="en-US"/>
              </w:rPr>
            </w:pPr>
            <w:r w:rsidRPr="00080F04">
              <w:rPr>
                <w:sz w:val="22"/>
                <w:szCs w:val="22"/>
                <w:lang w:val="en-US"/>
              </w:rPr>
              <w:t>aimed at exercise of voting rights</w:t>
            </w:r>
          </w:p>
          <w:p w14:paraId="646DDBCA" w14:textId="77777777" w:rsidR="00807655" w:rsidRPr="00E65C78" w:rsidRDefault="00807655" w:rsidP="00E65C78">
            <w:pPr>
              <w:jc w:val="center"/>
              <w:rPr>
                <w:sz w:val="22"/>
                <w:szCs w:val="22"/>
              </w:rPr>
            </w:pPr>
            <w:r w:rsidRPr="00E65C78">
              <w:rPr>
                <w:sz w:val="22"/>
                <w:szCs w:val="22"/>
              </w:rPr>
              <w:t>OR</w:t>
            </w:r>
          </w:p>
          <w:p w14:paraId="219B608C" w14:textId="597A0AFC" w:rsidR="00807655" w:rsidRPr="00E65C78" w:rsidRDefault="00807655" w:rsidP="009F11D0">
            <w:pPr>
              <w:jc w:val="left"/>
              <w:rPr>
                <w:sz w:val="22"/>
                <w:szCs w:val="22"/>
              </w:rPr>
            </w:pPr>
            <w:proofErr w:type="spellStart"/>
            <w:r w:rsidRPr="00E65C78">
              <w:rPr>
                <w:sz w:val="22"/>
                <w:szCs w:val="22"/>
              </w:rPr>
              <w:t>aimed</w:t>
            </w:r>
            <w:proofErr w:type="spellEnd"/>
            <w:r w:rsidRPr="00E65C78">
              <w:rPr>
                <w:sz w:val="22"/>
                <w:szCs w:val="22"/>
              </w:rPr>
              <w:t xml:space="preserve"> at </w:t>
            </w:r>
            <w:r w:rsidR="00C741EB" w:rsidRPr="00E65C78">
              <w:rPr>
                <w:sz w:val="22"/>
                <w:szCs w:val="22"/>
              </w:rPr>
              <w:t xml:space="preserve">a permanent and material </w:t>
            </w:r>
            <w:proofErr w:type="spellStart"/>
            <w:r w:rsidR="00C741EB" w:rsidRPr="00E65C78">
              <w:rPr>
                <w:sz w:val="22"/>
                <w:szCs w:val="22"/>
              </w:rPr>
              <w:t>change</w:t>
            </w:r>
            <w:proofErr w:type="spellEnd"/>
            <w:r w:rsidR="00C741EB" w:rsidRPr="00E65C78">
              <w:rPr>
                <w:sz w:val="22"/>
                <w:szCs w:val="22"/>
              </w:rPr>
              <w:t xml:space="preserve"> </w:t>
            </w:r>
            <w:proofErr w:type="spellStart"/>
            <w:r w:rsidR="00C741EB" w:rsidRPr="00E65C78">
              <w:rPr>
                <w:sz w:val="22"/>
                <w:szCs w:val="22"/>
              </w:rPr>
              <w:t>of</w:t>
            </w:r>
            <w:proofErr w:type="spellEnd"/>
            <w:r w:rsidR="00C741EB" w:rsidRPr="00E65C78">
              <w:rPr>
                <w:sz w:val="22"/>
                <w:szCs w:val="22"/>
              </w:rPr>
              <w:t xml:space="preserve"> </w:t>
            </w:r>
            <w:proofErr w:type="spellStart"/>
            <w:r w:rsidR="00C741EB" w:rsidRPr="00E65C78">
              <w:rPr>
                <w:sz w:val="22"/>
                <w:szCs w:val="22"/>
              </w:rPr>
              <w:t>the</w:t>
            </w:r>
            <w:proofErr w:type="spellEnd"/>
            <w:r w:rsidR="00C741EB" w:rsidRPr="00E65C78">
              <w:rPr>
                <w:sz w:val="22"/>
                <w:szCs w:val="22"/>
              </w:rPr>
              <w:t xml:space="preserve"> </w:t>
            </w:r>
            <w:proofErr w:type="spellStart"/>
            <w:r w:rsidR="00C741EB" w:rsidRPr="00E65C78">
              <w:rPr>
                <w:sz w:val="22"/>
                <w:szCs w:val="22"/>
              </w:rPr>
              <w:t>issuers</w:t>
            </w:r>
            <w:proofErr w:type="spellEnd"/>
            <w:r w:rsidR="00C741EB" w:rsidRPr="00E65C78">
              <w:rPr>
                <w:sz w:val="22"/>
                <w:szCs w:val="22"/>
              </w:rPr>
              <w:t xml:space="preserve"> </w:t>
            </w:r>
            <w:proofErr w:type="spellStart"/>
            <w:r w:rsidR="00C741EB" w:rsidRPr="00E65C78">
              <w:rPr>
                <w:sz w:val="22"/>
                <w:szCs w:val="22"/>
              </w:rPr>
              <w:t>business</w:t>
            </w:r>
            <w:proofErr w:type="spellEnd"/>
            <w:r w:rsidR="00C741EB" w:rsidRPr="00E65C78">
              <w:rPr>
                <w:sz w:val="22"/>
                <w:szCs w:val="22"/>
              </w:rPr>
              <w:t xml:space="preserve"> </w:t>
            </w:r>
            <w:proofErr w:type="spellStart"/>
            <w:r w:rsidR="00C741EB" w:rsidRPr="00E65C78">
              <w:rPr>
                <w:sz w:val="22"/>
                <w:szCs w:val="22"/>
              </w:rPr>
              <w:t>strategy</w:t>
            </w:r>
            <w:proofErr w:type="spellEnd"/>
            <w:r w:rsidR="00C741EB" w:rsidRPr="00E65C78">
              <w:rPr>
                <w:sz w:val="22"/>
                <w:szCs w:val="22"/>
              </w:rPr>
              <w:t xml:space="preserve"> </w:t>
            </w:r>
            <w:r w:rsidR="00B560D0" w:rsidRPr="00E65C78">
              <w:rPr>
                <w:sz w:val="22"/>
                <w:szCs w:val="22"/>
              </w:rPr>
              <w:br/>
            </w:r>
            <w:r w:rsidR="00C741EB" w:rsidRPr="00E65C78">
              <w:rPr>
                <w:sz w:val="22"/>
                <w:szCs w:val="22"/>
              </w:rPr>
              <w:t>(„</w:t>
            </w:r>
            <w:r w:rsidR="00C741EB" w:rsidRPr="00E65C78">
              <w:rPr>
                <w:i/>
                <w:sz w:val="22"/>
                <w:szCs w:val="22"/>
              </w:rPr>
              <w:t>Ziel einer dauerhaften und erheblichen Änderung der unternehmerischen Ausrichtung des Emittenten</w:t>
            </w:r>
            <w:r w:rsidR="00C741EB" w:rsidRPr="00E65C78">
              <w:rPr>
                <w:sz w:val="22"/>
                <w:szCs w:val="22"/>
              </w:rPr>
              <w:t>“)</w:t>
            </w:r>
          </w:p>
        </w:tc>
      </w:tr>
    </w:tbl>
    <w:p w14:paraId="71EF65C9" w14:textId="65DFEAB8" w:rsidR="00523216" w:rsidRPr="00044BD7" w:rsidRDefault="00523216" w:rsidP="00620342">
      <w:pPr>
        <w:rPr>
          <w:lang w:val="en-US"/>
        </w:rPr>
      </w:pPr>
      <w:r w:rsidRPr="00044BD7">
        <w:rPr>
          <w:lang w:val="en-US"/>
        </w:rPr>
        <w:lastRenderedPageBreak/>
        <w:t xml:space="preserve">Other examples </w:t>
      </w:r>
      <w:r w:rsidR="00181E01" w:rsidRPr="00044BD7">
        <w:rPr>
          <w:lang w:val="en-US"/>
        </w:rPr>
        <w:t xml:space="preserve">of voting rights attribution </w:t>
      </w:r>
      <w:r w:rsidRPr="00044BD7">
        <w:rPr>
          <w:lang w:val="en-US"/>
        </w:rPr>
        <w:t>include collateral holders, beneficial owners, and proxy</w:t>
      </w:r>
      <w:r w:rsidR="00C27D8A" w:rsidRPr="00044BD7">
        <w:rPr>
          <w:lang w:val="en-US"/>
        </w:rPr>
        <w:t>-</w:t>
      </w:r>
      <w:r w:rsidR="00807655" w:rsidRPr="00044BD7">
        <w:rPr>
          <w:lang w:val="en-US"/>
        </w:rPr>
        <w:softHyphen/>
      </w:r>
      <w:r w:rsidR="00724FE6" w:rsidRPr="00044BD7">
        <w:rPr>
          <w:lang w:val="en-US"/>
        </w:rPr>
        <w:softHyphen/>
      </w:r>
      <w:r w:rsidRPr="00044BD7">
        <w:rPr>
          <w:lang w:val="en-US"/>
        </w:rPr>
        <w:t>holders (</w:t>
      </w:r>
      <w:r w:rsidR="001870C0" w:rsidRPr="00044BD7">
        <w:rPr>
          <w:lang w:val="en-US"/>
        </w:rPr>
        <w:t>article </w:t>
      </w:r>
      <w:r w:rsidRPr="00044BD7">
        <w:rPr>
          <w:lang w:val="en-US"/>
        </w:rPr>
        <w:t>10(c), (g) and (h) TD</w:t>
      </w:r>
      <w:r w:rsidR="006E7587" w:rsidRPr="002121A4">
        <w:rPr>
          <w:rStyle w:val="Funotenzeichen"/>
        </w:rPr>
        <w:footnoteReference w:id="261"/>
      </w:r>
      <w:r w:rsidRPr="00044BD7">
        <w:rPr>
          <w:lang w:val="en-US"/>
        </w:rPr>
        <w:t>).</w:t>
      </w:r>
    </w:p>
    <w:p w14:paraId="216C7AD5" w14:textId="60F889AF" w:rsidR="00A0416F" w:rsidRPr="002121A4" w:rsidRDefault="00A0416F" w:rsidP="00AB42AA">
      <w:pPr>
        <w:pStyle w:val="Case"/>
        <w:numPr>
          <w:ilvl w:val="0"/>
          <w:numId w:val="14"/>
        </w:numPr>
        <w:ind w:left="567" w:firstLine="0"/>
      </w:pPr>
      <w:bookmarkStart w:id="141" w:name="_Ref163124021"/>
      <w:r w:rsidRPr="002121A4">
        <w:t xml:space="preserve">S1, S2 and S3 are shareholders in company C which is listed on a regulated market, and each hold 2% in C. They are acting in concert as regards C, and each of them disclosed </w:t>
      </w:r>
      <w:r w:rsidRPr="002121A4">
        <w:rPr>
          <w:szCs w:val="23"/>
        </w:rPr>
        <w:t>combined</w:t>
      </w:r>
      <w:r w:rsidRPr="002121A4">
        <w:t xml:space="preserve"> holdings of 6%. S1 then transfers his participation to T, a trustee, who holds the participation for the benefit and the account of S1. (BGH, 19 July 2011, II ZR 246/09, NZG 2011, 1147)</w:t>
      </w:r>
      <w:bookmarkEnd w:id="141"/>
    </w:p>
    <w:p w14:paraId="43A3CABB" w14:textId="3DB9EF01" w:rsidR="00E956E1" w:rsidRPr="002121A4" w:rsidRDefault="00E956E1" w:rsidP="00A0416F">
      <w:pPr>
        <w:pStyle w:val="Case"/>
      </w:pPr>
      <w:r w:rsidRPr="002121A4">
        <w:rPr>
          <w:b/>
        </w:rPr>
        <w:t>Notes.</w:t>
      </w:r>
      <w:r w:rsidR="00956EF4" w:rsidRPr="002121A4">
        <w:rPr>
          <w:b/>
        </w:rPr>
        <w:br/>
      </w:r>
      <w:r w:rsidR="00956EF4" w:rsidRPr="002121A4">
        <w:rPr>
          <w:b/>
        </w:rPr>
        <w:br/>
      </w:r>
      <w:r w:rsidR="00956EF4" w:rsidRPr="002121A4">
        <w:rPr>
          <w:b/>
        </w:rPr>
        <w:br/>
      </w:r>
    </w:p>
    <w:p w14:paraId="039D4D63" w14:textId="39C6F03E" w:rsidR="00A0416F" w:rsidRPr="002121A4" w:rsidRDefault="00A0416F" w:rsidP="00AB42AA">
      <w:pPr>
        <w:pStyle w:val="Case"/>
        <w:numPr>
          <w:ilvl w:val="0"/>
          <w:numId w:val="14"/>
        </w:numPr>
        <w:ind w:left="567" w:firstLine="0"/>
      </w:pPr>
      <w:bookmarkStart w:id="142" w:name="_Ref163124023"/>
      <w:r w:rsidRPr="002121A4">
        <w:t xml:space="preserve">S1 and S2 are shareholders in C, a listed company. S1 holds 20% of the shares in C. S2 holds 11% of the shares in C and has just been dismissed as CEO of C. S1 and S2 agree to align their votes at the next general meeting to pass resolutions revoking the appointment of the chairman of the supervisory board and appointing certain new members of the </w:t>
      </w:r>
      <w:r w:rsidRPr="002121A4">
        <w:rPr>
          <w:szCs w:val="23"/>
        </w:rPr>
        <w:t>supervisory</w:t>
      </w:r>
      <w:r w:rsidRPr="002121A4">
        <w:t xml:space="preserve"> board. Their ultimate aim is to have S2 reappointed as CEO by the new supervisory board so that he can continue to implement C’s business strategy. (BGH, 25 September 2018 – II ZR 190/17, NZG 2018, 1350)</w:t>
      </w:r>
      <w:bookmarkEnd w:id="142"/>
    </w:p>
    <w:p w14:paraId="7309E07D" w14:textId="2511A388" w:rsidR="00E956E1" w:rsidRPr="002121A4" w:rsidRDefault="00E956E1" w:rsidP="00E956E1">
      <w:pPr>
        <w:pStyle w:val="Case"/>
      </w:pPr>
      <w:r w:rsidRPr="002121A4">
        <w:rPr>
          <w:b/>
        </w:rPr>
        <w:t>Notes.</w:t>
      </w:r>
      <w:r w:rsidR="00956EF4" w:rsidRPr="002121A4">
        <w:rPr>
          <w:b/>
        </w:rPr>
        <w:br/>
      </w:r>
      <w:r w:rsidR="00956EF4" w:rsidRPr="002121A4">
        <w:rPr>
          <w:b/>
        </w:rPr>
        <w:br/>
      </w:r>
      <w:r w:rsidR="00956EF4" w:rsidRPr="002121A4">
        <w:rPr>
          <w:b/>
        </w:rPr>
        <w:br/>
      </w:r>
      <w:r w:rsidR="00956EF4" w:rsidRPr="002121A4">
        <w:rPr>
          <w:b/>
        </w:rPr>
        <w:br/>
      </w:r>
      <w:r w:rsidR="00956EF4" w:rsidRPr="002121A4">
        <w:rPr>
          <w:b/>
        </w:rPr>
        <w:br/>
      </w:r>
    </w:p>
    <w:p w14:paraId="02765299" w14:textId="52FE4547" w:rsidR="00071E5E" w:rsidRPr="002121A4" w:rsidRDefault="001870C0" w:rsidP="00FD3B9E">
      <w:pPr>
        <w:pStyle w:val="Standardwithparanumbering"/>
      </w:pPr>
      <w:r w:rsidRPr="002121A4">
        <w:t>Article </w:t>
      </w:r>
      <w:r w:rsidR="00935A93" w:rsidRPr="002121A4">
        <w:t>13(1) TD</w:t>
      </w:r>
      <w:r w:rsidR="00F16A57" w:rsidRPr="002121A4">
        <w:rPr>
          <w:rStyle w:val="Funotenzeichen"/>
        </w:rPr>
        <w:footnoteReference w:id="262"/>
      </w:r>
      <w:r w:rsidR="00935A93" w:rsidRPr="002121A4">
        <w:t xml:space="preserve"> extends the notification requirement under </w:t>
      </w:r>
      <w:r w:rsidRPr="002121A4">
        <w:t>article </w:t>
      </w:r>
      <w:r w:rsidR="00935A93" w:rsidRPr="002121A4">
        <w:t xml:space="preserve">9(1) TD to situations where a person holds, directly or indirectly, financial instruments that give the holder the unconditional right or discretion to acquire shares with voting rights and already issued, and financial instruments with a similar economic effect. A typical example would be the acquisition of a call option or a total return swap. </w:t>
      </w:r>
      <w:r w:rsidR="007F0E41" w:rsidRPr="002121A4">
        <w:t xml:space="preserve">In addition, </w:t>
      </w:r>
      <w:r w:rsidRPr="002121A4">
        <w:t>article </w:t>
      </w:r>
      <w:r w:rsidR="007F0E41" w:rsidRPr="002121A4">
        <w:t>13a(1) TD</w:t>
      </w:r>
      <w:r w:rsidR="00F16A57" w:rsidRPr="002121A4">
        <w:rPr>
          <w:rStyle w:val="Funotenzeichen"/>
        </w:rPr>
        <w:footnoteReference w:id="263"/>
      </w:r>
      <w:r w:rsidR="007F0E41" w:rsidRPr="002121A4">
        <w:t xml:space="preserve"> requires monitoring relevant thresholds on an aggregate basis, aggregating shares and financial instruments. </w:t>
      </w:r>
    </w:p>
    <w:p w14:paraId="3D4BC375" w14:textId="3267FA6D" w:rsidR="002519A4" w:rsidRPr="002121A4" w:rsidRDefault="001870C0" w:rsidP="00FD3B9E">
      <w:pPr>
        <w:pStyle w:val="Standardwithparanumbering"/>
      </w:pPr>
      <w:r w:rsidRPr="002121A4">
        <w:t>Article </w:t>
      </w:r>
      <w:r w:rsidR="00A121F3" w:rsidRPr="002121A4">
        <w:t xml:space="preserve">12 TD </w:t>
      </w:r>
      <w:r w:rsidR="00823ED6" w:rsidRPr="002121A4">
        <w:t xml:space="preserve">specifies </w:t>
      </w:r>
      <w:r w:rsidR="00A121F3" w:rsidRPr="002121A4">
        <w:t>details on the notification process. The notific</w:t>
      </w:r>
      <w:r w:rsidR="00DA681C" w:rsidRPr="002121A4">
        <w:t>a</w:t>
      </w:r>
      <w:r w:rsidR="00A121F3" w:rsidRPr="002121A4">
        <w:t>tion must include the situation in terms of voting rights resulting from the transaction in question, the chain of controlled undertakings, the date on which the threshold was reached or crossed, and the ident</w:t>
      </w:r>
      <w:r w:rsidR="00FC6D0B" w:rsidRPr="002121A4">
        <w:t>it</w:t>
      </w:r>
      <w:r w:rsidR="00A121F3" w:rsidRPr="002121A4">
        <w:t>y of the shareholder.</w:t>
      </w:r>
      <w:r w:rsidR="00823ED6" w:rsidRPr="002121A4">
        <w:rPr>
          <w:rStyle w:val="Funotenzeichen"/>
        </w:rPr>
        <w:footnoteReference w:id="264"/>
      </w:r>
      <w:r w:rsidR="00A121F3" w:rsidRPr="002121A4">
        <w:t xml:space="preserve"> It must be made promptly, and no later than four trading days after the date on which the shareholder learns of the acquisition or disposal, or is informed about a change in the breakdown of voting rights.</w:t>
      </w:r>
      <w:r w:rsidR="00823ED6" w:rsidRPr="002121A4">
        <w:rPr>
          <w:rStyle w:val="Funotenzeichen"/>
        </w:rPr>
        <w:footnoteReference w:id="265"/>
      </w:r>
      <w:r w:rsidR="00A121F3" w:rsidRPr="002121A4">
        <w:t xml:space="preserve"> </w:t>
      </w:r>
      <w:r w:rsidR="00E616F4" w:rsidRPr="002121A4">
        <w:t>The issuer receiving a shareholder’s notification under article 12(1) TD must make the notification public pursuant to article 12(6) TD</w:t>
      </w:r>
      <w:r w:rsidR="00EB3F14">
        <w:t xml:space="preserve"> (implemented in § 40(1) </w:t>
      </w:r>
      <w:proofErr w:type="spellStart"/>
      <w:r w:rsidR="00EB3F14">
        <w:t>WpHG</w:t>
      </w:r>
      <w:proofErr w:type="spellEnd"/>
      <w:r w:rsidR="00EB3F14">
        <w:t>)</w:t>
      </w:r>
      <w:r w:rsidR="00E616F4" w:rsidRPr="002121A4">
        <w:t>.</w:t>
      </w:r>
    </w:p>
    <w:p w14:paraId="21777D07" w14:textId="4CDD8AC6" w:rsidR="002519A4" w:rsidRPr="002121A4" w:rsidRDefault="002519A4" w:rsidP="00AB42AA">
      <w:pPr>
        <w:pStyle w:val="Case"/>
        <w:numPr>
          <w:ilvl w:val="0"/>
          <w:numId w:val="14"/>
        </w:numPr>
        <w:ind w:left="567" w:firstLine="0"/>
      </w:pPr>
      <w:bookmarkStart w:id="143" w:name="_Ref163124094"/>
      <w:r w:rsidRPr="002121A4">
        <w:t xml:space="preserve">Investor I buys an option to buy 4 % of the shares of the listed O-AG. Does he have to </w:t>
      </w:r>
      <w:r w:rsidRPr="002121A4">
        <w:rPr>
          <w:szCs w:val="23"/>
        </w:rPr>
        <w:t>inform</w:t>
      </w:r>
      <w:r w:rsidRPr="002121A4">
        <w:t xml:space="preserve"> </w:t>
      </w:r>
      <w:r w:rsidRPr="002121A4">
        <w:rPr>
          <w:szCs w:val="23"/>
        </w:rPr>
        <w:t>anyone</w:t>
      </w:r>
      <w:r w:rsidRPr="002121A4">
        <w:t xml:space="preserve"> of this? If so, who must be informed, in which manner and within which time limit? (Paper 2022_2 #16)</w:t>
      </w:r>
      <w:bookmarkEnd w:id="143"/>
    </w:p>
    <w:p w14:paraId="300D76A4" w14:textId="58098DEE" w:rsidR="002519A4" w:rsidRPr="002121A4" w:rsidRDefault="002519A4" w:rsidP="002519A4">
      <w:pPr>
        <w:pStyle w:val="Case"/>
      </w:pPr>
      <w:r w:rsidRPr="002121A4">
        <w:rPr>
          <w:b/>
        </w:rPr>
        <w:lastRenderedPageBreak/>
        <w:t>Notes.</w:t>
      </w:r>
      <w:r w:rsidR="005F2E30" w:rsidRPr="002121A4">
        <w:rPr>
          <w:b/>
        </w:rPr>
        <w:t xml:space="preserve"> </w:t>
      </w:r>
      <w:r w:rsidR="009D6F9A" w:rsidRPr="002121A4">
        <w:rPr>
          <w:b/>
        </w:rPr>
        <w:br/>
      </w:r>
      <w:r w:rsidR="009D6F9A" w:rsidRPr="002121A4">
        <w:rPr>
          <w:b/>
        </w:rPr>
        <w:br/>
      </w:r>
      <w:r w:rsidR="009D6F9A" w:rsidRPr="002121A4">
        <w:rPr>
          <w:b/>
        </w:rPr>
        <w:br/>
      </w:r>
      <w:r w:rsidR="009D6F9A" w:rsidRPr="002121A4">
        <w:rPr>
          <w:b/>
        </w:rPr>
        <w:br/>
      </w:r>
      <w:r w:rsidR="009D6F9A" w:rsidRPr="002121A4">
        <w:rPr>
          <w:b/>
        </w:rPr>
        <w:br/>
      </w:r>
    </w:p>
    <w:p w14:paraId="18D58A95" w14:textId="32E5E4D1" w:rsidR="00691A23" w:rsidRPr="002121A4" w:rsidRDefault="00A121F3" w:rsidP="00052EFF">
      <w:pPr>
        <w:pStyle w:val="Standardwithparanumbering"/>
      </w:pPr>
      <w:r w:rsidRPr="002121A4">
        <w:t>A controlled undertaking is exempted from disclosure where its parent makes a notification (</w:t>
      </w:r>
      <w:r w:rsidR="001870C0" w:rsidRPr="002121A4">
        <w:t>article </w:t>
      </w:r>
      <w:r w:rsidRPr="002121A4">
        <w:t>12(3) TD).</w:t>
      </w:r>
      <w:r w:rsidR="00DA681C" w:rsidRPr="002121A4">
        <w:rPr>
          <w:rStyle w:val="Funotenzeichen"/>
        </w:rPr>
        <w:footnoteReference w:id="266"/>
      </w:r>
      <w:r w:rsidRPr="002121A4">
        <w:t xml:space="preserve"> </w:t>
      </w:r>
    </w:p>
    <w:p w14:paraId="1D6FE817" w14:textId="29DA29D7" w:rsidR="00A121F3" w:rsidRPr="002121A4" w:rsidRDefault="00A121F3" w:rsidP="00AB42AA">
      <w:pPr>
        <w:pStyle w:val="Case"/>
        <w:numPr>
          <w:ilvl w:val="0"/>
          <w:numId w:val="14"/>
        </w:numPr>
        <w:ind w:left="567" w:firstLine="0"/>
        <w:rPr>
          <w:szCs w:val="23"/>
        </w:rPr>
      </w:pPr>
      <w:bookmarkStart w:id="144" w:name="_Ref163124096"/>
      <w:r w:rsidRPr="002121A4">
        <w:rPr>
          <w:szCs w:val="23"/>
        </w:rPr>
        <w:t xml:space="preserve">P owns 51% in Claimant C. Both companies have an agreement that prohibits P from exercising its voting rights at general meetings of C. When C acquires 8% in Defendant D, a company listed on a regulated market, P makes a notification under </w:t>
      </w:r>
      <w:r w:rsidR="001870C0" w:rsidRPr="002121A4">
        <w:rPr>
          <w:szCs w:val="23"/>
        </w:rPr>
        <w:t>article </w:t>
      </w:r>
      <w:r w:rsidRPr="002121A4">
        <w:rPr>
          <w:szCs w:val="23"/>
        </w:rPr>
        <w:t xml:space="preserve">9 TD. Later, the annual general meeting of D passes resolutions that C contests through an action before the competent commercial court. D argues that C has failed to make appropriate disclosure under </w:t>
      </w:r>
      <w:r w:rsidR="001870C0" w:rsidRPr="002121A4">
        <w:rPr>
          <w:szCs w:val="23"/>
        </w:rPr>
        <w:t>article </w:t>
      </w:r>
      <w:r w:rsidRPr="002121A4">
        <w:rPr>
          <w:szCs w:val="23"/>
        </w:rPr>
        <w:t>9 TD and that, as a result, has no standing to contest the validity of the resolutions of the shareholder meeting. (BGH, 22 September 2020 – II ZR 399/18, NZG 2020, 1349)</w:t>
      </w:r>
      <w:bookmarkEnd w:id="144"/>
    </w:p>
    <w:p w14:paraId="1DDC55D9" w14:textId="69A3F39A" w:rsidR="00A121F3" w:rsidRPr="002121A4" w:rsidRDefault="00A121F3" w:rsidP="00A121F3">
      <w:pPr>
        <w:pStyle w:val="Case"/>
      </w:pPr>
      <w:r w:rsidRPr="002121A4">
        <w:rPr>
          <w:b/>
        </w:rPr>
        <w:t>Notes.</w:t>
      </w:r>
      <w:r w:rsidR="009D6F9A" w:rsidRPr="002121A4">
        <w:rPr>
          <w:b/>
        </w:rPr>
        <w:br/>
      </w:r>
      <w:r w:rsidR="009D6F9A" w:rsidRPr="002121A4">
        <w:rPr>
          <w:b/>
        </w:rPr>
        <w:br/>
      </w:r>
      <w:r w:rsidR="009D6F9A" w:rsidRPr="002121A4">
        <w:rPr>
          <w:b/>
        </w:rPr>
        <w:br/>
      </w:r>
      <w:r w:rsidR="009D6F9A" w:rsidRPr="002121A4">
        <w:rPr>
          <w:b/>
        </w:rPr>
        <w:br/>
      </w:r>
      <w:r w:rsidR="009D6F9A" w:rsidRPr="002121A4">
        <w:rPr>
          <w:b/>
        </w:rPr>
        <w:br/>
      </w:r>
    </w:p>
    <w:p w14:paraId="0E9FAC3A" w14:textId="7630C970" w:rsidR="00482697" w:rsidRPr="002121A4" w:rsidRDefault="00566033" w:rsidP="00FD3B9E">
      <w:pPr>
        <w:pStyle w:val="Standardwithparanumbering"/>
      </w:pPr>
      <w:r w:rsidRPr="002121A4">
        <w:t>The TD is silent on p</w:t>
      </w:r>
      <w:r w:rsidR="00482697" w:rsidRPr="002121A4">
        <w:t xml:space="preserve">rivate enforcement </w:t>
      </w:r>
      <w:r w:rsidRPr="002121A4">
        <w:t xml:space="preserve">in case of infringements of the major holding regime. German law contains a specific provision in </w:t>
      </w:r>
      <w:r w:rsidR="00482697" w:rsidRPr="002121A4">
        <w:t xml:space="preserve">§ 44 </w:t>
      </w:r>
      <w:proofErr w:type="spellStart"/>
      <w:r w:rsidR="00482697" w:rsidRPr="002121A4">
        <w:t>WpHG</w:t>
      </w:r>
      <w:proofErr w:type="spellEnd"/>
      <w:r w:rsidRPr="002121A4">
        <w:t>.</w:t>
      </w:r>
      <w:r w:rsidR="002F7477" w:rsidRPr="002121A4">
        <w:t xml:space="preserve"> Under § 44</w:t>
      </w:r>
      <w:r w:rsidR="006F6D51" w:rsidRPr="002121A4">
        <w:t>(1)(1)</w:t>
      </w:r>
      <w:r w:rsidR="00800734" w:rsidRPr="002121A4">
        <w:t>, (2)</w:t>
      </w:r>
      <w:r w:rsidR="002F7477" w:rsidRPr="002121A4">
        <w:t xml:space="preserve"> </w:t>
      </w:r>
      <w:proofErr w:type="spellStart"/>
      <w:r w:rsidR="002F7477" w:rsidRPr="002121A4">
        <w:t>WpHG</w:t>
      </w:r>
      <w:proofErr w:type="spellEnd"/>
      <w:r w:rsidR="002F7477" w:rsidRPr="002121A4">
        <w:t xml:space="preserve">, a shareholder cannot exercise rights attaching to shares </w:t>
      </w:r>
      <w:r w:rsidR="00FF10FD" w:rsidRPr="002121A4">
        <w:t xml:space="preserve">– for practical purposes, voting rights and </w:t>
      </w:r>
      <w:r w:rsidR="0006621E" w:rsidRPr="002121A4">
        <w:t xml:space="preserve">distribution </w:t>
      </w:r>
      <w:r w:rsidR="00FF10FD" w:rsidRPr="002121A4">
        <w:t>right</w:t>
      </w:r>
      <w:r w:rsidR="0006621E" w:rsidRPr="002121A4">
        <w:t>s</w:t>
      </w:r>
      <w:r w:rsidR="00FF10FD" w:rsidRPr="002121A4">
        <w:t xml:space="preserve"> </w:t>
      </w:r>
      <w:r w:rsidR="0006621E" w:rsidRPr="002121A4">
        <w:t>(</w:t>
      </w:r>
      <w:r w:rsidR="008A162D" w:rsidRPr="002121A4">
        <w:t xml:space="preserve">for practical purposes: </w:t>
      </w:r>
      <w:r w:rsidR="00FF10FD" w:rsidRPr="002121A4">
        <w:t>dividend</w:t>
      </w:r>
      <w:r w:rsidR="008A162D" w:rsidRPr="002121A4">
        <w:t xml:space="preserve"> pay-outs</w:t>
      </w:r>
      <w:r w:rsidR="0006621E" w:rsidRPr="002121A4">
        <w:t>)</w:t>
      </w:r>
      <w:r w:rsidR="00FF10FD" w:rsidRPr="002121A4">
        <w:t xml:space="preserve"> – </w:t>
      </w:r>
      <w:r w:rsidR="002F7477" w:rsidRPr="002121A4">
        <w:t xml:space="preserve">for the period during which notification obligations under §§ 33, 38, 39 </w:t>
      </w:r>
      <w:proofErr w:type="spellStart"/>
      <w:r w:rsidR="002F7477" w:rsidRPr="002121A4">
        <w:t>WpHG</w:t>
      </w:r>
      <w:proofErr w:type="spellEnd"/>
      <w:r w:rsidR="002F7477" w:rsidRPr="002121A4">
        <w:t xml:space="preserve"> </w:t>
      </w:r>
      <w:r w:rsidR="009E6336" w:rsidRPr="002121A4">
        <w:t xml:space="preserve">are not complied with </w:t>
      </w:r>
      <w:r w:rsidR="002F7477" w:rsidRPr="002121A4">
        <w:t xml:space="preserve">(i.e., the provisions implementing </w:t>
      </w:r>
      <w:r w:rsidR="001870C0" w:rsidRPr="002121A4">
        <w:t>articles </w:t>
      </w:r>
      <w:r w:rsidR="002F7477" w:rsidRPr="002121A4">
        <w:t>9, 13, 13a TD).</w:t>
      </w:r>
      <w:r w:rsidR="00FF10FD" w:rsidRPr="002121A4">
        <w:t xml:space="preserve"> </w:t>
      </w:r>
      <w:r w:rsidR="007E286E" w:rsidRPr="002121A4">
        <w:t>D</w:t>
      </w:r>
      <w:r w:rsidR="00FF10FD" w:rsidRPr="002121A4">
        <w:t>ividend</w:t>
      </w:r>
      <w:r w:rsidR="007E286E" w:rsidRPr="002121A4">
        <w:t xml:space="preserve"> and distribution rights</w:t>
      </w:r>
      <w:r w:rsidR="00FF10FD" w:rsidRPr="002121A4">
        <w:t xml:space="preserve"> </w:t>
      </w:r>
      <w:r w:rsidR="007E286E" w:rsidRPr="002121A4">
        <w:t xml:space="preserve">are not affected </w:t>
      </w:r>
      <w:r w:rsidR="00FF10FD" w:rsidRPr="002121A4">
        <w:t xml:space="preserve">where failure to notify was not intentional and has been </w:t>
      </w:r>
      <w:r w:rsidR="004F3A1D" w:rsidRPr="002121A4">
        <w:t xml:space="preserve">remedied </w:t>
      </w:r>
      <w:r w:rsidR="00FF10FD" w:rsidRPr="002121A4">
        <w:t xml:space="preserve">in the meantime, § 44(1)(2) </w:t>
      </w:r>
      <w:proofErr w:type="spellStart"/>
      <w:r w:rsidR="00FF10FD" w:rsidRPr="002121A4">
        <w:t>WpHG</w:t>
      </w:r>
      <w:proofErr w:type="spellEnd"/>
      <w:r w:rsidR="00FF10FD" w:rsidRPr="002121A4">
        <w:t xml:space="preserve">. </w:t>
      </w:r>
      <w:r w:rsidR="004F3A1D" w:rsidRPr="002121A4">
        <w:t>Where failure to notify relate</w:t>
      </w:r>
      <w:r w:rsidR="003B226C" w:rsidRPr="002121A4">
        <w:t>s</w:t>
      </w:r>
      <w:r w:rsidR="004F3A1D" w:rsidRPr="002121A4">
        <w:t xml:space="preserve"> to the proportion of voting rights and is due to gross negligence or intent, § 44(1)(3) extends the loss of rights to a period of six months following remediation, unless the deviation was minor (10% of the correct proportion) and did not affect thresholds, § 44(1)(4) </w:t>
      </w:r>
      <w:proofErr w:type="spellStart"/>
      <w:r w:rsidR="004F3A1D" w:rsidRPr="002121A4">
        <w:t>WpHG</w:t>
      </w:r>
      <w:proofErr w:type="spellEnd"/>
      <w:r w:rsidR="004F3A1D" w:rsidRPr="002121A4">
        <w:t xml:space="preserve">. </w:t>
      </w:r>
    </w:p>
    <w:p w14:paraId="51C1D869" w14:textId="28FBA407" w:rsidR="00CB30A9" w:rsidRPr="002121A4" w:rsidRDefault="00CB30A9" w:rsidP="00AB42AA">
      <w:pPr>
        <w:pStyle w:val="Case"/>
        <w:numPr>
          <w:ilvl w:val="0"/>
          <w:numId w:val="14"/>
        </w:numPr>
        <w:ind w:left="567" w:firstLine="0"/>
      </w:pPr>
      <w:bookmarkStart w:id="145" w:name="_Ref163124168"/>
      <w:r w:rsidRPr="002121A4">
        <w:t xml:space="preserve">The share capital of G AG is €2m and divided into 2m shares with no par value. A holds 900,000 shares, B holds 400,000 shares, and C holds 190,000 shares. All other shares are in free float with minor shareholders. At the next shareholder meeting, A, B, and C want to pass a shareholder resolution modifying the statutes of G AG. The statutes do not contain any requirement as to the majority. A, B, and C agree during a dinner, in an informal way and on that single occasion, that they will vote with all their shares in favour of the modification </w:t>
      </w:r>
      <w:r w:rsidRPr="002121A4">
        <w:rPr>
          <w:szCs w:val="23"/>
        </w:rPr>
        <w:t>of</w:t>
      </w:r>
      <w:r w:rsidRPr="002121A4">
        <w:t xml:space="preserve"> the statutes. In order to secure a majority even in presence of all other shareholders, C declares his intention </w:t>
      </w:r>
      <w:r w:rsidR="00E96BB4" w:rsidRPr="002121A4">
        <w:t>to</w:t>
      </w:r>
      <w:r w:rsidRPr="002121A4">
        <w:t xml:space="preserve"> by another 11,000 shares prior to the </w:t>
      </w:r>
      <w:r w:rsidRPr="002121A4">
        <w:rPr>
          <w:szCs w:val="23"/>
        </w:rPr>
        <w:t>shareholder</w:t>
      </w:r>
      <w:r w:rsidRPr="002121A4">
        <w:t xml:space="preserve"> meeting. He does so the next day, intentionally discloses this to BaFin only after two months, immediately prior to the shareholder meeting. A, B, and C want to know whether a shareholder voting against the resolution would have a case on the merits if he contested the validity of a resolution adopted with the votes of A, B, and C (Paper 2018_1 #2.2).</w:t>
      </w:r>
      <w:bookmarkEnd w:id="145"/>
    </w:p>
    <w:p w14:paraId="27F940BE" w14:textId="4FD8293D" w:rsidR="00A037DF" w:rsidRPr="002121A4" w:rsidRDefault="00A037DF" w:rsidP="00CB30A9">
      <w:pPr>
        <w:pStyle w:val="Case"/>
      </w:pPr>
      <w:r w:rsidRPr="002121A4">
        <w:rPr>
          <w:b/>
        </w:rPr>
        <w:lastRenderedPageBreak/>
        <w:t>Notes.</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69A319BD" w14:textId="56EC7D5A" w:rsidR="00E51CCF" w:rsidRPr="002121A4" w:rsidRDefault="00E51CCF" w:rsidP="00FF1C3B">
      <w:pPr>
        <w:pStyle w:val="berschrift4"/>
        <w:rPr>
          <w:lang w:val="en-GB"/>
        </w:rPr>
      </w:pPr>
      <w:r w:rsidRPr="002121A4">
        <w:rPr>
          <w:lang w:val="en-GB"/>
        </w:rPr>
        <w:t>Information for holders of securities</w:t>
      </w:r>
    </w:p>
    <w:p w14:paraId="34F2518C" w14:textId="4CC9C7A1" w:rsidR="00FD3B9E" w:rsidRPr="002121A4" w:rsidRDefault="009F5EED" w:rsidP="000B1F19">
      <w:pPr>
        <w:pStyle w:val="Standardwithparanumbering"/>
      </w:pPr>
      <w:r w:rsidRPr="002121A4">
        <w:t>In addition to major holding disclosure, chapter II TD also deals with information for holders of shares (</w:t>
      </w:r>
      <w:r w:rsidR="001870C0" w:rsidRPr="002121A4">
        <w:t>article </w:t>
      </w:r>
      <w:r w:rsidRPr="002121A4">
        <w:t>17 TD) and debt securities (</w:t>
      </w:r>
      <w:r w:rsidR="001870C0" w:rsidRPr="002121A4">
        <w:t>article </w:t>
      </w:r>
      <w:r w:rsidR="00916A03" w:rsidRPr="002121A4">
        <w:t>18 TD</w:t>
      </w:r>
      <w:r w:rsidRPr="002121A4">
        <w:t xml:space="preserve">). </w:t>
      </w:r>
      <w:r w:rsidR="001F2802" w:rsidRPr="002121A4">
        <w:t xml:space="preserve">As a general rule, an issuer must ensure equal treatment of holders of these </w:t>
      </w:r>
      <w:r w:rsidR="00E96BB4" w:rsidRPr="002121A4">
        <w:t>securities</w:t>
      </w:r>
      <w:r w:rsidR="001F2802" w:rsidRPr="002121A4">
        <w:t xml:space="preserve">, i.e., </w:t>
      </w:r>
      <w:r w:rsidRPr="002121A4">
        <w:t>equal treatment for all holders of shares who are in the same position</w:t>
      </w:r>
      <w:r w:rsidR="001F2802" w:rsidRPr="002121A4">
        <w:t xml:space="preserve"> and equal treatment for all holders of debt securities ranking </w:t>
      </w:r>
      <w:proofErr w:type="spellStart"/>
      <w:r w:rsidR="001F2802" w:rsidRPr="002121A4">
        <w:rPr>
          <w:i/>
        </w:rPr>
        <w:t>pari</w:t>
      </w:r>
      <w:proofErr w:type="spellEnd"/>
      <w:r w:rsidR="001F2802" w:rsidRPr="002121A4">
        <w:rPr>
          <w:i/>
        </w:rPr>
        <w:t xml:space="preserve"> passu</w:t>
      </w:r>
      <w:r w:rsidR="001F2802" w:rsidRPr="002121A4">
        <w:t xml:space="preserve">, </w:t>
      </w:r>
      <w:r w:rsidR="001870C0" w:rsidRPr="002121A4">
        <w:t>article </w:t>
      </w:r>
      <w:r w:rsidRPr="002121A4">
        <w:t>17(1)</w:t>
      </w:r>
      <w:r w:rsidR="001F2802" w:rsidRPr="002121A4">
        <w:t>, 18(1)</w:t>
      </w:r>
      <w:r w:rsidRPr="002121A4">
        <w:t xml:space="preserve"> TD. They must also ensure that facilities and information necessary to enable ho</w:t>
      </w:r>
      <w:r w:rsidR="001A40A6" w:rsidRPr="002121A4">
        <w:t>ld</w:t>
      </w:r>
      <w:r w:rsidRPr="002121A4">
        <w:t>ers of shares to exercise their rights are available in the home Member State</w:t>
      </w:r>
      <w:r w:rsidR="00907E22" w:rsidRPr="002121A4">
        <w:t xml:space="preserve"> (</w:t>
      </w:r>
      <w:r w:rsidR="001870C0" w:rsidRPr="002121A4">
        <w:t>articles </w:t>
      </w:r>
      <w:r w:rsidR="00907E22" w:rsidRPr="002121A4">
        <w:t>17(2), 18(2) TD)</w:t>
      </w:r>
      <w:r w:rsidRPr="002121A4">
        <w:t xml:space="preserve">, </w:t>
      </w:r>
      <w:r w:rsidR="002B3628" w:rsidRPr="002121A4">
        <w:t>including</w:t>
      </w:r>
      <w:r w:rsidR="000B1F19">
        <w:t xml:space="preserve"> </w:t>
      </w:r>
      <w:r w:rsidR="002B3628" w:rsidRPr="002121A4">
        <w:t>information on place, time and agenda of meetings</w:t>
      </w:r>
      <w:r w:rsidR="00CC0B4A" w:rsidRPr="002121A4">
        <w:t>,</w:t>
      </w:r>
      <w:r w:rsidR="00BC10D3" w:rsidRPr="002121A4">
        <w:rPr>
          <w:rStyle w:val="Funotenzeichen"/>
        </w:rPr>
        <w:footnoteReference w:id="267"/>
      </w:r>
      <w:r w:rsidR="000B1F19">
        <w:t xml:space="preserve"> </w:t>
      </w:r>
      <w:r w:rsidR="002B3628" w:rsidRPr="002121A4">
        <w:t>availability of proxy forms</w:t>
      </w:r>
      <w:r w:rsidR="00CC0B4A" w:rsidRPr="002121A4">
        <w:t>,</w:t>
      </w:r>
      <w:r w:rsidR="00BC10D3" w:rsidRPr="002121A4">
        <w:rPr>
          <w:rStyle w:val="Funotenzeichen"/>
        </w:rPr>
        <w:footnoteReference w:id="268"/>
      </w:r>
      <w:r w:rsidR="000B1F19">
        <w:t xml:space="preserve"> </w:t>
      </w:r>
      <w:r w:rsidR="002B3628" w:rsidRPr="002121A4">
        <w:t xml:space="preserve">designation of a </w:t>
      </w:r>
      <w:r w:rsidR="00CC0B4A" w:rsidRPr="002121A4">
        <w:t>paying</w:t>
      </w:r>
      <w:r w:rsidR="002B3628" w:rsidRPr="002121A4">
        <w:t xml:space="preserve"> agent</w:t>
      </w:r>
      <w:r w:rsidR="00CC0B4A" w:rsidRPr="002121A4">
        <w:t>,</w:t>
      </w:r>
      <w:r w:rsidR="00BC10D3" w:rsidRPr="002121A4">
        <w:rPr>
          <w:rStyle w:val="Funotenzeichen"/>
        </w:rPr>
        <w:footnoteReference w:id="269"/>
      </w:r>
      <w:r w:rsidR="002B3628" w:rsidRPr="002121A4">
        <w:t xml:space="preserve"> </w:t>
      </w:r>
      <w:r w:rsidR="00CC0B4A" w:rsidRPr="002121A4">
        <w:t>and</w:t>
      </w:r>
      <w:r w:rsidR="000B1F19">
        <w:t xml:space="preserve"> </w:t>
      </w:r>
      <w:r w:rsidR="002B3628" w:rsidRPr="002121A4">
        <w:t>information on allocation and payment of dividends</w:t>
      </w:r>
      <w:r w:rsidR="00BC10D3" w:rsidRPr="002121A4">
        <w:t>.</w:t>
      </w:r>
      <w:r w:rsidR="00BC10D3" w:rsidRPr="002121A4">
        <w:rPr>
          <w:rStyle w:val="Funotenzeichen"/>
        </w:rPr>
        <w:footnoteReference w:id="270"/>
      </w:r>
      <w:r w:rsidR="002B3628" w:rsidRPr="002121A4">
        <w:t xml:space="preserve"> </w:t>
      </w:r>
      <w:r w:rsidR="00907E22" w:rsidRPr="002121A4">
        <w:t xml:space="preserve">These provisions are implemented in German law in </w:t>
      </w:r>
      <w:r w:rsidR="00916A03" w:rsidRPr="002121A4">
        <w:t xml:space="preserve">§§ 48ff. </w:t>
      </w:r>
      <w:proofErr w:type="spellStart"/>
      <w:r w:rsidR="00916A03" w:rsidRPr="002121A4">
        <w:t>WpHG</w:t>
      </w:r>
      <w:proofErr w:type="spellEnd"/>
      <w:r w:rsidR="00907E22" w:rsidRPr="002121A4">
        <w:t>.</w:t>
      </w:r>
    </w:p>
    <w:p w14:paraId="3095C439" w14:textId="65CAC57C" w:rsidR="009251CB" w:rsidRPr="002121A4" w:rsidRDefault="009251CB" w:rsidP="00AB42AA">
      <w:pPr>
        <w:pStyle w:val="Case"/>
        <w:numPr>
          <w:ilvl w:val="0"/>
          <w:numId w:val="14"/>
        </w:numPr>
        <w:ind w:left="567" w:firstLine="0"/>
        <w:rPr>
          <w:szCs w:val="23"/>
        </w:rPr>
      </w:pPr>
      <w:bookmarkStart w:id="146" w:name="_Ref163124219"/>
      <w:r w:rsidRPr="002121A4">
        <w:rPr>
          <w:szCs w:val="23"/>
        </w:rPr>
        <w:t xml:space="preserve">The </w:t>
      </w:r>
      <w:r w:rsidRPr="002121A4">
        <w:t>management</w:t>
      </w:r>
      <w:r w:rsidRPr="002121A4">
        <w:rPr>
          <w:szCs w:val="23"/>
        </w:rPr>
        <w:t xml:space="preserve"> of X AG considers </w:t>
      </w:r>
      <w:r w:rsidRPr="005152F4">
        <w:t>applying</w:t>
      </w:r>
      <w:r w:rsidRPr="002121A4">
        <w:rPr>
          <w:szCs w:val="23"/>
        </w:rPr>
        <w:t xml:space="preserve"> for listing of the shares of X. The management has the following questions:</w:t>
      </w:r>
      <w:bookmarkEnd w:id="146"/>
    </w:p>
    <w:p w14:paraId="7C95970B" w14:textId="77777777" w:rsidR="009251CB" w:rsidRPr="002121A4" w:rsidRDefault="009251CB" w:rsidP="009251CB">
      <w:pPr>
        <w:pStyle w:val="Case"/>
        <w:rPr>
          <w:szCs w:val="23"/>
        </w:rPr>
      </w:pPr>
      <w:r w:rsidRPr="002121A4">
        <w:rPr>
          <w:szCs w:val="23"/>
        </w:rPr>
        <w:t>a) What are the obligations of public disclosure for X AG as of now, i.e., prior to a listing.</w:t>
      </w:r>
    </w:p>
    <w:p w14:paraId="11D0871F" w14:textId="29E15404" w:rsidR="009251CB" w:rsidRPr="002121A4" w:rsidRDefault="009251CB" w:rsidP="009251CB">
      <w:pPr>
        <w:pStyle w:val="Case"/>
        <w:rPr>
          <w:szCs w:val="23"/>
        </w:rPr>
      </w:pPr>
      <w:r w:rsidRPr="002121A4">
        <w:rPr>
          <w:szCs w:val="23"/>
        </w:rPr>
        <w:t>b) What are the additional public disclosure requirements that come with a listing? (Paper 2018_1 #2.1)</w:t>
      </w:r>
    </w:p>
    <w:p w14:paraId="07DC6923" w14:textId="087E7A1B" w:rsidR="009251CB" w:rsidRPr="002121A4" w:rsidRDefault="009251CB" w:rsidP="009251CB">
      <w:pPr>
        <w:pStyle w:val="Case"/>
        <w:rPr>
          <w:b/>
          <w:szCs w:val="23"/>
        </w:rPr>
      </w:pPr>
      <w:r w:rsidRPr="002121A4">
        <w:rPr>
          <w:b/>
          <w:szCs w:val="23"/>
        </w:rPr>
        <w:t>Notes.</w:t>
      </w:r>
      <w:r w:rsidR="007D05A3" w:rsidRPr="002121A4">
        <w:rPr>
          <w:szCs w:val="23"/>
        </w:rPr>
        <w:t xml:space="preserve"> </w:t>
      </w:r>
      <w:r w:rsidR="00170B05" w:rsidRPr="002121A4">
        <w:rPr>
          <w:szCs w:val="23"/>
        </w:rPr>
        <w:br/>
      </w:r>
      <w:r w:rsidR="00170B05" w:rsidRPr="002121A4">
        <w:rPr>
          <w:szCs w:val="23"/>
        </w:rPr>
        <w:br/>
      </w:r>
      <w:r w:rsidR="00170B05" w:rsidRPr="002121A4">
        <w:rPr>
          <w:szCs w:val="23"/>
        </w:rPr>
        <w:br/>
      </w:r>
      <w:r w:rsidR="00170B05" w:rsidRPr="002121A4">
        <w:rPr>
          <w:szCs w:val="23"/>
        </w:rPr>
        <w:br/>
      </w:r>
      <w:r w:rsidR="00170B05" w:rsidRPr="002121A4">
        <w:rPr>
          <w:szCs w:val="23"/>
        </w:rPr>
        <w:br/>
      </w:r>
    </w:p>
    <w:p w14:paraId="16A390F9" w14:textId="630ABD03" w:rsidR="00580384" w:rsidRPr="002121A4" w:rsidRDefault="00580384" w:rsidP="00B007CA">
      <w:pPr>
        <w:pStyle w:val="berschrift3"/>
        <w:rPr>
          <w:lang w:val="en-GB"/>
        </w:rPr>
      </w:pPr>
      <w:r w:rsidRPr="002121A4">
        <w:rPr>
          <w:lang w:val="en-GB"/>
        </w:rPr>
        <w:t xml:space="preserve">Disclosure of regulated information (chapter </w:t>
      </w:r>
      <w:r w:rsidR="00D04135" w:rsidRPr="002121A4">
        <w:rPr>
          <w:lang w:val="en-GB"/>
        </w:rPr>
        <w:t>I</w:t>
      </w:r>
      <w:r w:rsidRPr="002121A4">
        <w:rPr>
          <w:lang w:val="en-GB"/>
        </w:rPr>
        <w:t>V)</w:t>
      </w:r>
    </w:p>
    <w:p w14:paraId="042448B9" w14:textId="2E5DFEC8" w:rsidR="00580384" w:rsidRPr="002121A4" w:rsidRDefault="00043755" w:rsidP="00043755">
      <w:pPr>
        <w:pStyle w:val="Standardwithparanumbering"/>
      </w:pPr>
      <w:bookmarkStart w:id="147" w:name="_Ref129774184"/>
      <w:r w:rsidRPr="002121A4">
        <w:t xml:space="preserve">Chapter </w:t>
      </w:r>
      <w:r w:rsidR="00661D21" w:rsidRPr="002121A4">
        <w:t>I</w:t>
      </w:r>
      <w:r w:rsidRPr="002121A4">
        <w:t>V TD contains general rules relating to the disclosure of “regulated information”, i.e., information that an issuer</w:t>
      </w:r>
      <w:r w:rsidR="006A4C5C" w:rsidRPr="002121A4">
        <w:rPr>
          <w:rStyle w:val="Funotenzeichen"/>
        </w:rPr>
        <w:footnoteReference w:id="271"/>
      </w:r>
      <w:r w:rsidRPr="002121A4">
        <w:t xml:space="preserve"> is required to disclose under the Transparency Directive, </w:t>
      </w:r>
      <w:r w:rsidR="001870C0" w:rsidRPr="002121A4">
        <w:t>article </w:t>
      </w:r>
      <w:r w:rsidRPr="002121A4">
        <w:t>17 MAR, or under domestic laws implementing the TD.</w:t>
      </w:r>
      <w:r w:rsidRPr="002121A4">
        <w:rPr>
          <w:rStyle w:val="Funotenzeichen"/>
        </w:rPr>
        <w:footnoteReference w:id="272"/>
      </w:r>
      <w:r w:rsidRPr="002121A4">
        <w:t xml:space="preserve"> Whenever regulated information is disclosed by an issuer, </w:t>
      </w:r>
      <w:r w:rsidR="00E863B5" w:rsidRPr="002121A4">
        <w:t>it shall be filed with the competent authority of the issuer’s home Member State.</w:t>
      </w:r>
      <w:r w:rsidR="00E863B5" w:rsidRPr="002121A4">
        <w:rPr>
          <w:rStyle w:val="Funotenzeichen"/>
        </w:rPr>
        <w:footnoteReference w:id="273"/>
      </w:r>
      <w:r w:rsidRPr="002121A4">
        <w:t xml:space="preserve"> </w:t>
      </w:r>
      <w:r w:rsidR="00E863B5" w:rsidRPr="002121A4">
        <w:t>Such disclosure has to be in a language accepted by the home Me</w:t>
      </w:r>
      <w:r w:rsidR="003B226C" w:rsidRPr="002121A4">
        <w:t>m</w:t>
      </w:r>
      <w:r w:rsidR="00E863B5" w:rsidRPr="002121A4">
        <w:t xml:space="preserve">ber State’s competent authority, and in case of admission to trading on regulated market in more than one Member </w:t>
      </w:r>
      <w:r w:rsidR="00E863B5" w:rsidRPr="002121A4">
        <w:lastRenderedPageBreak/>
        <w:t>State,</w:t>
      </w:r>
      <w:r w:rsidR="00E863B5" w:rsidRPr="002121A4">
        <w:rPr>
          <w:rStyle w:val="Funotenzeichen"/>
        </w:rPr>
        <w:footnoteReference w:id="274"/>
      </w:r>
      <w:r w:rsidR="00E863B5" w:rsidRPr="002121A4">
        <w:t xml:space="preserve"> either in a language accepted in the host Member States, or a language customary in the sphere of international finance.</w:t>
      </w:r>
      <w:r w:rsidR="00E863B5" w:rsidRPr="002121A4">
        <w:rPr>
          <w:rStyle w:val="Funotenzeichen"/>
        </w:rPr>
        <w:footnoteReference w:id="275"/>
      </w:r>
      <w:r w:rsidR="00C723BE" w:rsidRPr="002121A4">
        <w:t xml:space="preserve"> Disclosure of regulated information must be made in a manner ensuring fast access to such information on a non-discriminatory basis, and must be made available through an officially appointed mechanism for the central storage of regulated information.</w:t>
      </w:r>
      <w:r w:rsidR="00C723BE" w:rsidRPr="002121A4">
        <w:rPr>
          <w:rStyle w:val="Funotenzeichen"/>
        </w:rPr>
        <w:footnoteReference w:id="276"/>
      </w:r>
      <w:r w:rsidR="00C723BE" w:rsidRPr="002121A4">
        <w:t xml:space="preserve"> In Germany, the central storage mechanism is the </w:t>
      </w:r>
      <w:proofErr w:type="spellStart"/>
      <w:r w:rsidR="00C723BE" w:rsidRPr="002121A4">
        <w:rPr>
          <w:i/>
        </w:rPr>
        <w:t>Unternehmensregister</w:t>
      </w:r>
      <w:proofErr w:type="spellEnd"/>
      <w:r w:rsidR="00C723BE" w:rsidRPr="002121A4">
        <w:t xml:space="preserve"> under § 8b HGB.</w:t>
      </w:r>
      <w:bookmarkEnd w:id="147"/>
    </w:p>
    <w:p w14:paraId="2B0E5682" w14:textId="0A0F2FEF" w:rsidR="00FF0B6B" w:rsidRPr="002121A4" w:rsidRDefault="00FF0B6B" w:rsidP="00B007CA">
      <w:pPr>
        <w:pStyle w:val="berschrift3"/>
        <w:rPr>
          <w:lang w:val="en-GB"/>
        </w:rPr>
      </w:pPr>
      <w:r w:rsidRPr="002121A4">
        <w:rPr>
          <w:lang w:val="en-GB"/>
        </w:rPr>
        <w:t>S</w:t>
      </w:r>
      <w:r w:rsidR="000E462A" w:rsidRPr="002121A4">
        <w:rPr>
          <w:lang w:val="en-GB"/>
        </w:rPr>
        <w:t>upervision, s</w:t>
      </w:r>
      <w:r w:rsidRPr="002121A4">
        <w:rPr>
          <w:lang w:val="en-GB"/>
        </w:rPr>
        <w:t>anctions and measures (chapter</w:t>
      </w:r>
      <w:r w:rsidR="000E462A" w:rsidRPr="002121A4">
        <w:rPr>
          <w:lang w:val="en-GB"/>
        </w:rPr>
        <w:t>s V</w:t>
      </w:r>
      <w:r w:rsidR="00AD2223" w:rsidRPr="002121A4">
        <w:rPr>
          <w:lang w:val="en-GB"/>
        </w:rPr>
        <w:t>, VIA</w:t>
      </w:r>
      <w:r w:rsidR="00661D21" w:rsidRPr="002121A4">
        <w:rPr>
          <w:lang w:val="en-GB"/>
        </w:rPr>
        <w:t xml:space="preserve"> and </w:t>
      </w:r>
      <w:r w:rsidRPr="002121A4">
        <w:rPr>
          <w:lang w:val="en-GB"/>
        </w:rPr>
        <w:t>VI</w:t>
      </w:r>
      <w:r w:rsidR="00AD2223" w:rsidRPr="002121A4">
        <w:rPr>
          <w:lang w:val="en-GB"/>
        </w:rPr>
        <w:t>B</w:t>
      </w:r>
      <w:r w:rsidRPr="002121A4">
        <w:rPr>
          <w:lang w:val="en-GB"/>
        </w:rPr>
        <w:t xml:space="preserve"> TD)</w:t>
      </w:r>
    </w:p>
    <w:p w14:paraId="63DC5EAD" w14:textId="054F5A5C" w:rsidR="004E794F" w:rsidRDefault="00661D21" w:rsidP="00295109">
      <w:pPr>
        <w:pStyle w:val="Standardwithparanumbering"/>
      </w:pPr>
      <w:r w:rsidRPr="002121A4">
        <w:t>Supervision and p</w:t>
      </w:r>
      <w:r w:rsidR="00FF0B6B" w:rsidRPr="002121A4">
        <w:t>ublic enforcement is dealt with in chapter</w:t>
      </w:r>
      <w:r w:rsidRPr="002121A4">
        <w:t>s</w:t>
      </w:r>
      <w:r w:rsidR="00FF0B6B" w:rsidRPr="002121A4">
        <w:t xml:space="preserve"> </w:t>
      </w:r>
      <w:r w:rsidRPr="002121A4">
        <w:t>V</w:t>
      </w:r>
      <w:r w:rsidR="00AD2223" w:rsidRPr="002121A4">
        <w:t>, VIA</w:t>
      </w:r>
      <w:r w:rsidRPr="002121A4">
        <w:t xml:space="preserve"> and </w:t>
      </w:r>
      <w:r w:rsidR="00FF0B6B" w:rsidRPr="002121A4">
        <w:t>VI</w:t>
      </w:r>
      <w:r w:rsidR="00AD2223" w:rsidRPr="002121A4">
        <w:t>B</w:t>
      </w:r>
      <w:r w:rsidR="00FF0B6B" w:rsidRPr="002121A4">
        <w:t xml:space="preserve"> TD. </w:t>
      </w:r>
      <w:r w:rsidRPr="002121A4">
        <w:t>Member States designate a central authority responsible for carrying out the obligations under the TD;</w:t>
      </w:r>
      <w:r w:rsidRPr="002121A4">
        <w:rPr>
          <w:rStyle w:val="Funotenzeichen"/>
        </w:rPr>
        <w:footnoteReference w:id="277"/>
      </w:r>
      <w:r w:rsidRPr="002121A4">
        <w:t xml:space="preserve"> in Germany, this is BaFin.</w:t>
      </w:r>
      <w:r w:rsidR="0095240B" w:rsidRPr="002121A4">
        <w:rPr>
          <w:rStyle w:val="Funotenzeichen"/>
        </w:rPr>
        <w:footnoteReference w:id="278"/>
      </w:r>
      <w:r w:rsidRPr="002121A4">
        <w:t xml:space="preserve"> </w:t>
      </w:r>
      <w:r w:rsidR="00FF0B6B" w:rsidRPr="002121A4">
        <w:t>Member States must lay down administrative measures and sanctions that are effective, proportionate and dissuasive,</w:t>
      </w:r>
      <w:r w:rsidR="0095240B" w:rsidRPr="002121A4">
        <w:rPr>
          <w:rStyle w:val="Funotenzeichen"/>
        </w:rPr>
        <w:footnoteReference w:id="279"/>
      </w:r>
      <w:r w:rsidR="00FF0B6B" w:rsidRPr="002121A4">
        <w:t xml:space="preserve"> applying at least to failure by an issuer to make </w:t>
      </w:r>
      <w:r w:rsidR="00FA2344" w:rsidRPr="002121A4">
        <w:t xml:space="preserve">disclosures under </w:t>
      </w:r>
      <w:r w:rsidR="001870C0" w:rsidRPr="002121A4">
        <w:t>articles </w:t>
      </w:r>
      <w:r w:rsidR="00FA2344" w:rsidRPr="002121A4">
        <w:t>4–6</w:t>
      </w:r>
      <w:r w:rsidR="0095240B" w:rsidRPr="002121A4">
        <w:t>,</w:t>
      </w:r>
      <w:r w:rsidR="00FA2344" w:rsidRPr="002121A4">
        <w:t xml:space="preserve"> 14 and 16 TD, and failures to notify major holdings in accordance with </w:t>
      </w:r>
      <w:r w:rsidR="001870C0" w:rsidRPr="002121A4">
        <w:t>articles </w:t>
      </w:r>
      <w:r w:rsidR="00FA2344" w:rsidRPr="002121A4">
        <w:t>9–13a TD.</w:t>
      </w:r>
      <w:r w:rsidR="0095240B" w:rsidRPr="002121A4">
        <w:rPr>
          <w:rStyle w:val="Funotenzeichen"/>
        </w:rPr>
        <w:footnoteReference w:id="280"/>
      </w:r>
      <w:r w:rsidR="00FA2344" w:rsidRPr="002121A4">
        <w:t xml:space="preserve"> Sanctioning powers include the well-known mechanisms, e.g., </w:t>
      </w:r>
      <w:r w:rsidR="0095240B" w:rsidRPr="002121A4">
        <w:t>public</w:t>
      </w:r>
      <w:r w:rsidR="005C2C48" w:rsidRPr="002121A4">
        <w:t xml:space="preserve"> statements on breaches and responsible persons</w:t>
      </w:r>
      <w:r w:rsidR="0095240B" w:rsidRPr="002121A4">
        <w:t>,</w:t>
      </w:r>
      <w:r w:rsidR="0095240B" w:rsidRPr="002121A4">
        <w:rPr>
          <w:rStyle w:val="Funotenzeichen"/>
        </w:rPr>
        <w:footnoteReference w:id="281"/>
      </w:r>
      <w:r w:rsidR="0095240B" w:rsidRPr="002121A4">
        <w:t xml:space="preserve"> </w:t>
      </w:r>
      <w:r w:rsidR="00FA2344" w:rsidRPr="002121A4">
        <w:t>cease and desist orders</w:t>
      </w:r>
      <w:r w:rsidR="0095240B" w:rsidRPr="002121A4">
        <w:rPr>
          <w:rStyle w:val="Funotenzeichen"/>
        </w:rPr>
        <w:footnoteReference w:id="282"/>
      </w:r>
      <w:r w:rsidR="00FA2344" w:rsidRPr="002121A4">
        <w:t xml:space="preserve"> and pecuniary sanctions.</w:t>
      </w:r>
      <w:r w:rsidR="0095240B" w:rsidRPr="002121A4">
        <w:rPr>
          <w:rStyle w:val="Funotenzeichen"/>
        </w:rPr>
        <w:footnoteReference w:id="283"/>
      </w:r>
      <w:r w:rsidR="0095240B" w:rsidRPr="002121A4">
        <w:t xml:space="preserve"> NCAs have to publish every decision on sanctions and measures imposed for a breach of the Transparency Directive without undue delay.</w:t>
      </w:r>
      <w:r w:rsidR="0095240B" w:rsidRPr="002121A4">
        <w:rPr>
          <w:rStyle w:val="Funotenzeichen"/>
        </w:rPr>
        <w:footnoteReference w:id="284"/>
      </w:r>
      <w:r w:rsidR="00CB42D4">
        <w:t xml:space="preserve"> </w:t>
      </w:r>
    </w:p>
    <w:p w14:paraId="5273C5A1" w14:textId="550AFC72" w:rsidR="002E4B65" w:rsidRPr="00962F10" w:rsidRDefault="00CB42D4" w:rsidP="00962F10">
      <w:pPr>
        <w:pStyle w:val="Standardwithparanumbering"/>
      </w:pPr>
      <w:r w:rsidRPr="00CB42D4">
        <w:t xml:space="preserve">Pursuant to § 4(4) </w:t>
      </w:r>
      <w:proofErr w:type="spellStart"/>
      <w:r w:rsidRPr="00CB42D4">
        <w:t>FinDAG</w:t>
      </w:r>
      <w:proofErr w:type="spellEnd"/>
      <w:r w:rsidRPr="00CB42D4">
        <w:t xml:space="preserve">, BaFin exercises supervision only in the public interest, so a breach of supervision requirements arguably does not give rise to investor claims. It is, however, an open question whether this is in line with article 24 TD which </w:t>
      </w:r>
      <w:r>
        <w:t xml:space="preserve">can </w:t>
      </w:r>
      <w:r w:rsidRPr="00CB42D4">
        <w:t>be read to imply that where Member States are required to establish NCAs, this is also in the interest of private investors where the directive itself aims at protecting individual investors.</w:t>
      </w:r>
      <w:r>
        <w:rPr>
          <w:rStyle w:val="Funotenzeichen"/>
        </w:rPr>
        <w:footnoteReference w:id="285"/>
      </w:r>
      <w:r w:rsidRPr="00CB42D4">
        <w:t xml:space="preserve"> The BGH decision in Wirecard left this question open on the basis that BaFin supervision met all requirement</w:t>
      </w:r>
      <w:r w:rsidR="00511F3F">
        <w:t>s</w:t>
      </w:r>
      <w:r w:rsidR="00101FC9">
        <w:t xml:space="preserve"> pursuant to the TD</w:t>
      </w:r>
      <w:r w:rsidRPr="00CB42D4">
        <w:t>.</w:t>
      </w:r>
      <w:r w:rsidR="006E73B5">
        <w:rPr>
          <w:rStyle w:val="Funotenzeichen"/>
        </w:rPr>
        <w:footnoteReference w:id="286"/>
      </w:r>
    </w:p>
    <w:p w14:paraId="7D23E3F6" w14:textId="2340D45F" w:rsidR="00E51CCF" w:rsidRPr="002121A4" w:rsidRDefault="00E51CCF" w:rsidP="00A83093">
      <w:pPr>
        <w:pStyle w:val="berschrift2"/>
        <w:rPr>
          <w:lang w:val="en-GB"/>
        </w:rPr>
      </w:pPr>
      <w:bookmarkStart w:id="148" w:name="_Toc194577780"/>
      <w:r w:rsidRPr="002121A4">
        <w:rPr>
          <w:lang w:val="en-GB"/>
        </w:rPr>
        <w:t>Reading assignment</w:t>
      </w:r>
      <w:bookmarkEnd w:id="148"/>
      <w:r w:rsidRPr="002121A4">
        <w:rPr>
          <w:lang w:val="en-GB"/>
        </w:rPr>
        <w:t xml:space="preserve"> </w:t>
      </w:r>
    </w:p>
    <w:p w14:paraId="0D817C6E" w14:textId="058BF34E" w:rsidR="00B714EE" w:rsidRPr="002121A4" w:rsidRDefault="00E51CCF" w:rsidP="00B714EE">
      <w:pPr>
        <w:rPr>
          <w:szCs w:val="29"/>
          <w:lang w:val="en-GB"/>
        </w:rPr>
      </w:pPr>
      <w:r w:rsidRPr="002121A4">
        <w:rPr>
          <w:szCs w:val="23"/>
          <w:lang w:val="en-GB"/>
        </w:rPr>
        <w:t xml:space="preserve">Buck-Heeb, </w:t>
      </w:r>
      <w:proofErr w:type="spellStart"/>
      <w:r w:rsidRPr="002121A4">
        <w:rPr>
          <w:i/>
          <w:szCs w:val="23"/>
          <w:lang w:val="en-GB"/>
        </w:rPr>
        <w:t>Kapitalmarktrecht</w:t>
      </w:r>
      <w:proofErr w:type="spellEnd"/>
      <w:r w:rsidRPr="002121A4">
        <w:rPr>
          <w:szCs w:val="23"/>
          <w:lang w:val="en-GB"/>
        </w:rPr>
        <w:t>, §§ 8–10</w:t>
      </w:r>
      <w:r w:rsidR="00675039" w:rsidRPr="002121A4">
        <w:rPr>
          <w:szCs w:val="23"/>
          <w:lang w:val="en-GB"/>
        </w:rPr>
        <w:t>,</w:t>
      </w:r>
      <w:r w:rsidRPr="002121A4">
        <w:rPr>
          <w:szCs w:val="23"/>
          <w:lang w:val="en-GB"/>
        </w:rPr>
        <w:t xml:space="preserve"> </w:t>
      </w:r>
      <w:r w:rsidR="00081223" w:rsidRPr="002121A4">
        <w:rPr>
          <w:szCs w:val="23"/>
          <w:lang w:val="en-GB"/>
        </w:rPr>
        <w:t xml:space="preserve">Veil, </w:t>
      </w:r>
      <w:r w:rsidR="00081223" w:rsidRPr="002121A4">
        <w:rPr>
          <w:i/>
          <w:szCs w:val="23"/>
          <w:lang w:val="en-GB"/>
        </w:rPr>
        <w:t>E</w:t>
      </w:r>
      <w:r w:rsidR="007932BE" w:rsidRPr="002121A4">
        <w:rPr>
          <w:i/>
          <w:szCs w:val="23"/>
          <w:lang w:val="en-GB"/>
        </w:rPr>
        <w:t>uropean</w:t>
      </w:r>
      <w:r w:rsidR="00081223" w:rsidRPr="002121A4">
        <w:rPr>
          <w:i/>
          <w:szCs w:val="23"/>
          <w:lang w:val="en-GB"/>
        </w:rPr>
        <w:t xml:space="preserve"> Capital Markets Law</w:t>
      </w:r>
      <w:r w:rsidR="00081223" w:rsidRPr="002121A4">
        <w:rPr>
          <w:szCs w:val="23"/>
          <w:lang w:val="en-GB"/>
        </w:rPr>
        <w:t xml:space="preserve">, </w:t>
      </w:r>
      <w:r w:rsidR="005C72E9" w:rsidRPr="002121A4">
        <w:rPr>
          <w:szCs w:val="23"/>
          <w:lang w:val="en-GB"/>
        </w:rPr>
        <w:t>§§ 18, 20</w:t>
      </w:r>
      <w:r w:rsidR="00372A49" w:rsidRPr="002121A4">
        <w:rPr>
          <w:szCs w:val="23"/>
          <w:lang w:val="en-GB"/>
        </w:rPr>
        <w:t>. Further reading:</w:t>
      </w:r>
      <w:r w:rsidR="00181D34" w:rsidRPr="002121A4">
        <w:rPr>
          <w:szCs w:val="23"/>
          <w:lang w:val="en-GB"/>
        </w:rPr>
        <w:t xml:space="preserve"> Case C-605/18 </w:t>
      </w:r>
      <w:r w:rsidR="00181D34" w:rsidRPr="002121A4">
        <w:rPr>
          <w:i/>
          <w:szCs w:val="23"/>
          <w:lang w:val="en-GB"/>
        </w:rPr>
        <w:t xml:space="preserve">Adler Real Estate v. </w:t>
      </w:r>
      <w:proofErr w:type="spellStart"/>
      <w:r w:rsidR="00181D34" w:rsidRPr="002121A4">
        <w:rPr>
          <w:i/>
          <w:szCs w:val="23"/>
          <w:lang w:val="en-GB"/>
        </w:rPr>
        <w:t>Finanzmarktaufsichtsbehörde</w:t>
      </w:r>
      <w:proofErr w:type="spellEnd"/>
      <w:r w:rsidR="00181D34" w:rsidRPr="002121A4">
        <w:rPr>
          <w:i/>
          <w:szCs w:val="23"/>
          <w:lang w:val="en-GB"/>
        </w:rPr>
        <w:t xml:space="preserve"> (FMA)</w:t>
      </w:r>
    </w:p>
    <w:p w14:paraId="01E5D9EA" w14:textId="29382377" w:rsidR="00E51CCF" w:rsidRPr="002121A4" w:rsidRDefault="00E51CCF" w:rsidP="00A83093">
      <w:pPr>
        <w:pStyle w:val="berschrift1"/>
        <w:rPr>
          <w:lang w:val="en-GB"/>
        </w:rPr>
      </w:pPr>
      <w:bookmarkStart w:id="149" w:name="_Ref125374751"/>
      <w:bookmarkStart w:id="150" w:name="_Toc194577781"/>
      <w:r w:rsidRPr="002121A4">
        <w:rPr>
          <w:lang w:val="en-GB"/>
        </w:rPr>
        <w:lastRenderedPageBreak/>
        <w:t>Takeover B</w:t>
      </w:r>
      <w:r w:rsidR="00534A61" w:rsidRPr="002121A4">
        <w:rPr>
          <w:lang w:val="en-GB"/>
        </w:rPr>
        <w:t>id</w:t>
      </w:r>
      <w:r w:rsidR="00811C7D" w:rsidRPr="002121A4">
        <w:rPr>
          <w:lang w:val="en-GB"/>
        </w:rPr>
        <w:t>s</w:t>
      </w:r>
      <w:bookmarkEnd w:id="149"/>
      <w:bookmarkEnd w:id="150"/>
    </w:p>
    <w:p w14:paraId="69E5889F" w14:textId="34512BAE" w:rsidR="00E51CCF" w:rsidRPr="002121A4" w:rsidRDefault="00A355E9" w:rsidP="00A83093">
      <w:pPr>
        <w:pStyle w:val="berschrift2"/>
        <w:rPr>
          <w:lang w:val="en-GB"/>
        </w:rPr>
      </w:pPr>
      <w:bookmarkStart w:id="151" w:name="_Toc194577782"/>
      <w:r w:rsidRPr="002121A4">
        <w:rPr>
          <w:lang w:val="en-GB"/>
        </w:rPr>
        <w:t>Overview</w:t>
      </w:r>
      <w:bookmarkEnd w:id="151"/>
    </w:p>
    <w:p w14:paraId="290591F9" w14:textId="576CBED8" w:rsidR="000D1ECC" w:rsidRPr="002121A4" w:rsidRDefault="003D610C" w:rsidP="000D1ECC">
      <w:pPr>
        <w:pStyle w:val="Standardwithparanumbering"/>
      </w:pPr>
      <w:r w:rsidRPr="002121A4">
        <w:t xml:space="preserve">Takeover bids </w:t>
      </w:r>
      <w:r w:rsidR="00F72BA1" w:rsidRPr="002121A4">
        <w:t>are</w:t>
      </w:r>
      <w:r w:rsidRPr="002121A4">
        <w:t xml:space="preserve"> offers to shareholder</w:t>
      </w:r>
      <w:r w:rsidR="00E9766B">
        <w:t>s</w:t>
      </w:r>
      <w:r w:rsidRPr="002121A4">
        <w:t xml:space="preserve"> of a company to acquire all or some of the shares</w:t>
      </w:r>
      <w:r w:rsidR="00F72BA1" w:rsidRPr="002121A4">
        <w:rPr>
          <w:rStyle w:val="Funotenzeichen"/>
        </w:rPr>
        <w:footnoteReference w:id="287"/>
      </w:r>
      <w:r w:rsidRPr="002121A4">
        <w:t xml:space="preserve"> </w:t>
      </w:r>
      <w:r w:rsidR="00126A97" w:rsidRPr="002121A4">
        <w:t xml:space="preserve">of the target company </w:t>
      </w:r>
      <w:r w:rsidRPr="002121A4">
        <w:t>at a certain price</w:t>
      </w:r>
      <w:r w:rsidR="00480987" w:rsidRPr="002121A4">
        <w:t xml:space="preserve"> determined by the offeror</w:t>
      </w:r>
      <w:r w:rsidR="00F72BA1" w:rsidRPr="002121A4">
        <w:t>.</w:t>
      </w:r>
      <w:r w:rsidRPr="002121A4">
        <w:t xml:space="preserve"> </w:t>
      </w:r>
      <w:r w:rsidR="00480987" w:rsidRPr="002121A4">
        <w:t xml:space="preserve">Such offers </w:t>
      </w:r>
      <w:r w:rsidRPr="002121A4">
        <w:t xml:space="preserve">raise conflicting policy issues: on the one hand, a “market for corporate control” is perceived as desirable in that it enables investors to obtain control over </w:t>
      </w:r>
      <w:r w:rsidR="005524BC" w:rsidRPr="002121A4">
        <w:t xml:space="preserve">mismanaged </w:t>
      </w:r>
      <w:r w:rsidRPr="002121A4">
        <w:t xml:space="preserve">companies </w:t>
      </w:r>
      <w:r w:rsidR="00864705" w:rsidRPr="002121A4">
        <w:t xml:space="preserve">in order </w:t>
      </w:r>
      <w:r w:rsidRPr="002121A4">
        <w:t xml:space="preserve">to put in place a more efficient management. On the other hand, there </w:t>
      </w:r>
      <w:r w:rsidR="00F72BA1" w:rsidRPr="002121A4">
        <w:t>is a potential for significant imbalance between the offeror on the one hand and the addressees of the offer on the other hand.</w:t>
      </w:r>
      <w:r w:rsidR="00480987" w:rsidRPr="002121A4">
        <w:t xml:space="preserve"> These concerns were taken up at EU level as early as 1989 with a Commission proposal for a directive,</w:t>
      </w:r>
      <w:r w:rsidR="00126A97" w:rsidRPr="002121A4">
        <w:rPr>
          <w:rStyle w:val="Funotenzeichen"/>
        </w:rPr>
        <w:footnoteReference w:id="288"/>
      </w:r>
      <w:r w:rsidR="00480987" w:rsidRPr="002121A4">
        <w:t xml:space="preserve"> but</w:t>
      </w:r>
      <w:r w:rsidR="00126A97" w:rsidRPr="002121A4">
        <w:t>,</w:t>
      </w:r>
      <w:r w:rsidR="00480987" w:rsidRPr="002121A4">
        <w:t xml:space="preserve"> </w:t>
      </w:r>
      <w:r w:rsidR="007649BE" w:rsidRPr="002121A4">
        <w:t>ultimately</w:t>
      </w:r>
      <w:r w:rsidR="00126A97" w:rsidRPr="002121A4">
        <w:t>,</w:t>
      </w:r>
      <w:r w:rsidR="007649BE" w:rsidRPr="002121A4">
        <w:t xml:space="preserve"> </w:t>
      </w:r>
      <w:r w:rsidR="00126A97" w:rsidRPr="002121A4">
        <w:t>the</w:t>
      </w:r>
      <w:r w:rsidR="007649BE" w:rsidRPr="002121A4">
        <w:t xml:space="preserve"> </w:t>
      </w:r>
      <w:r w:rsidR="00480987" w:rsidRPr="002121A4">
        <w:t xml:space="preserve">Directive on Takeover Bids </w:t>
      </w:r>
      <w:r w:rsidR="009A3BED" w:rsidRPr="002121A4">
        <w:t xml:space="preserve">(TBD) </w:t>
      </w:r>
      <w:r w:rsidR="00480987" w:rsidRPr="002121A4">
        <w:t xml:space="preserve">was </w:t>
      </w:r>
      <w:r w:rsidR="007649BE" w:rsidRPr="002121A4">
        <w:t xml:space="preserve">only </w:t>
      </w:r>
      <w:r w:rsidR="00480987" w:rsidRPr="002121A4">
        <w:t>adopted</w:t>
      </w:r>
      <w:r w:rsidR="007649BE" w:rsidRPr="002121A4">
        <w:t xml:space="preserve"> in 2004</w:t>
      </w:r>
      <w:r w:rsidR="00480987" w:rsidRPr="002121A4">
        <w:t>.</w:t>
      </w:r>
      <w:r w:rsidR="00884860" w:rsidRPr="002121A4">
        <w:t xml:space="preserve"> It is a framework directive which leaves Member States large discretion as to the implementation in domestic law. This chapter will present the essential building blocks of the TBD, and its implementation in German law by the </w:t>
      </w:r>
      <w:proofErr w:type="spellStart"/>
      <w:r w:rsidR="00884860" w:rsidRPr="002121A4">
        <w:rPr>
          <w:i/>
        </w:rPr>
        <w:t>Wertpapierangebots</w:t>
      </w:r>
      <w:proofErr w:type="spellEnd"/>
      <w:r w:rsidR="00884860" w:rsidRPr="002121A4">
        <w:rPr>
          <w:i/>
        </w:rPr>
        <w:t xml:space="preserve">- und </w:t>
      </w:r>
      <w:proofErr w:type="spellStart"/>
      <w:r w:rsidR="00884860" w:rsidRPr="002121A4">
        <w:rPr>
          <w:i/>
        </w:rPr>
        <w:t>Übernahmegesetz</w:t>
      </w:r>
      <w:proofErr w:type="spellEnd"/>
      <w:r w:rsidR="00884860" w:rsidRPr="002121A4">
        <w:t xml:space="preserve"> (</w:t>
      </w:r>
      <w:proofErr w:type="spellStart"/>
      <w:r w:rsidR="00884860" w:rsidRPr="002121A4">
        <w:t>WpÜG</w:t>
      </w:r>
      <w:proofErr w:type="spellEnd"/>
      <w:r w:rsidR="00884860" w:rsidRPr="002121A4">
        <w:t>).</w:t>
      </w:r>
    </w:p>
    <w:p w14:paraId="010BA0D7" w14:textId="78D170CE" w:rsidR="00E51CCF" w:rsidRPr="002121A4" w:rsidRDefault="00E51CCF" w:rsidP="002F0E86">
      <w:pPr>
        <w:pStyle w:val="berschrift2"/>
        <w:rPr>
          <w:lang w:val="en-GB"/>
        </w:rPr>
      </w:pPr>
      <w:bookmarkStart w:id="152" w:name="_Toc194577783"/>
      <w:r w:rsidRPr="002121A4">
        <w:rPr>
          <w:lang w:val="en-GB"/>
        </w:rPr>
        <w:t>EU Takeover Bids Directive</w:t>
      </w:r>
      <w:bookmarkEnd w:id="152"/>
    </w:p>
    <w:p w14:paraId="362615B3" w14:textId="6068CBE7" w:rsidR="00E51CCF" w:rsidRPr="002121A4" w:rsidRDefault="00126A97" w:rsidP="002F5FD1">
      <w:pPr>
        <w:pStyle w:val="Standardwithparanumbering"/>
      </w:pPr>
      <w:r w:rsidRPr="002121A4">
        <w:t>One of t</w:t>
      </w:r>
      <w:r w:rsidR="009A3BED" w:rsidRPr="002121A4">
        <w:t>he r</w:t>
      </w:r>
      <w:r w:rsidR="00E51CCF" w:rsidRPr="002121A4">
        <w:t xml:space="preserve">egulatory objectives of the </w:t>
      </w:r>
      <w:r w:rsidR="009A3BED" w:rsidRPr="002121A4">
        <w:t xml:space="preserve">TBD </w:t>
      </w:r>
      <w:r w:rsidRPr="002121A4">
        <w:t xml:space="preserve">is </w:t>
      </w:r>
      <w:r w:rsidR="009A3BED" w:rsidRPr="002121A4">
        <w:t xml:space="preserve">to protect the interests of shareholders of companies when those companies are the subject of takeover bids or of </w:t>
      </w:r>
      <w:r w:rsidR="00E9766B">
        <w:t xml:space="preserve">a </w:t>
      </w:r>
      <w:r w:rsidR="009A3BED" w:rsidRPr="002121A4">
        <w:t>change of control.</w:t>
      </w:r>
      <w:r w:rsidR="009A3BED" w:rsidRPr="002121A4">
        <w:rPr>
          <w:rStyle w:val="Funotenzeichen"/>
        </w:rPr>
        <w:footnoteReference w:id="289"/>
      </w:r>
      <w:r w:rsidR="009A3BED" w:rsidRPr="002121A4">
        <w:t xml:space="preserve"> The Directive also seeks to create “Community-wide clarity and transparency in respect of legal issues to be settled in the event of takeover bids and to prevent patterns of corporate restructuring within the Community from being distorted by arbitrary differences in governance and management cultures”.</w:t>
      </w:r>
      <w:r w:rsidR="009A3BED" w:rsidRPr="002121A4">
        <w:rPr>
          <w:rStyle w:val="Funotenzeichen"/>
        </w:rPr>
        <w:footnoteReference w:id="290"/>
      </w:r>
      <w:r w:rsidR="008E73EE" w:rsidRPr="002121A4">
        <w:t xml:space="preserve"> </w:t>
      </w:r>
      <w:r w:rsidR="00414CC2" w:rsidRPr="002121A4">
        <w:t xml:space="preserve">It facilitates cross-border bids in defining one single competent supervisory authority and applicable law; in this context, most cases will fall under </w:t>
      </w:r>
      <w:r w:rsidR="001870C0" w:rsidRPr="002121A4">
        <w:t>article </w:t>
      </w:r>
      <w:r w:rsidR="00414CC2" w:rsidRPr="002121A4">
        <w:t xml:space="preserve">4(2)(a) TBD, attributing supervision to the Member State in which the offeree company has its registered office if the shares are admitted to trading on a regulated market in that Member State. </w:t>
      </w:r>
    </w:p>
    <w:p w14:paraId="329D610C" w14:textId="34BD1625" w:rsidR="00457130" w:rsidRPr="002121A4" w:rsidRDefault="009F33AA" w:rsidP="0056589E">
      <w:pPr>
        <w:pStyle w:val="Standardwithparanumbering"/>
      </w:pPr>
      <w:bookmarkStart w:id="153" w:name="_Ref127865039"/>
      <w:r w:rsidRPr="002121A4">
        <w:t xml:space="preserve">The directive covers </w:t>
      </w:r>
      <w:r w:rsidR="00126A97" w:rsidRPr="002121A4">
        <w:t xml:space="preserve">only </w:t>
      </w:r>
      <w:r w:rsidRPr="002121A4">
        <w:t>bids</w:t>
      </w:r>
      <w:r w:rsidR="00126A97" w:rsidRPr="002121A4">
        <w:t xml:space="preserve"> with certain characteristics</w:t>
      </w:r>
      <w:r w:rsidR="009B2B5E" w:rsidRPr="002121A4">
        <w:t xml:space="preserve">: first, a </w:t>
      </w:r>
      <w:r w:rsidR="004E3D0B" w:rsidRPr="002121A4">
        <w:t>“takeover bid” or “</w:t>
      </w:r>
      <w:r w:rsidR="009B2B5E" w:rsidRPr="002121A4">
        <w:t>bid</w:t>
      </w:r>
      <w:r w:rsidR="004E3D0B" w:rsidRPr="002121A4">
        <w:t>”</w:t>
      </w:r>
      <w:r w:rsidR="009B2B5E" w:rsidRPr="002121A4">
        <w:t xml:space="preserve"> within the meaning of the directive requires that the bid follows</w:t>
      </w:r>
      <w:r w:rsidR="00126A97" w:rsidRPr="002121A4">
        <w:t>,</w:t>
      </w:r>
      <w:r w:rsidR="009B2B5E" w:rsidRPr="002121A4">
        <w:t xml:space="preserve"> or has as its objective</w:t>
      </w:r>
      <w:r w:rsidR="00126A97" w:rsidRPr="002121A4">
        <w:t>,</w:t>
      </w:r>
      <w:r w:rsidR="009B2B5E" w:rsidRPr="002121A4">
        <w:t xml:space="preserve"> the acquisition of control of the offeree company.</w:t>
      </w:r>
      <w:r w:rsidR="00126A97" w:rsidRPr="002121A4">
        <w:rPr>
          <w:rStyle w:val="Funotenzeichen"/>
        </w:rPr>
        <w:footnoteReference w:id="291"/>
      </w:r>
      <w:r w:rsidR="009B2B5E" w:rsidRPr="002121A4">
        <w:t xml:space="preserve"> </w:t>
      </w:r>
      <w:r w:rsidR="004E3D0B" w:rsidRPr="002121A4">
        <w:t xml:space="preserve">Other offers are not </w:t>
      </w:r>
      <w:r w:rsidR="00FB16E6" w:rsidRPr="002121A4">
        <w:t xml:space="preserve">covered by </w:t>
      </w:r>
      <w:r w:rsidR="004E3D0B" w:rsidRPr="002121A4">
        <w:t xml:space="preserve">the TBD. </w:t>
      </w:r>
      <w:r w:rsidR="009B2B5E" w:rsidRPr="002121A4">
        <w:t>Second, as regards</w:t>
      </w:r>
      <w:r w:rsidRPr="002121A4">
        <w:t xml:space="preserve"> </w:t>
      </w:r>
      <w:r w:rsidR="009B2B5E" w:rsidRPr="002121A4">
        <w:t xml:space="preserve">the </w:t>
      </w:r>
      <w:r w:rsidRPr="002121A4">
        <w:t xml:space="preserve">securities </w:t>
      </w:r>
      <w:r w:rsidR="009B2B5E" w:rsidRPr="002121A4">
        <w:t xml:space="preserve">involved, the directive defines these as </w:t>
      </w:r>
      <w:r w:rsidRPr="002121A4">
        <w:t>“transferable securities carrying voting rights in a company”,</w:t>
      </w:r>
      <w:r w:rsidR="00126A97" w:rsidRPr="002121A4">
        <w:rPr>
          <w:rStyle w:val="Funotenzeichen"/>
        </w:rPr>
        <w:footnoteReference w:id="292"/>
      </w:r>
      <w:r w:rsidRPr="002121A4">
        <w:t xml:space="preserve"> i.e., ordinary shares. Accordingly, preference shares and debt instruments fall outside the scope of application</w:t>
      </w:r>
      <w:r w:rsidR="009B2B5E" w:rsidRPr="002121A4">
        <w:t xml:space="preserve"> of the directive</w:t>
      </w:r>
      <w:r w:rsidRPr="002121A4">
        <w:t xml:space="preserve">. </w:t>
      </w:r>
      <w:r w:rsidR="009B2B5E" w:rsidRPr="002121A4">
        <w:t>Last</w:t>
      </w:r>
      <w:r w:rsidRPr="002121A4">
        <w:t>, the directive only regulates transactions where at least some of the shares with voting rights issued by the offeree company are admitted to trading on a regulated market.</w:t>
      </w:r>
      <w:bookmarkEnd w:id="153"/>
      <w:r w:rsidR="00126A97" w:rsidRPr="002121A4">
        <w:rPr>
          <w:rStyle w:val="Funotenzeichen"/>
        </w:rPr>
        <w:footnoteReference w:id="293"/>
      </w:r>
      <w:r w:rsidRPr="002121A4">
        <w:t xml:space="preserve"> </w:t>
      </w:r>
    </w:p>
    <w:p w14:paraId="248D8891" w14:textId="0CF94424" w:rsidR="00E51CCF" w:rsidRPr="002121A4" w:rsidRDefault="00F5023D" w:rsidP="0056589E">
      <w:pPr>
        <w:pStyle w:val="Standardwithparanumbering"/>
      </w:pPr>
      <w:r w:rsidRPr="002121A4">
        <w:t>The directive makes bids subject to a number of g</w:t>
      </w:r>
      <w:r w:rsidR="00B66A89" w:rsidRPr="002121A4">
        <w:t xml:space="preserve">eneral </w:t>
      </w:r>
      <w:r w:rsidR="00E51CCF" w:rsidRPr="002121A4">
        <w:t>principles</w:t>
      </w:r>
      <w:r w:rsidRPr="002121A4">
        <w:t xml:space="preserve">: shareholders of the offeree company of the same class must be afforded equivalent treatment, and minority shareholders must </w:t>
      </w:r>
      <w:r w:rsidRPr="002121A4">
        <w:lastRenderedPageBreak/>
        <w:t>be protected.</w:t>
      </w:r>
      <w:bookmarkStart w:id="154" w:name="_Hlk127737046"/>
      <w:r w:rsidRPr="002121A4">
        <w:rPr>
          <w:rStyle w:val="Funotenzeichen"/>
        </w:rPr>
        <w:footnoteReference w:id="294"/>
      </w:r>
      <w:bookmarkEnd w:id="154"/>
      <w:r w:rsidR="007E5F76" w:rsidRPr="002121A4">
        <w:t xml:space="preserve"> Offerees must have sufficient time and information to make an informed decision on the bid.</w:t>
      </w:r>
      <w:r w:rsidR="007E5F76" w:rsidRPr="002121A4">
        <w:rPr>
          <w:rStyle w:val="Funotenzeichen"/>
        </w:rPr>
        <w:footnoteReference w:id="295"/>
      </w:r>
      <w:r w:rsidR="007E5F76" w:rsidRPr="002121A4">
        <w:t xml:space="preserve"> The board of an offeree company must act in the interests of the company as a whole and must not deny shareholders the opportunity to decide </w:t>
      </w:r>
      <w:r w:rsidR="00330E84" w:rsidRPr="002121A4">
        <w:t>o</w:t>
      </w:r>
      <w:r w:rsidR="007E5F76" w:rsidRPr="002121A4">
        <w:t>n the merits of the bid.</w:t>
      </w:r>
      <w:r w:rsidR="007E5F76" w:rsidRPr="002121A4">
        <w:rPr>
          <w:rStyle w:val="Funotenzeichen"/>
        </w:rPr>
        <w:footnoteReference w:id="296"/>
      </w:r>
      <w:r w:rsidR="007E5F76" w:rsidRPr="002121A4">
        <w:t xml:space="preserve"> False markets must not be created,</w:t>
      </w:r>
      <w:r w:rsidR="007E5F76" w:rsidRPr="002121A4">
        <w:rPr>
          <w:rStyle w:val="Funotenzeichen"/>
        </w:rPr>
        <w:footnoteReference w:id="297"/>
      </w:r>
      <w:r w:rsidR="007E5F76" w:rsidRPr="002121A4">
        <w:t xml:space="preserve"> and the offeror may only announce a bid if he has ensured that he can fulfil any consideration offered</w:t>
      </w:r>
      <w:r w:rsidR="00D66AAE" w:rsidRPr="002121A4">
        <w:t>, whether</w:t>
      </w:r>
      <w:r w:rsidR="007E5F76" w:rsidRPr="002121A4">
        <w:t xml:space="preserve"> in cash or in kind.</w:t>
      </w:r>
      <w:r w:rsidR="007E5F76" w:rsidRPr="002121A4">
        <w:rPr>
          <w:rStyle w:val="Funotenzeichen"/>
        </w:rPr>
        <w:footnoteReference w:id="298"/>
      </w:r>
      <w:r w:rsidR="007E5F76" w:rsidRPr="002121A4">
        <w:t xml:space="preserve"> Last, an offeree company must not be hindered in the conduct of</w:t>
      </w:r>
      <w:r w:rsidR="00330E84" w:rsidRPr="002121A4">
        <w:t xml:space="preserve"> </w:t>
      </w:r>
      <w:r w:rsidR="007E5F76" w:rsidRPr="002121A4">
        <w:t>its affairs for longer than is reasonable.</w:t>
      </w:r>
      <w:r w:rsidR="007E5F76" w:rsidRPr="002121A4">
        <w:rPr>
          <w:rStyle w:val="Funotenzeichen"/>
        </w:rPr>
        <w:footnoteReference w:id="299"/>
      </w:r>
    </w:p>
    <w:p w14:paraId="74C5BF0A" w14:textId="5EA701B2" w:rsidR="00E00391" w:rsidRPr="002121A4" w:rsidRDefault="00E00391" w:rsidP="00E00391">
      <w:pPr>
        <w:pStyle w:val="Standardwithparanumbering"/>
      </w:pPr>
      <w:r w:rsidRPr="002121A4">
        <w:t>Under the directive, a takeover bid is either “mandatory” or “voluntary”.</w:t>
      </w:r>
      <w:r w:rsidR="00294DF0" w:rsidRPr="002121A4">
        <w:rPr>
          <w:rStyle w:val="Funotenzeichen"/>
        </w:rPr>
        <w:footnoteReference w:id="300"/>
      </w:r>
      <w:r w:rsidRPr="002121A4">
        <w:t xml:space="preserve"> A mandatory bid is a bid required by </w:t>
      </w:r>
      <w:r w:rsidR="001870C0" w:rsidRPr="002121A4">
        <w:t>article </w:t>
      </w:r>
      <w:r w:rsidRPr="002121A4">
        <w:t>5(1) TBD whenever a person acquires control of a listed company. The relevant percentage decisive for the acquisition of “control” is to be determined by the rules of the Member State in which the offeree company has its registered office.</w:t>
      </w:r>
      <w:r w:rsidR="00294DF0" w:rsidRPr="002121A4">
        <w:rPr>
          <w:rStyle w:val="Funotenzeichen"/>
        </w:rPr>
        <w:footnoteReference w:id="301"/>
      </w:r>
      <w:r w:rsidRPr="002121A4">
        <w:t xml:space="preserve"> A mandatory bid is also required whenever control is acquired by a shareholder acting in concert with other</w:t>
      </w:r>
      <w:r w:rsidR="001736D6" w:rsidRPr="002121A4">
        <w:t>s</w:t>
      </w:r>
      <w:r w:rsidRPr="002121A4">
        <w:t>.</w:t>
      </w:r>
      <w:r w:rsidR="00294DF0" w:rsidRPr="002121A4">
        <w:rPr>
          <w:rStyle w:val="Funotenzeichen"/>
        </w:rPr>
        <w:footnoteReference w:id="302"/>
      </w:r>
      <w:r w:rsidR="00CE012B" w:rsidRPr="002121A4">
        <w:t xml:space="preserve"> In the event of acquisition of control triggering a mandatory bid, such mandatory bid must be made “at the earliest opportunity”.</w:t>
      </w:r>
      <w:r w:rsidR="00CE012B" w:rsidRPr="002121A4">
        <w:rPr>
          <w:rStyle w:val="Funotenzeichen"/>
        </w:rPr>
        <w:footnoteReference w:id="303"/>
      </w:r>
    </w:p>
    <w:p w14:paraId="625F5671" w14:textId="77777777" w:rsidR="00717B3E" w:rsidRPr="00717B3E" w:rsidRDefault="00E00391" w:rsidP="00CE012B">
      <w:pPr>
        <w:pStyle w:val="Standardwithparanumbering"/>
        <w:rPr>
          <w:i/>
        </w:rPr>
      </w:pPr>
      <w:r w:rsidRPr="002121A4">
        <w:t>The key element of the regime on m</w:t>
      </w:r>
      <w:r w:rsidR="0066766A" w:rsidRPr="002121A4">
        <w:t>andatory bid</w:t>
      </w:r>
      <w:r w:rsidRPr="002121A4">
        <w:t xml:space="preserve">s under </w:t>
      </w:r>
      <w:r w:rsidR="001870C0" w:rsidRPr="002121A4">
        <w:t>article </w:t>
      </w:r>
      <w:r w:rsidRPr="002121A4">
        <w:t>5 TBD is the requirement for a mandatory bid to be made at an equitable price</w:t>
      </w:r>
      <w:r w:rsidR="00DF7D68" w:rsidRPr="002121A4">
        <w:rPr>
          <w:rStyle w:val="Funotenzeichen"/>
        </w:rPr>
        <w:footnoteReference w:id="304"/>
      </w:r>
      <w:r w:rsidRPr="002121A4">
        <w:t xml:space="preserve"> as defined in </w:t>
      </w:r>
      <w:r w:rsidR="001870C0" w:rsidRPr="002121A4">
        <w:t>article </w:t>
      </w:r>
      <w:r w:rsidR="002B46B9" w:rsidRPr="002121A4">
        <w:t>5</w:t>
      </w:r>
      <w:r w:rsidR="00A17C61" w:rsidRPr="002121A4">
        <w:t>(4)</w:t>
      </w:r>
      <w:r w:rsidR="002B46B9" w:rsidRPr="002121A4">
        <w:t xml:space="preserve"> TBD</w:t>
      </w:r>
      <w:r w:rsidRPr="002121A4">
        <w:t>.</w:t>
      </w:r>
      <w:r w:rsidR="00287C5A" w:rsidRPr="002121A4">
        <w:t xml:space="preserve"> In principle, the equitable price is determined by the highest price paid by the offeror (or persons acting in concert with </w:t>
      </w:r>
      <w:r w:rsidR="00DF7D68" w:rsidRPr="002121A4">
        <w:t>the offeror</w:t>
      </w:r>
      <w:r w:rsidR="00287C5A" w:rsidRPr="002121A4">
        <w:t>) in a period of at least 6 and at most 12 months preceding the bid.</w:t>
      </w:r>
      <w:r w:rsidR="00DF7D68" w:rsidRPr="002121A4">
        <w:rPr>
          <w:rStyle w:val="Funotenzeichen"/>
        </w:rPr>
        <w:footnoteReference w:id="305"/>
      </w:r>
      <w:r w:rsidR="00287C5A" w:rsidRPr="002121A4">
        <w:t xml:space="preserve"> </w:t>
      </w:r>
    </w:p>
    <w:p w14:paraId="23A0D384" w14:textId="560D96CF" w:rsidR="00B87420" w:rsidRPr="002121A4" w:rsidRDefault="00287C5A" w:rsidP="00CE012B">
      <w:pPr>
        <w:pStyle w:val="Standardwithparanumbering"/>
        <w:rPr>
          <w:i/>
        </w:rPr>
      </w:pPr>
      <w:r w:rsidRPr="002121A4">
        <w:t>Member States may author</w:t>
      </w:r>
      <w:r w:rsidR="00706D6F" w:rsidRPr="002121A4">
        <w:t>ize</w:t>
      </w:r>
      <w:r w:rsidRPr="002121A4">
        <w:t xml:space="preserve"> their authorities to adjust the equitable price resulting from the purchase price rule “in circumstances and in accordance with criteria that a</w:t>
      </w:r>
      <w:r w:rsidR="00303457" w:rsidRPr="002121A4">
        <w:t>r</w:t>
      </w:r>
      <w:r w:rsidRPr="002121A4">
        <w:t>e clearly determined”.</w:t>
      </w:r>
      <w:r w:rsidR="00303457" w:rsidRPr="002121A4">
        <w:rPr>
          <w:rStyle w:val="Funotenzeichen"/>
        </w:rPr>
        <w:footnoteReference w:id="306"/>
      </w:r>
      <w:r w:rsidRPr="002121A4">
        <w:t xml:space="preserve"> </w:t>
      </w:r>
      <w:r w:rsidR="00B87420" w:rsidRPr="002121A4">
        <w:t xml:space="preserve">Examples given in the </w:t>
      </w:r>
      <w:r w:rsidR="00D7241F" w:rsidRPr="002121A4">
        <w:t>TBD</w:t>
      </w:r>
      <w:r w:rsidR="00B87420" w:rsidRPr="002121A4">
        <w:t xml:space="preserve"> are cases where the highest price was set by agreement between the purchaser and a seller (as opposed to a market transaction</w:t>
      </w:r>
      <w:r w:rsidR="00303457" w:rsidRPr="002121A4">
        <w:t xml:space="preserve"> involving intermediaries</w:t>
      </w:r>
      <w:r w:rsidR="00B87420" w:rsidRPr="002121A4">
        <w:t xml:space="preserve">), where the market prices have been manipulated, where market prices have been affected by exceptional occurrences, or where this is necessary to enable a firm in difficulty to be rescued. Criteria suggested in the directive include the average market value over a particular period, </w:t>
      </w:r>
      <w:r w:rsidR="00303457" w:rsidRPr="002121A4">
        <w:t xml:space="preserve">the </w:t>
      </w:r>
      <w:r w:rsidR="00E96BB4" w:rsidRPr="002121A4">
        <w:t>liquidation</w:t>
      </w:r>
      <w:r w:rsidR="00B87420" w:rsidRPr="002121A4">
        <w:t xml:space="preserve"> value of the company</w:t>
      </w:r>
      <w:r w:rsidR="00303457" w:rsidRPr="002121A4">
        <w:t>,</w:t>
      </w:r>
      <w:r w:rsidR="00B87420" w:rsidRPr="002121A4">
        <w:t xml:space="preserve"> </w:t>
      </w:r>
      <w:r w:rsidR="00D7241F" w:rsidRPr="002121A4">
        <w:t>and</w:t>
      </w:r>
      <w:r w:rsidR="00B87420" w:rsidRPr="002121A4">
        <w:t xml:space="preserve"> other objective </w:t>
      </w:r>
      <w:proofErr w:type="spellStart"/>
      <w:r w:rsidR="00B87420" w:rsidRPr="002121A4">
        <w:t>valuation</w:t>
      </w:r>
      <w:proofErr w:type="spellEnd"/>
      <w:r w:rsidR="00B87420" w:rsidRPr="002121A4">
        <w:t xml:space="preserve"> criteria generally used in financial analysis.</w:t>
      </w:r>
      <w:r w:rsidR="001739C7" w:rsidRPr="002121A4">
        <w:rPr>
          <w:rStyle w:val="Funotenzeichen"/>
        </w:rPr>
        <w:footnoteReference w:id="307"/>
      </w:r>
      <w:r w:rsidR="00CE012B" w:rsidRPr="002121A4">
        <w:rPr>
          <w:i/>
        </w:rPr>
        <w:t xml:space="preserve"> </w:t>
      </w:r>
      <w:r w:rsidR="00B87420" w:rsidRPr="002121A4">
        <w:t>The consideration may be securities, cash, or a combination of both; however, where consideration offered does not consist of liquid se</w:t>
      </w:r>
      <w:r w:rsidR="00836C55" w:rsidRPr="002121A4">
        <w:t>c</w:t>
      </w:r>
      <w:r w:rsidR="00B87420" w:rsidRPr="002121A4">
        <w:t>urities admitted to trading on a regulated market, the mandatory offer must include a cash alternative.</w:t>
      </w:r>
      <w:r w:rsidR="00F22F27" w:rsidRPr="002121A4">
        <w:rPr>
          <w:rStyle w:val="Funotenzeichen"/>
        </w:rPr>
        <w:footnoteReference w:id="308"/>
      </w:r>
    </w:p>
    <w:p w14:paraId="32020ECA" w14:textId="7DA8363A" w:rsidR="00345A0C" w:rsidRPr="002121A4" w:rsidRDefault="00345A0C" w:rsidP="00AB42AA">
      <w:pPr>
        <w:pStyle w:val="Case"/>
        <w:numPr>
          <w:ilvl w:val="0"/>
          <w:numId w:val="14"/>
        </w:numPr>
        <w:ind w:left="567" w:firstLine="0"/>
      </w:pPr>
      <w:bookmarkStart w:id="155" w:name="_Ref163124262"/>
      <w:r w:rsidRPr="002121A4">
        <w:lastRenderedPageBreak/>
        <w:t xml:space="preserve">Bidder B makes a mandatory take-over offer in an EU Member State. According to the local takeover law, the equitable price corresponds to the price paid by the offeror in transactions </w:t>
      </w:r>
      <w:r w:rsidRPr="002121A4">
        <w:rPr>
          <w:szCs w:val="23"/>
        </w:rPr>
        <w:t>preceding</w:t>
      </w:r>
      <w:r w:rsidRPr="002121A4">
        <w:t xml:space="preserve"> the offer, unless it is clear that the market price is higher in which case the market price prevails. There is, </w:t>
      </w:r>
      <w:r w:rsidRPr="002121A4">
        <w:rPr>
          <w:szCs w:val="23"/>
        </w:rPr>
        <w:t>however</w:t>
      </w:r>
      <w:r w:rsidRPr="002121A4">
        <w:t xml:space="preserve">, no statutory definition of the “market price”. </w:t>
      </w:r>
      <w:r w:rsidR="00297396">
        <w:t>Is this in line with requirements under article 5(4) TBD</w:t>
      </w:r>
      <w:r w:rsidRPr="002121A4">
        <w:t xml:space="preserve">? (Case E-1/10, </w:t>
      </w:r>
      <w:proofErr w:type="spellStart"/>
      <w:r w:rsidRPr="002121A4">
        <w:rPr>
          <w:i/>
        </w:rPr>
        <w:t>Periscopus</w:t>
      </w:r>
      <w:proofErr w:type="spellEnd"/>
      <w:r w:rsidRPr="002121A4">
        <w:rPr>
          <w:i/>
        </w:rPr>
        <w:t xml:space="preserve"> AS/Oslo Bors AS and Erika Must AS</w:t>
      </w:r>
      <w:r w:rsidRPr="002121A4">
        <w:t xml:space="preserve">, [2009-2010] EFTA Ct. Rep. 198, Case C-735/19, </w:t>
      </w:r>
      <w:proofErr w:type="spellStart"/>
      <w:r w:rsidRPr="002121A4">
        <w:rPr>
          <w:i/>
        </w:rPr>
        <w:t>Euromin</w:t>
      </w:r>
      <w:proofErr w:type="spellEnd"/>
      <w:r w:rsidRPr="002121A4">
        <w:rPr>
          <w:i/>
        </w:rPr>
        <w:t xml:space="preserve"> (Holdings) Cyprus) Ltd v. </w:t>
      </w:r>
      <w:proofErr w:type="spellStart"/>
      <w:r w:rsidRPr="002121A4">
        <w:rPr>
          <w:i/>
        </w:rPr>
        <w:t>Finanšu</w:t>
      </w:r>
      <w:proofErr w:type="spellEnd"/>
      <w:r w:rsidRPr="002121A4">
        <w:rPr>
          <w:i/>
        </w:rPr>
        <w:t xml:space="preserve"> un </w:t>
      </w:r>
      <w:proofErr w:type="spellStart"/>
      <w:r w:rsidRPr="002121A4">
        <w:rPr>
          <w:i/>
        </w:rPr>
        <w:t>kapitāla</w:t>
      </w:r>
      <w:proofErr w:type="spellEnd"/>
      <w:r w:rsidRPr="002121A4">
        <w:rPr>
          <w:i/>
        </w:rPr>
        <w:t xml:space="preserve"> </w:t>
      </w:r>
      <w:proofErr w:type="spellStart"/>
      <w:r w:rsidRPr="002121A4">
        <w:rPr>
          <w:i/>
        </w:rPr>
        <w:t>tirgus</w:t>
      </w:r>
      <w:proofErr w:type="spellEnd"/>
      <w:r w:rsidRPr="002121A4">
        <w:rPr>
          <w:i/>
        </w:rPr>
        <w:t xml:space="preserve"> </w:t>
      </w:r>
      <w:proofErr w:type="spellStart"/>
      <w:r w:rsidRPr="002121A4">
        <w:rPr>
          <w:i/>
        </w:rPr>
        <w:t>komisija</w:t>
      </w:r>
      <w:proofErr w:type="spellEnd"/>
      <w:r w:rsidRPr="002121A4">
        <w:t>)</w:t>
      </w:r>
      <w:bookmarkEnd w:id="155"/>
    </w:p>
    <w:p w14:paraId="198D787B" w14:textId="5AD3FAB3" w:rsidR="00FA391F" w:rsidRPr="002121A4" w:rsidRDefault="00FA391F" w:rsidP="00A50D0A">
      <w:pPr>
        <w:pStyle w:val="Case"/>
      </w:pPr>
      <w:r w:rsidRPr="002121A4">
        <w:rPr>
          <w:b/>
          <w:szCs w:val="23"/>
        </w:rPr>
        <w:t>Notes</w:t>
      </w:r>
      <w:r w:rsidRPr="002121A4">
        <w:rPr>
          <w:b/>
        </w:rPr>
        <w:t>.</w:t>
      </w:r>
      <w:r w:rsidR="00170B05" w:rsidRPr="002121A4">
        <w:br/>
      </w:r>
      <w:r w:rsidR="00170B05" w:rsidRPr="002121A4">
        <w:br/>
      </w:r>
      <w:r w:rsidR="00170B05" w:rsidRPr="002121A4">
        <w:br/>
      </w:r>
      <w:r w:rsidR="00170B05" w:rsidRPr="002121A4">
        <w:br/>
      </w:r>
      <w:r w:rsidR="00170B05" w:rsidRPr="002121A4">
        <w:br/>
      </w:r>
    </w:p>
    <w:p w14:paraId="0FD9F0C8" w14:textId="041A9985" w:rsidR="00256102" w:rsidRPr="002121A4" w:rsidRDefault="001870C0" w:rsidP="00256102">
      <w:pPr>
        <w:pStyle w:val="Standardwithparanumbering"/>
      </w:pPr>
      <w:r w:rsidRPr="002121A4">
        <w:t>Articles </w:t>
      </w:r>
      <w:r w:rsidR="00256102" w:rsidRPr="002121A4">
        <w:t>6ff. TBD set up a regime for the bid</w:t>
      </w:r>
      <w:r w:rsidR="00950C7D">
        <w:t>ding</w:t>
      </w:r>
      <w:r w:rsidR="00256102" w:rsidRPr="002121A4">
        <w:t xml:space="preserve"> process</w:t>
      </w:r>
      <w:r w:rsidR="008E73EE" w:rsidRPr="002121A4">
        <w:t xml:space="preserve">. </w:t>
      </w:r>
      <w:r w:rsidR="00033399">
        <w:t xml:space="preserve">This </w:t>
      </w:r>
      <w:r w:rsidR="00C74A47" w:rsidRPr="002121A4">
        <w:t>include</w:t>
      </w:r>
      <w:r w:rsidR="00033399">
        <w:t>s</w:t>
      </w:r>
      <w:r w:rsidR="00C74A47" w:rsidRPr="002121A4">
        <w:t xml:space="preserve"> a prohibition for the board of the offeree company to take any action to frustrate a bid (“defensive measures”) unless it has obtained prior author</w:t>
      </w:r>
      <w:r w:rsidR="00706D6F" w:rsidRPr="002121A4">
        <w:t>ization</w:t>
      </w:r>
      <w:r w:rsidR="00C74A47" w:rsidRPr="002121A4">
        <w:t xml:space="preserve"> of the general meeting of shareholders.</w:t>
      </w:r>
      <w:r w:rsidR="009227C9" w:rsidRPr="002121A4">
        <w:rPr>
          <w:rStyle w:val="Funotenzeichen"/>
        </w:rPr>
        <w:footnoteReference w:id="309"/>
      </w:r>
      <w:r w:rsidR="007E5B8A" w:rsidRPr="002121A4">
        <w:t xml:space="preserve"> </w:t>
      </w:r>
      <w:r w:rsidRPr="002121A4">
        <w:t>Article </w:t>
      </w:r>
      <w:r w:rsidR="007E5B8A" w:rsidRPr="002121A4">
        <w:t xml:space="preserve">11(2), (3) TBD removes certain restrictions on transfer of securities and the exercise of voting rights during the time allowed for acceptance of the bid, and </w:t>
      </w:r>
      <w:r w:rsidRPr="002121A4">
        <w:t>article </w:t>
      </w:r>
      <w:r w:rsidR="007E5B8A" w:rsidRPr="002121A4">
        <w:t>11(4) extends this “breakthrough</w:t>
      </w:r>
      <w:r w:rsidR="00C74A47" w:rsidRPr="002121A4">
        <w:t xml:space="preserve"> </w:t>
      </w:r>
      <w:r w:rsidR="007E5B8A" w:rsidRPr="002121A4">
        <w:t xml:space="preserve">rule” to cases where following a bid the offeror holds 75% or more of the capital carrying voting rights. The TBD also contains specific provisions on </w:t>
      </w:r>
      <w:r w:rsidR="00256102" w:rsidRPr="002121A4">
        <w:t xml:space="preserve">squeeze-out and sell-out in </w:t>
      </w:r>
      <w:r w:rsidRPr="002121A4">
        <w:t>articles </w:t>
      </w:r>
      <w:r w:rsidR="00256102" w:rsidRPr="002121A4">
        <w:t>15</w:t>
      </w:r>
      <w:r w:rsidR="00C4436E" w:rsidRPr="002121A4">
        <w:t xml:space="preserve"> and</w:t>
      </w:r>
      <w:r w:rsidR="00256102" w:rsidRPr="002121A4">
        <w:t xml:space="preserve"> 16 TBD.</w:t>
      </w:r>
    </w:p>
    <w:p w14:paraId="777506D1" w14:textId="77777777" w:rsidR="006B43B1" w:rsidRPr="002121A4" w:rsidRDefault="004A2CF9" w:rsidP="00AB42AA">
      <w:pPr>
        <w:pStyle w:val="Case"/>
        <w:numPr>
          <w:ilvl w:val="0"/>
          <w:numId w:val="14"/>
        </w:numPr>
        <w:ind w:left="567" w:firstLine="0"/>
      </w:pPr>
      <w:bookmarkStart w:id="156" w:name="_Ref163124272"/>
      <w:r w:rsidRPr="002121A4">
        <w:t xml:space="preserve">In order to make German company law more attractive for investors, a lobby group </w:t>
      </w:r>
      <w:r w:rsidRPr="002121A4">
        <w:rPr>
          <w:szCs w:val="23"/>
        </w:rPr>
        <w:t>proposes</w:t>
      </w:r>
      <w:r w:rsidRPr="002121A4">
        <w:t xml:space="preserve"> the following legislative changes:</w:t>
      </w:r>
      <w:bookmarkEnd w:id="156"/>
      <w:r w:rsidRPr="002121A4">
        <w:t xml:space="preserve"> </w:t>
      </w:r>
    </w:p>
    <w:p w14:paraId="354EAA46" w14:textId="77777777" w:rsidR="006B43B1" w:rsidRPr="002121A4" w:rsidRDefault="004A2CF9" w:rsidP="00770B04">
      <w:pPr>
        <w:pStyle w:val="Case"/>
      </w:pPr>
      <w:r w:rsidRPr="002121A4">
        <w:t xml:space="preserve">a) increase of the threshold for “control” within the meaning of § 29(2)(1) </w:t>
      </w:r>
      <w:proofErr w:type="spellStart"/>
      <w:r w:rsidRPr="002121A4">
        <w:t>WpÜG</w:t>
      </w:r>
      <w:proofErr w:type="spellEnd"/>
      <w:r w:rsidRPr="002121A4">
        <w:t xml:space="preserve"> from 30% to 33%, and </w:t>
      </w:r>
    </w:p>
    <w:p w14:paraId="2ECC91B6" w14:textId="77777777" w:rsidR="006B43B1" w:rsidRPr="002121A4" w:rsidRDefault="004A2CF9" w:rsidP="00770B04">
      <w:pPr>
        <w:pStyle w:val="Case"/>
      </w:pPr>
      <w:r w:rsidRPr="002121A4">
        <w:t xml:space="preserve">b) increase of the threshold for squeeze-out in § 39a </w:t>
      </w:r>
      <w:proofErr w:type="spellStart"/>
      <w:r w:rsidRPr="002121A4">
        <w:t>WpÜG</w:t>
      </w:r>
      <w:proofErr w:type="spellEnd"/>
      <w:r w:rsidRPr="002121A4">
        <w:t xml:space="preserve"> from 95% to 99%. </w:t>
      </w:r>
    </w:p>
    <w:p w14:paraId="37D1F634" w14:textId="25E7203D" w:rsidR="004A2CF9" w:rsidRPr="002121A4" w:rsidRDefault="004A2CF9" w:rsidP="00770B04">
      <w:pPr>
        <w:pStyle w:val="Case"/>
      </w:pPr>
      <w:r w:rsidRPr="002121A4">
        <w:t>Are these proposals compliant with EU law, and why? (Paper 2017_2 #1.2)</w:t>
      </w:r>
    </w:p>
    <w:p w14:paraId="624F8090" w14:textId="26DE48F7" w:rsidR="004A2CF9" w:rsidRPr="002121A4" w:rsidRDefault="004A2CF9" w:rsidP="003614E4">
      <w:pPr>
        <w:pStyle w:val="Case"/>
        <w:rPr>
          <w:b/>
        </w:rPr>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64BCF52B" w14:textId="618D7AB7" w:rsidR="00E51CCF" w:rsidRPr="002121A4" w:rsidRDefault="00E51CCF" w:rsidP="002F0E86">
      <w:pPr>
        <w:pStyle w:val="berschrift2"/>
        <w:rPr>
          <w:lang w:val="en-GB"/>
        </w:rPr>
      </w:pPr>
      <w:bookmarkStart w:id="157" w:name="_Toc194577784"/>
      <w:r w:rsidRPr="002121A4">
        <w:rPr>
          <w:lang w:val="en-GB"/>
        </w:rPr>
        <w:t>German takeover law</w:t>
      </w:r>
      <w:bookmarkEnd w:id="157"/>
    </w:p>
    <w:p w14:paraId="52B1BB52" w14:textId="3F786682" w:rsidR="000017A4" w:rsidRPr="002121A4" w:rsidRDefault="00D31BC6" w:rsidP="000017A4">
      <w:pPr>
        <w:pStyle w:val="Standardwithparanumbering"/>
      </w:pPr>
      <w:r w:rsidRPr="002121A4">
        <w:t>The German legislator had passed a law on takeover bids already in 200</w:t>
      </w:r>
      <w:r w:rsidR="00782325" w:rsidRPr="002121A4">
        <w:t xml:space="preserve">1, the </w:t>
      </w:r>
      <w:proofErr w:type="spellStart"/>
      <w:r w:rsidR="00782325" w:rsidRPr="002121A4">
        <w:rPr>
          <w:i/>
        </w:rPr>
        <w:t>Wertpapiererwerbs</w:t>
      </w:r>
      <w:proofErr w:type="spellEnd"/>
      <w:r w:rsidR="00782325" w:rsidRPr="002121A4">
        <w:rPr>
          <w:i/>
        </w:rPr>
        <w:t xml:space="preserve">- und </w:t>
      </w:r>
      <w:proofErr w:type="spellStart"/>
      <w:r w:rsidR="00782325" w:rsidRPr="002121A4">
        <w:rPr>
          <w:i/>
        </w:rPr>
        <w:t>Übernahmegesetz</w:t>
      </w:r>
      <w:proofErr w:type="spellEnd"/>
      <w:r w:rsidR="00782325" w:rsidRPr="002121A4">
        <w:t xml:space="preserve"> (</w:t>
      </w:r>
      <w:proofErr w:type="spellStart"/>
      <w:r w:rsidR="00782325" w:rsidRPr="002121A4">
        <w:t>WpÜG</w:t>
      </w:r>
      <w:proofErr w:type="spellEnd"/>
      <w:r w:rsidR="00782325" w:rsidRPr="002121A4">
        <w:t>), which entered into force on 1 January 2002.</w:t>
      </w:r>
      <w:r w:rsidR="00F676E4" w:rsidRPr="002121A4">
        <w:t xml:space="preserve"> The TBD of 2004 required some changes</w:t>
      </w:r>
      <w:r w:rsidR="00B97C0A">
        <w:t xml:space="preserve"> to the </w:t>
      </w:r>
      <w:proofErr w:type="spellStart"/>
      <w:r w:rsidR="00B97C0A">
        <w:t>WpÜG</w:t>
      </w:r>
      <w:proofErr w:type="spellEnd"/>
      <w:r w:rsidR="00F676E4" w:rsidRPr="002121A4">
        <w:t>, the most important ones relating to rules for the offeree company and its board as regards frustration of the bid, and the European breakthrough rule.</w:t>
      </w:r>
      <w:r w:rsidR="00BF539D" w:rsidRPr="002121A4">
        <w:rPr>
          <w:rStyle w:val="Funotenzeichen"/>
        </w:rPr>
        <w:footnoteReference w:id="310"/>
      </w:r>
      <w:r w:rsidR="00F676E4" w:rsidRPr="002121A4">
        <w:t xml:space="preserve"> </w:t>
      </w:r>
      <w:r w:rsidR="00FA6AC8" w:rsidRPr="002121A4">
        <w:t>T</w:t>
      </w:r>
      <w:r w:rsidR="00F2363B" w:rsidRPr="002121A4">
        <w:t xml:space="preserve">he scope of application of the </w:t>
      </w:r>
      <w:proofErr w:type="spellStart"/>
      <w:r w:rsidR="00F2363B" w:rsidRPr="002121A4">
        <w:t>WpÜG</w:t>
      </w:r>
      <w:proofErr w:type="spellEnd"/>
      <w:r w:rsidR="00F2363B" w:rsidRPr="002121A4">
        <w:t xml:space="preserve"> is limited to </w:t>
      </w:r>
      <w:r w:rsidR="00FA6AC8" w:rsidRPr="002121A4">
        <w:t xml:space="preserve">securities </w:t>
      </w:r>
      <w:r w:rsidR="00F2363B" w:rsidRPr="002121A4">
        <w:t>admitted to trading on a regu</w:t>
      </w:r>
      <w:r w:rsidR="00FA6AC8" w:rsidRPr="002121A4">
        <w:t>l</w:t>
      </w:r>
      <w:r w:rsidR="00F2363B" w:rsidRPr="002121A4">
        <w:t xml:space="preserve">ated </w:t>
      </w:r>
      <w:r w:rsidR="00F2363B" w:rsidRPr="002121A4">
        <w:lastRenderedPageBreak/>
        <w:t>market</w:t>
      </w:r>
      <w:r w:rsidR="00534DA1" w:rsidRPr="002121A4">
        <w:t>,</w:t>
      </w:r>
      <w:r w:rsidR="00BF539D" w:rsidRPr="002121A4">
        <w:rPr>
          <w:rStyle w:val="Funotenzeichen"/>
        </w:rPr>
        <w:footnoteReference w:id="311"/>
      </w:r>
      <w:r w:rsidR="00534DA1" w:rsidRPr="002121A4">
        <w:t xml:space="preserve"> </w:t>
      </w:r>
      <w:r w:rsidR="00FA6AC8" w:rsidRPr="002121A4">
        <w:t>with securities defined as shares and instruments relating to the acquisition of shares and comparable securities</w:t>
      </w:r>
      <w:r w:rsidR="00534DA1" w:rsidRPr="002121A4">
        <w:t>.</w:t>
      </w:r>
      <w:r w:rsidR="00BF539D" w:rsidRPr="002121A4">
        <w:rPr>
          <w:rStyle w:val="Funotenzeichen"/>
        </w:rPr>
        <w:footnoteReference w:id="312"/>
      </w:r>
      <w:r w:rsidR="00F2363B" w:rsidRPr="002121A4">
        <w:t xml:space="preserve"> </w:t>
      </w:r>
    </w:p>
    <w:p w14:paraId="481DB9AC" w14:textId="076C1388" w:rsidR="00451477" w:rsidRPr="002121A4" w:rsidRDefault="00451477" w:rsidP="000F4342">
      <w:pPr>
        <w:pStyle w:val="berschrift3"/>
        <w:rPr>
          <w:lang w:val="en-GB"/>
        </w:rPr>
      </w:pPr>
      <w:r w:rsidRPr="002121A4">
        <w:rPr>
          <w:lang w:val="en-GB"/>
        </w:rPr>
        <w:t>Types of bids and takeover regimes</w:t>
      </w:r>
    </w:p>
    <w:p w14:paraId="7A82A354" w14:textId="77777777" w:rsidR="0010799A" w:rsidRDefault="00894D1E" w:rsidP="0010799A">
      <w:pPr>
        <w:pStyle w:val="Standardwithparanumbering"/>
      </w:pPr>
      <w:r w:rsidRPr="002121A4">
        <w:t xml:space="preserve">As regards the types of bids, </w:t>
      </w:r>
      <w:r w:rsidR="00831963">
        <w:t xml:space="preserve">§ 2(1) </w:t>
      </w:r>
      <w:proofErr w:type="spellStart"/>
      <w:r w:rsidRPr="002121A4">
        <w:t>WpÜG</w:t>
      </w:r>
      <w:proofErr w:type="spellEnd"/>
      <w:r w:rsidRPr="002121A4">
        <w:t xml:space="preserve"> differentiates</w:t>
      </w:r>
      <w:r w:rsidR="00EA4E20">
        <w:t xml:space="preserve"> between</w:t>
      </w:r>
      <w:r w:rsidRPr="002121A4">
        <w:t xml:space="preserve"> </w:t>
      </w:r>
      <w:r w:rsidR="0010799A">
        <w:t xml:space="preserve">bids that are </w:t>
      </w:r>
      <w:r w:rsidRPr="002121A4">
        <w:t>“</w:t>
      </w:r>
      <w:r w:rsidR="00285DFC" w:rsidRPr="002121A4">
        <w:t>voluntary</w:t>
      </w:r>
      <w:r w:rsidRPr="002121A4">
        <w:t>”</w:t>
      </w:r>
      <w:r w:rsidR="0010799A">
        <w:t xml:space="preserve">, and those that are </w:t>
      </w:r>
      <w:r w:rsidRPr="002121A4">
        <w:t>“mandatory”</w:t>
      </w:r>
      <w:r w:rsidR="0010799A">
        <w:t xml:space="preserve"> under the </w:t>
      </w:r>
      <w:proofErr w:type="spellStart"/>
      <w:r w:rsidR="0010799A">
        <w:t>WpÜG</w:t>
      </w:r>
      <w:proofErr w:type="spellEnd"/>
      <w:r w:rsidR="0010799A">
        <w:t xml:space="preserve">. </w:t>
      </w:r>
    </w:p>
    <w:p w14:paraId="7DC69300" w14:textId="45394EE7" w:rsidR="0010799A" w:rsidRDefault="0010799A" w:rsidP="0010799A">
      <w:pPr>
        <w:pStyle w:val="Standardwithparanumbering"/>
      </w:pPr>
      <w:r>
        <w:t xml:space="preserve">A mandatory bid is </w:t>
      </w:r>
      <w:r w:rsidRPr="002121A4">
        <w:t>triggered by prior acquisition of control (see para. </w:t>
      </w:r>
      <w:r w:rsidRPr="002121A4">
        <w:fldChar w:fldCharType="begin"/>
      </w:r>
      <w:r w:rsidRPr="002121A4">
        <w:instrText xml:space="preserve"> REF _Ref127865039 \r \h </w:instrText>
      </w:r>
      <w:r w:rsidRPr="002121A4">
        <w:fldChar w:fldCharType="separate"/>
      </w:r>
      <w:r w:rsidR="00D56145">
        <w:t>162</w:t>
      </w:r>
      <w:r w:rsidRPr="002121A4">
        <w:fldChar w:fldCharType="end"/>
      </w:r>
      <w:r w:rsidRPr="002121A4">
        <w:t xml:space="preserve"> above). Pursuant to article 5(3) TBD, § 29(2)(1) </w:t>
      </w:r>
      <w:proofErr w:type="spellStart"/>
      <w:r w:rsidRPr="002121A4">
        <w:t>WpÜG</w:t>
      </w:r>
      <w:proofErr w:type="spellEnd"/>
      <w:r w:rsidRPr="002121A4">
        <w:t xml:space="preserve"> defines “control” as holding at least 30% of the voting rights in the target company (see paras </w:t>
      </w:r>
      <w:r w:rsidRPr="002121A4">
        <w:fldChar w:fldCharType="begin"/>
      </w:r>
      <w:r w:rsidRPr="002121A4">
        <w:instrText xml:space="preserve"> REF _Ref129776251 \r \h </w:instrText>
      </w:r>
      <w:r w:rsidRPr="002121A4">
        <w:fldChar w:fldCharType="separate"/>
      </w:r>
      <w:r w:rsidR="00D56145">
        <w:t>173</w:t>
      </w:r>
      <w:r w:rsidRPr="002121A4">
        <w:fldChar w:fldCharType="end"/>
      </w:r>
      <w:r w:rsidRPr="002121A4">
        <w:t>ff. below).</w:t>
      </w:r>
    </w:p>
    <w:p w14:paraId="20964260" w14:textId="5FB51385" w:rsidR="00C82782" w:rsidRPr="002121A4" w:rsidRDefault="0010799A" w:rsidP="0029137E">
      <w:r w:rsidRPr="00080F04">
        <w:rPr>
          <w:lang w:val="en-US"/>
        </w:rPr>
        <w:t xml:space="preserve">The concept of voluntary bids does not only include voluntary </w:t>
      </w:r>
      <w:r w:rsidRPr="00080F04">
        <w:rPr>
          <w:i/>
          <w:lang w:val="en-US"/>
        </w:rPr>
        <w:t>takeover</w:t>
      </w:r>
      <w:r w:rsidRPr="00080F04">
        <w:rPr>
          <w:lang w:val="en-US"/>
        </w:rPr>
        <w:t xml:space="preserve"> bids, i.e., bids that have the objective of gaining control of the company, but also any other voluntary bid without the objective of control (i.e., scenarios where the offeror does not intend to reach the control threshold, or where he already has control of the company and intends to increase his shareholding). Unlike for takeover bids, the WpÜG does not stipulate equitable price rules for simple acquisition offers, and also permits partial offers.</w:t>
      </w:r>
      <w:r w:rsidRPr="002121A4">
        <w:rPr>
          <w:rStyle w:val="Funotenzeichen"/>
        </w:rPr>
        <w:footnoteReference w:id="313"/>
      </w:r>
      <w:r w:rsidRPr="00080F04">
        <w:rPr>
          <w:lang w:val="en-US"/>
        </w:rPr>
        <w:t xml:space="preserve"> Special rules apply to offers in the context of delisting (see para. </w:t>
      </w:r>
      <w:r w:rsidRPr="002121A4">
        <w:fldChar w:fldCharType="begin"/>
      </w:r>
      <w:r w:rsidRPr="00080F04">
        <w:rPr>
          <w:lang w:val="en-US"/>
        </w:rPr>
        <w:instrText xml:space="preserve"> REF _Ref129776117 \r \h </w:instrText>
      </w:r>
      <w:r w:rsidRPr="002121A4">
        <w:fldChar w:fldCharType="separate"/>
      </w:r>
      <w:r w:rsidR="00D56145">
        <w:t>190</w:t>
      </w:r>
      <w:r w:rsidRPr="002121A4">
        <w:fldChar w:fldCharType="end"/>
      </w:r>
      <w:r w:rsidRPr="002121A4">
        <w:t xml:space="preserve"> </w:t>
      </w:r>
      <w:proofErr w:type="spellStart"/>
      <w:r w:rsidRPr="002121A4">
        <w:t>below</w:t>
      </w:r>
      <w:proofErr w:type="spellEnd"/>
      <w:r w:rsidRPr="002121A4">
        <w:t>).</w:t>
      </w:r>
    </w:p>
    <w:p w14:paraId="4AD22D50" w14:textId="551E5627" w:rsidR="00237E5F" w:rsidRDefault="00CD0672" w:rsidP="00082270">
      <w:pPr>
        <w:pStyle w:val="Standardwithparanumbering"/>
      </w:pPr>
      <w:r>
        <w:t xml:space="preserve">Section 1 </w:t>
      </w:r>
      <w:proofErr w:type="spellStart"/>
      <w:r>
        <w:t>WpÜG</w:t>
      </w:r>
      <w:proofErr w:type="spellEnd"/>
      <w:r>
        <w:t xml:space="preserve"> (general provisions) and section 2 (BaFin competence) are followed by s</w:t>
      </w:r>
      <w:r w:rsidR="005D5A79" w:rsidRPr="002121A4">
        <w:t>ection 3 (§§ 10–28</w:t>
      </w:r>
      <w:r>
        <w:t xml:space="preserve"> </w:t>
      </w:r>
      <w:proofErr w:type="spellStart"/>
      <w:r>
        <w:t>WpÜG</w:t>
      </w:r>
      <w:proofErr w:type="spellEnd"/>
      <w:r w:rsidR="005D5A79" w:rsidRPr="002121A4">
        <w:t xml:space="preserve">) </w:t>
      </w:r>
      <w:r>
        <w:t xml:space="preserve">which </w:t>
      </w:r>
      <w:r w:rsidR="00237E5F" w:rsidRPr="002121A4">
        <w:t>contains general rules that apply to any offer</w:t>
      </w:r>
      <w:r w:rsidR="005D5A79" w:rsidRPr="002121A4">
        <w:t xml:space="preserve"> (</w:t>
      </w:r>
      <w:r w:rsidR="00BA05A1" w:rsidRPr="002121A4">
        <w:t>see</w:t>
      </w:r>
      <w:r w:rsidR="005D5A79" w:rsidRPr="002121A4">
        <w:t xml:space="preserve"> para. </w:t>
      </w:r>
      <w:r w:rsidR="005D5A79" w:rsidRPr="002121A4">
        <w:fldChar w:fldCharType="begin"/>
      </w:r>
      <w:r w:rsidR="005D5A79" w:rsidRPr="002121A4">
        <w:instrText xml:space="preserve"> REF _Ref129776192 \r \h </w:instrText>
      </w:r>
      <w:r w:rsidR="005D5A79" w:rsidRPr="002121A4">
        <w:fldChar w:fldCharType="separate"/>
      </w:r>
      <w:r w:rsidR="00D56145">
        <w:t>172</w:t>
      </w:r>
      <w:r w:rsidR="005D5A79" w:rsidRPr="002121A4">
        <w:fldChar w:fldCharType="end"/>
      </w:r>
      <w:r w:rsidR="00BA05A1" w:rsidRPr="002121A4">
        <w:t xml:space="preserve"> below</w:t>
      </w:r>
      <w:r w:rsidR="005D5A79" w:rsidRPr="002121A4">
        <w:t>)</w:t>
      </w:r>
      <w:r w:rsidR="00237E5F" w:rsidRPr="002121A4">
        <w:t xml:space="preserve">. </w:t>
      </w:r>
      <w:r w:rsidR="005D5A79" w:rsidRPr="002121A4">
        <w:t>Section 4 contains s</w:t>
      </w:r>
      <w:r w:rsidR="00237E5F" w:rsidRPr="002121A4">
        <w:t>pecial rules apply</w:t>
      </w:r>
      <w:r w:rsidR="005D5A79" w:rsidRPr="002121A4">
        <w:t>ing</w:t>
      </w:r>
      <w:r w:rsidR="00237E5F" w:rsidRPr="002121A4">
        <w:t xml:space="preserve"> to takeover bids </w:t>
      </w:r>
      <w:r w:rsidR="005D5A79" w:rsidRPr="002121A4">
        <w:t xml:space="preserve">aimed at the acquisition of control </w:t>
      </w:r>
      <w:r w:rsidR="00597458" w:rsidRPr="002121A4">
        <w:t xml:space="preserve">(§§ 29–34 </w:t>
      </w:r>
      <w:proofErr w:type="spellStart"/>
      <w:r w:rsidR="00597458" w:rsidRPr="002121A4">
        <w:t>WpÜG</w:t>
      </w:r>
      <w:proofErr w:type="spellEnd"/>
      <w:r w:rsidR="005D5A79" w:rsidRPr="002121A4">
        <w:t xml:space="preserve">, </w:t>
      </w:r>
      <w:r w:rsidR="00BA05A1" w:rsidRPr="002121A4">
        <w:t>see</w:t>
      </w:r>
      <w:r w:rsidR="00BA05A1" w:rsidRPr="00CD0672">
        <w:rPr>
          <w:i/>
        </w:rPr>
        <w:t xml:space="preserve"> </w:t>
      </w:r>
      <w:r w:rsidR="005D5A79" w:rsidRPr="002121A4">
        <w:t>paras </w:t>
      </w:r>
      <w:r w:rsidR="005D5A79" w:rsidRPr="002121A4">
        <w:fldChar w:fldCharType="begin"/>
      </w:r>
      <w:r w:rsidR="005D5A79" w:rsidRPr="002121A4">
        <w:instrText xml:space="preserve"> REF _Ref129776251 \r \h </w:instrText>
      </w:r>
      <w:r w:rsidR="005D5A79" w:rsidRPr="002121A4">
        <w:fldChar w:fldCharType="separate"/>
      </w:r>
      <w:r w:rsidR="00D56145">
        <w:t>173</w:t>
      </w:r>
      <w:r w:rsidR="005D5A79" w:rsidRPr="002121A4">
        <w:fldChar w:fldCharType="end"/>
      </w:r>
      <w:r w:rsidR="005D5A79" w:rsidRPr="002121A4">
        <w:t>ff.</w:t>
      </w:r>
      <w:r w:rsidR="00BA05A1" w:rsidRPr="002121A4">
        <w:t xml:space="preserve"> below</w:t>
      </w:r>
      <w:r w:rsidR="00597458" w:rsidRPr="002121A4">
        <w:t>)</w:t>
      </w:r>
      <w:r w:rsidR="005D5A79" w:rsidRPr="002121A4">
        <w:t>,</w:t>
      </w:r>
      <w:r w:rsidR="00597458" w:rsidRPr="002121A4">
        <w:t xml:space="preserve"> and </w:t>
      </w:r>
      <w:r w:rsidR="005D5A79" w:rsidRPr="002121A4">
        <w:t xml:space="preserve">section 5 </w:t>
      </w:r>
      <w:proofErr w:type="spellStart"/>
      <w:r w:rsidR="005D5A79" w:rsidRPr="002121A4">
        <w:t>WpÜG</w:t>
      </w:r>
      <w:proofErr w:type="spellEnd"/>
      <w:r w:rsidR="005D5A79" w:rsidRPr="002121A4">
        <w:t xml:space="preserve"> deals with </w:t>
      </w:r>
      <w:r w:rsidR="00597458" w:rsidRPr="002121A4">
        <w:t xml:space="preserve">mandatory bids </w:t>
      </w:r>
      <w:r w:rsidR="005D5A79" w:rsidRPr="002121A4">
        <w:t xml:space="preserve">following the acquisition of control </w:t>
      </w:r>
      <w:r w:rsidR="00597458" w:rsidRPr="002121A4">
        <w:t xml:space="preserve">(§§ 35–39 </w:t>
      </w:r>
      <w:proofErr w:type="spellStart"/>
      <w:r w:rsidR="00597458" w:rsidRPr="002121A4">
        <w:t>WpÜG</w:t>
      </w:r>
      <w:proofErr w:type="spellEnd"/>
      <w:r w:rsidR="005D5A79" w:rsidRPr="002121A4">
        <w:t xml:space="preserve">, </w:t>
      </w:r>
      <w:r w:rsidR="00BA05A1" w:rsidRPr="002121A4">
        <w:t xml:space="preserve">see </w:t>
      </w:r>
      <w:r w:rsidR="005D5A79" w:rsidRPr="002121A4">
        <w:t>paras </w:t>
      </w:r>
      <w:r w:rsidR="005D5A79" w:rsidRPr="002121A4">
        <w:fldChar w:fldCharType="begin"/>
      </w:r>
      <w:r w:rsidR="005D5A79" w:rsidRPr="002121A4">
        <w:instrText xml:space="preserve"> REF _Ref129776282 \r \h </w:instrText>
      </w:r>
      <w:r w:rsidR="005D5A79" w:rsidRPr="002121A4">
        <w:fldChar w:fldCharType="separate"/>
      </w:r>
      <w:r w:rsidR="00D56145">
        <w:t>179</w:t>
      </w:r>
      <w:r w:rsidR="005D5A79" w:rsidRPr="002121A4">
        <w:fldChar w:fldCharType="end"/>
      </w:r>
      <w:r w:rsidR="005D5A79" w:rsidRPr="002121A4">
        <w:t>ff.</w:t>
      </w:r>
      <w:r w:rsidR="00BA05A1" w:rsidRPr="002121A4">
        <w:t xml:space="preserve"> below</w:t>
      </w:r>
      <w:r w:rsidR="00597458" w:rsidRPr="002121A4">
        <w:t>). Squeeze-out and sell-out rules are contained in section 6</w:t>
      </w:r>
      <w:r w:rsidR="00CE2102" w:rsidRPr="002121A4">
        <w:t xml:space="preserve"> </w:t>
      </w:r>
      <w:proofErr w:type="spellStart"/>
      <w:r w:rsidR="00CE2102" w:rsidRPr="002121A4">
        <w:t>WpÜG</w:t>
      </w:r>
      <w:proofErr w:type="spellEnd"/>
      <w:r w:rsidR="00597458" w:rsidRPr="002121A4">
        <w:t xml:space="preserve"> (§§ 39a–39c </w:t>
      </w:r>
      <w:proofErr w:type="spellStart"/>
      <w:r w:rsidR="00597458" w:rsidRPr="002121A4">
        <w:t>WpÜG</w:t>
      </w:r>
      <w:proofErr w:type="spellEnd"/>
      <w:r w:rsidR="00597458" w:rsidRPr="002121A4">
        <w:t xml:space="preserve">). </w:t>
      </w:r>
    </w:p>
    <w:tbl>
      <w:tblPr>
        <w:tblStyle w:val="Tabellenraster"/>
        <w:tblpPr w:leftFromText="141" w:rightFromText="141" w:vertAnchor="text" w:tblpY="137"/>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5"/>
        <w:gridCol w:w="3005"/>
        <w:gridCol w:w="3006"/>
      </w:tblGrid>
      <w:tr w:rsidR="00C82782" w:rsidRPr="00080F04" w14:paraId="6D92D921" w14:textId="77777777" w:rsidTr="00634C97">
        <w:tc>
          <w:tcPr>
            <w:tcW w:w="9016" w:type="dxa"/>
            <w:gridSpan w:val="3"/>
            <w:tcBorders>
              <w:top w:val="single" w:sz="4" w:space="0" w:color="A6A6A6" w:themeColor="background1" w:themeShade="A6"/>
              <w:bottom w:val="single" w:sz="4" w:space="0" w:color="A6A6A6" w:themeColor="background1" w:themeShade="A6"/>
            </w:tcBorders>
          </w:tcPr>
          <w:p w14:paraId="77615F53" w14:textId="77777777" w:rsidR="00C82782" w:rsidRPr="00197714" w:rsidRDefault="00C82782" w:rsidP="00197714">
            <w:pPr>
              <w:jc w:val="center"/>
              <w:rPr>
                <w:b/>
                <w:lang w:val="en-US"/>
              </w:rPr>
            </w:pPr>
            <w:r w:rsidRPr="00197714">
              <w:rPr>
                <w:b/>
                <w:lang w:val="en-US"/>
              </w:rPr>
              <w:t xml:space="preserve">Types of bids under </w:t>
            </w:r>
            <w:proofErr w:type="spellStart"/>
            <w:r w:rsidRPr="00197714">
              <w:rPr>
                <w:b/>
                <w:lang w:val="en-US"/>
              </w:rPr>
              <w:t>WpÜG</w:t>
            </w:r>
            <w:proofErr w:type="spellEnd"/>
          </w:p>
        </w:tc>
      </w:tr>
      <w:tr w:rsidR="00C82782" w:rsidRPr="00C82782" w14:paraId="0C1FB72D" w14:textId="77777777" w:rsidTr="00F96F74">
        <w:tc>
          <w:tcPr>
            <w:tcW w:w="6010"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5A0A912" w14:textId="77777777" w:rsidR="00C82782" w:rsidRPr="00C82782" w:rsidRDefault="00C82782" w:rsidP="00197714">
            <w:pPr>
              <w:rPr>
                <w:i/>
              </w:rPr>
            </w:pPr>
            <w:proofErr w:type="spellStart"/>
            <w:r w:rsidRPr="00C82782">
              <w:rPr>
                <w:i/>
              </w:rPr>
              <w:t>Voluntary</w:t>
            </w:r>
            <w:proofErr w:type="spellEnd"/>
            <w:r w:rsidRPr="00C82782">
              <w:rPr>
                <w:i/>
              </w:rPr>
              <w:t xml:space="preserve"> </w:t>
            </w:r>
            <w:proofErr w:type="spellStart"/>
            <w:r w:rsidRPr="00C82782">
              <w:rPr>
                <w:i/>
              </w:rPr>
              <w:t>bids</w:t>
            </w:r>
            <w:proofErr w:type="spellEnd"/>
          </w:p>
        </w:tc>
        <w:tc>
          <w:tcPr>
            <w:tcW w:w="3006" w:type="dxa"/>
            <w:vMerge w:val="restart"/>
            <w:tcBorders>
              <w:top w:val="single" w:sz="4" w:space="0" w:color="A6A6A6" w:themeColor="background1" w:themeShade="A6"/>
              <w:left w:val="single" w:sz="4" w:space="0" w:color="A6A6A6" w:themeColor="background1" w:themeShade="A6"/>
            </w:tcBorders>
          </w:tcPr>
          <w:p w14:paraId="6F82E889" w14:textId="77777777" w:rsidR="00C82782" w:rsidRPr="00C82782" w:rsidRDefault="00C82782" w:rsidP="00197714">
            <w:pPr>
              <w:rPr>
                <w:i/>
              </w:rPr>
            </w:pPr>
            <w:r w:rsidRPr="00C82782">
              <w:rPr>
                <w:i/>
              </w:rPr>
              <w:t>Mandatory bids</w:t>
            </w:r>
          </w:p>
        </w:tc>
      </w:tr>
      <w:tr w:rsidR="00C82782" w:rsidRPr="00197714" w14:paraId="14A3D0D9" w14:textId="77777777" w:rsidTr="00F96F74">
        <w:tc>
          <w:tcPr>
            <w:tcW w:w="3005" w:type="dxa"/>
            <w:tcBorders>
              <w:top w:val="single" w:sz="4" w:space="0" w:color="A6A6A6" w:themeColor="background1" w:themeShade="A6"/>
              <w:bottom w:val="nil"/>
              <w:right w:val="single" w:sz="4" w:space="0" w:color="A6A6A6" w:themeColor="background1" w:themeShade="A6"/>
            </w:tcBorders>
          </w:tcPr>
          <w:p w14:paraId="37C2DFF0" w14:textId="77777777" w:rsidR="00C82782" w:rsidRPr="00DB5707" w:rsidRDefault="00C82782" w:rsidP="00197714">
            <w:pPr>
              <w:rPr>
                <w:sz w:val="22"/>
                <w:szCs w:val="22"/>
                <w:lang w:val="en-US"/>
              </w:rPr>
            </w:pPr>
            <w:r w:rsidRPr="00DB5707">
              <w:rPr>
                <w:sz w:val="22"/>
                <w:szCs w:val="22"/>
                <w:lang w:val="en-US"/>
              </w:rPr>
              <w:t>Not aimed at acquiring control</w:t>
            </w:r>
          </w:p>
        </w:tc>
        <w:tc>
          <w:tcPr>
            <w:tcW w:w="3005"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14:paraId="4A15C291" w14:textId="77777777" w:rsidR="00C82782" w:rsidRPr="00197714" w:rsidRDefault="00C82782" w:rsidP="00197714">
            <w:pPr>
              <w:rPr>
                <w:sz w:val="22"/>
                <w:szCs w:val="22"/>
              </w:rPr>
            </w:pPr>
            <w:proofErr w:type="spellStart"/>
            <w:r w:rsidRPr="00197714">
              <w:rPr>
                <w:sz w:val="22"/>
                <w:szCs w:val="22"/>
              </w:rPr>
              <w:t>Aimed</w:t>
            </w:r>
            <w:proofErr w:type="spellEnd"/>
            <w:r w:rsidRPr="00197714">
              <w:rPr>
                <w:sz w:val="22"/>
                <w:szCs w:val="22"/>
              </w:rPr>
              <w:t xml:space="preserve"> at </w:t>
            </w:r>
            <w:proofErr w:type="spellStart"/>
            <w:r w:rsidRPr="00197714">
              <w:rPr>
                <w:sz w:val="22"/>
                <w:szCs w:val="22"/>
              </w:rPr>
              <w:t>acquiring</w:t>
            </w:r>
            <w:proofErr w:type="spellEnd"/>
            <w:r w:rsidRPr="00197714">
              <w:rPr>
                <w:sz w:val="22"/>
                <w:szCs w:val="22"/>
              </w:rPr>
              <w:t xml:space="preserve"> </w:t>
            </w:r>
            <w:proofErr w:type="spellStart"/>
            <w:r w:rsidRPr="00197714">
              <w:rPr>
                <w:sz w:val="22"/>
                <w:szCs w:val="22"/>
              </w:rPr>
              <w:t>control</w:t>
            </w:r>
            <w:proofErr w:type="spellEnd"/>
          </w:p>
        </w:tc>
        <w:tc>
          <w:tcPr>
            <w:tcW w:w="3006" w:type="dxa"/>
            <w:vMerge/>
            <w:tcBorders>
              <w:left w:val="single" w:sz="4" w:space="0" w:color="A6A6A6" w:themeColor="background1" w:themeShade="A6"/>
            </w:tcBorders>
          </w:tcPr>
          <w:p w14:paraId="3FD62059" w14:textId="77777777" w:rsidR="00C82782" w:rsidRPr="00197714" w:rsidRDefault="00C82782" w:rsidP="00197714">
            <w:pPr>
              <w:rPr>
                <w:sz w:val="22"/>
                <w:szCs w:val="22"/>
              </w:rPr>
            </w:pPr>
          </w:p>
        </w:tc>
      </w:tr>
      <w:tr w:rsidR="00C82782" w:rsidRPr="00080F04" w14:paraId="5A0048AE" w14:textId="77777777" w:rsidTr="00F96F74">
        <w:tc>
          <w:tcPr>
            <w:tcW w:w="3005" w:type="dxa"/>
            <w:tcBorders>
              <w:top w:val="nil"/>
              <w:bottom w:val="single" w:sz="4" w:space="0" w:color="A6A6A6" w:themeColor="background1" w:themeShade="A6"/>
              <w:right w:val="single" w:sz="4" w:space="0" w:color="A6A6A6" w:themeColor="background1" w:themeShade="A6"/>
            </w:tcBorders>
          </w:tcPr>
          <w:p w14:paraId="6B8FD87D" w14:textId="6F32DDB5" w:rsidR="00C82782" w:rsidRPr="00DB5707" w:rsidRDefault="00C82782" w:rsidP="00197714">
            <w:pPr>
              <w:rPr>
                <w:sz w:val="22"/>
                <w:szCs w:val="22"/>
                <w:lang w:val="en-US"/>
              </w:rPr>
            </w:pPr>
            <w:r w:rsidRPr="00DB5707">
              <w:rPr>
                <w:sz w:val="22"/>
                <w:szCs w:val="22"/>
                <w:lang w:val="en-US"/>
              </w:rPr>
              <w:t xml:space="preserve">Only section 3 </w:t>
            </w:r>
            <w:proofErr w:type="spellStart"/>
            <w:r w:rsidRPr="00DB5707">
              <w:rPr>
                <w:sz w:val="22"/>
                <w:szCs w:val="22"/>
                <w:lang w:val="en-US"/>
              </w:rPr>
              <w:t>WpüG</w:t>
            </w:r>
            <w:proofErr w:type="spellEnd"/>
            <w:r w:rsidRPr="00DB5707">
              <w:rPr>
                <w:sz w:val="22"/>
                <w:szCs w:val="22"/>
                <w:lang w:val="en-US"/>
              </w:rPr>
              <w:t xml:space="preserve"> applies (§§ 10–28 </w:t>
            </w:r>
            <w:proofErr w:type="spellStart"/>
            <w:r w:rsidRPr="00DB5707">
              <w:rPr>
                <w:sz w:val="22"/>
                <w:szCs w:val="22"/>
                <w:lang w:val="en-US"/>
              </w:rPr>
              <w:t>WpÜG</w:t>
            </w:r>
            <w:proofErr w:type="spellEnd"/>
            <w:r w:rsidRPr="00DB5707">
              <w:rPr>
                <w:sz w:val="22"/>
                <w:szCs w:val="22"/>
                <w:lang w:val="en-US"/>
              </w:rPr>
              <w:t xml:space="preserve">) </w:t>
            </w:r>
          </w:p>
        </w:tc>
        <w:tc>
          <w:tcPr>
            <w:tcW w:w="3005"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tcPr>
          <w:p w14:paraId="08713471" w14:textId="532B0E1A" w:rsidR="00C82782" w:rsidRPr="00197714" w:rsidRDefault="00C82782" w:rsidP="00197714">
            <w:pPr>
              <w:rPr>
                <w:sz w:val="22"/>
                <w:szCs w:val="22"/>
                <w:lang w:val="en-US"/>
              </w:rPr>
            </w:pPr>
            <w:r w:rsidRPr="00197714">
              <w:rPr>
                <w:sz w:val="22"/>
                <w:szCs w:val="22"/>
                <w:lang w:val="en-US"/>
              </w:rPr>
              <w:t xml:space="preserve">Section 4 </w:t>
            </w:r>
            <w:proofErr w:type="spellStart"/>
            <w:r w:rsidRPr="00197714">
              <w:rPr>
                <w:sz w:val="22"/>
                <w:szCs w:val="22"/>
                <w:lang w:val="en-US"/>
              </w:rPr>
              <w:t>WpÜG</w:t>
            </w:r>
            <w:proofErr w:type="spellEnd"/>
            <w:r w:rsidRPr="00197714">
              <w:rPr>
                <w:sz w:val="22"/>
                <w:szCs w:val="22"/>
                <w:lang w:val="en-US"/>
              </w:rPr>
              <w:t xml:space="preserve"> applies (§§ 29–34 </w:t>
            </w:r>
            <w:proofErr w:type="spellStart"/>
            <w:r w:rsidRPr="00197714">
              <w:rPr>
                <w:sz w:val="22"/>
                <w:szCs w:val="22"/>
                <w:lang w:val="en-US"/>
              </w:rPr>
              <w:t>WpÜG</w:t>
            </w:r>
            <w:proofErr w:type="spellEnd"/>
            <w:r w:rsidRPr="00197714">
              <w:rPr>
                <w:sz w:val="22"/>
                <w:szCs w:val="22"/>
                <w:lang w:val="en-US"/>
              </w:rPr>
              <w:t xml:space="preserve">), plus the reference to section 3 (§ 34 </w:t>
            </w:r>
            <w:proofErr w:type="spellStart"/>
            <w:r w:rsidRPr="00197714">
              <w:rPr>
                <w:sz w:val="22"/>
                <w:szCs w:val="22"/>
                <w:lang w:val="en-US"/>
              </w:rPr>
              <w:t>WpÜG</w:t>
            </w:r>
            <w:proofErr w:type="spellEnd"/>
            <w:r w:rsidRPr="00197714">
              <w:rPr>
                <w:sz w:val="22"/>
                <w:szCs w:val="22"/>
                <w:lang w:val="en-US"/>
              </w:rPr>
              <w:t>)</w:t>
            </w:r>
          </w:p>
        </w:tc>
        <w:tc>
          <w:tcPr>
            <w:tcW w:w="3006" w:type="dxa"/>
            <w:tcBorders>
              <w:left w:val="single" w:sz="4" w:space="0" w:color="A6A6A6" w:themeColor="background1" w:themeShade="A6"/>
              <w:bottom w:val="single" w:sz="4" w:space="0" w:color="A6A6A6" w:themeColor="background1" w:themeShade="A6"/>
            </w:tcBorders>
          </w:tcPr>
          <w:p w14:paraId="79F57E6E" w14:textId="2A18C698" w:rsidR="00C82782" w:rsidRPr="00197714" w:rsidRDefault="00C82782" w:rsidP="00197714">
            <w:pPr>
              <w:rPr>
                <w:sz w:val="22"/>
                <w:szCs w:val="22"/>
                <w:lang w:val="en-US"/>
              </w:rPr>
            </w:pPr>
            <w:r w:rsidRPr="00197714">
              <w:rPr>
                <w:sz w:val="22"/>
                <w:szCs w:val="22"/>
                <w:lang w:val="en-US"/>
              </w:rPr>
              <w:t xml:space="preserve">Section 5 </w:t>
            </w:r>
            <w:proofErr w:type="spellStart"/>
            <w:r w:rsidRPr="00197714">
              <w:rPr>
                <w:sz w:val="22"/>
                <w:szCs w:val="22"/>
                <w:lang w:val="en-US"/>
              </w:rPr>
              <w:t>WpÜG</w:t>
            </w:r>
            <w:proofErr w:type="spellEnd"/>
            <w:r w:rsidRPr="00197714">
              <w:rPr>
                <w:sz w:val="22"/>
                <w:szCs w:val="22"/>
                <w:lang w:val="en-US"/>
              </w:rPr>
              <w:t xml:space="preserve"> applies</w:t>
            </w:r>
            <w:r w:rsidR="000F1CA0" w:rsidRPr="00197714">
              <w:rPr>
                <w:sz w:val="22"/>
                <w:szCs w:val="22"/>
                <w:lang w:val="en-US"/>
              </w:rPr>
              <w:t xml:space="preserve"> (§§ 35–39 </w:t>
            </w:r>
            <w:proofErr w:type="spellStart"/>
            <w:r w:rsidR="000F1CA0" w:rsidRPr="00197714">
              <w:rPr>
                <w:sz w:val="22"/>
                <w:szCs w:val="22"/>
                <w:lang w:val="en-US"/>
              </w:rPr>
              <w:t>WpÜG</w:t>
            </w:r>
            <w:proofErr w:type="spellEnd"/>
            <w:r w:rsidR="000F1CA0" w:rsidRPr="00197714">
              <w:rPr>
                <w:sz w:val="22"/>
                <w:szCs w:val="22"/>
                <w:lang w:val="en-US"/>
              </w:rPr>
              <w:t>)</w:t>
            </w:r>
            <w:r w:rsidRPr="00197714">
              <w:rPr>
                <w:sz w:val="22"/>
                <w:szCs w:val="22"/>
                <w:lang w:val="en-US"/>
              </w:rPr>
              <w:t xml:space="preserve">, plus the reference to sections 3 and 4 in § 39 </w:t>
            </w:r>
            <w:proofErr w:type="spellStart"/>
            <w:r w:rsidRPr="00197714">
              <w:rPr>
                <w:sz w:val="22"/>
                <w:szCs w:val="22"/>
                <w:lang w:val="en-US"/>
              </w:rPr>
              <w:t>WpÜG</w:t>
            </w:r>
            <w:proofErr w:type="spellEnd"/>
          </w:p>
        </w:tc>
      </w:tr>
    </w:tbl>
    <w:p w14:paraId="4016724D" w14:textId="5E74353A" w:rsidR="00E51CCF" w:rsidRPr="002121A4" w:rsidRDefault="00B76FFE" w:rsidP="000F4342">
      <w:pPr>
        <w:pStyle w:val="berschrift3"/>
        <w:rPr>
          <w:lang w:val="en-GB"/>
        </w:rPr>
      </w:pPr>
      <w:r w:rsidRPr="002121A4">
        <w:rPr>
          <w:i w:val="0"/>
          <w:noProof/>
        </w:rPr>
        <w:lastRenderedPageBreak/>
        <mc:AlternateContent>
          <mc:Choice Requires="wps">
            <w:drawing>
              <wp:anchor distT="45720" distB="45720" distL="114300" distR="114300" simplePos="0" relativeHeight="251660800" behindDoc="0" locked="0" layoutInCell="1" allowOverlap="1" wp14:anchorId="77098503" wp14:editId="1F02A570">
                <wp:simplePos x="0" y="0"/>
                <wp:positionH relativeFrom="page">
                  <wp:posOffset>3827337</wp:posOffset>
                </wp:positionH>
                <wp:positionV relativeFrom="paragraph">
                  <wp:posOffset>1551010</wp:posOffset>
                </wp:positionV>
                <wp:extent cx="3580130" cy="4090670"/>
                <wp:effectExtent l="0" t="0" r="20320" b="241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0130" cy="4090670"/>
                        </a:xfrm>
                        <a:prstGeom prst="rect">
                          <a:avLst/>
                        </a:prstGeom>
                        <a:solidFill>
                          <a:srgbClr val="FFFFFF"/>
                        </a:solidFill>
                        <a:ln w="9525">
                          <a:solidFill>
                            <a:schemeClr val="bg1">
                              <a:lumMod val="65000"/>
                            </a:schemeClr>
                          </a:solidFill>
                          <a:miter lim="800000"/>
                          <a:headEnd/>
                          <a:tailEnd/>
                        </a:ln>
                      </wps:spPr>
                      <wps:txbx>
                        <w:txbxContent>
                          <w:p w14:paraId="78858B8F" w14:textId="46F6A8EA" w:rsidR="006108E4" w:rsidRDefault="006108E4">
                            <w:r>
                              <w:rPr>
                                <w:noProof/>
                              </w:rPr>
                              <w:drawing>
                                <wp:inline distT="0" distB="0" distL="0" distR="0" wp14:anchorId="7FBAF697" wp14:editId="3175BDF4">
                                  <wp:extent cx="3418797" cy="3859730"/>
                                  <wp:effectExtent l="0" t="0" r="0" b="7620"/>
                                  <wp:docPr id="1017643230" name="Grafik 1017643230" descr="Phases of an offe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hases of an offer procedure"/>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56573" cy="390237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98503" id="_x0000_s1042" type="#_x0000_t202" style="position:absolute;left:0;text-align:left;margin-left:301.35pt;margin-top:122.15pt;width:281.9pt;height:322.1pt;z-index:2516608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" strokecolor="#a5a5a5 [2092]">
                <v:textbox>
                  <w:txbxContent>
                    <w:p w14:paraId="78858B8F" w14:textId="46F6A8EA" w:rsidR="006108E4" w:rsidRDefault="006108E4">
                      <w:r>
                        <w:rPr>
                          <w:noProof/>
                        </w:rPr>
                        <w:drawing>
                          <wp:inline distT="0" distB="0" distL="0" distR="0" wp14:anchorId="7FBAF697" wp14:editId="3175BDF4">
                            <wp:extent cx="3418797" cy="3859730"/>
                            <wp:effectExtent l="0" t="0" r="0" b="7620"/>
                            <wp:docPr id="1017643230" name="Grafik 1017643230" descr="Phases of an offe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hases of an offer procedure"/>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56573" cy="3902378"/>
                                    </a:xfrm>
                                    <a:prstGeom prst="rect">
                                      <a:avLst/>
                                    </a:prstGeom>
                                    <a:noFill/>
                                    <a:ln>
                                      <a:noFill/>
                                    </a:ln>
                                  </pic:spPr>
                                </pic:pic>
                              </a:graphicData>
                            </a:graphic>
                          </wp:inline>
                        </w:drawing>
                      </w:r>
                    </w:p>
                  </w:txbxContent>
                </v:textbox>
                <w10:wrap type="square" anchorx="page"/>
              </v:shape>
            </w:pict>
          </mc:Fallback>
        </mc:AlternateContent>
      </w:r>
      <w:r w:rsidR="000F35F2" w:rsidRPr="002121A4">
        <w:rPr>
          <w:lang w:val="en-GB"/>
        </w:rPr>
        <w:t>Steps of the process</w:t>
      </w:r>
    </w:p>
    <w:p w14:paraId="74668425" w14:textId="6483A47D" w:rsidR="00FC6554" w:rsidRPr="002121A4" w:rsidRDefault="00FC6554" w:rsidP="00D24E13">
      <w:pPr>
        <w:pStyle w:val="Standardwithparanumbering"/>
        <w:rPr>
          <w:i/>
        </w:rPr>
      </w:pPr>
      <w:bookmarkStart w:id="158" w:name="_Ref129776192"/>
      <w:r w:rsidRPr="002121A4">
        <w:t>The steps of an offer process are the following:</w:t>
      </w:r>
      <w:bookmarkEnd w:id="158"/>
    </w:p>
    <w:p w14:paraId="775AEFA8" w14:textId="46D63310" w:rsidR="00FC6554" w:rsidRPr="00197714" w:rsidRDefault="00FC6554" w:rsidP="00AB42AA">
      <w:pPr>
        <w:pStyle w:val="Listenabsatz"/>
        <w:numPr>
          <w:ilvl w:val="0"/>
          <w:numId w:val="11"/>
        </w:numPr>
        <w:rPr>
          <w:i/>
          <w:lang w:val="en-US"/>
        </w:rPr>
      </w:pPr>
      <w:r w:rsidRPr="00197714">
        <w:rPr>
          <w:lang w:val="en-US"/>
        </w:rPr>
        <w:t xml:space="preserve">preparation of the </w:t>
      </w:r>
      <w:r w:rsidR="00E51CCF" w:rsidRPr="00197714">
        <w:rPr>
          <w:lang w:val="en-US"/>
        </w:rPr>
        <w:t>offer</w:t>
      </w:r>
      <w:r w:rsidRPr="00197714">
        <w:rPr>
          <w:lang w:val="en-US"/>
        </w:rPr>
        <w:t xml:space="preserve">, e.g., </w:t>
      </w:r>
      <w:r w:rsidR="006108E4" w:rsidRPr="00197714">
        <w:rPr>
          <w:lang w:val="en-US"/>
        </w:rPr>
        <w:t>retaining</w:t>
      </w:r>
      <w:r w:rsidRPr="00197714">
        <w:rPr>
          <w:lang w:val="en-US"/>
        </w:rPr>
        <w:t xml:space="preserve"> legal and financial advisors, securing financing arrangement, </w:t>
      </w:r>
      <w:r w:rsidRPr="00EF383F">
        <w:rPr>
          <w:lang w:val="en-GB"/>
        </w:rPr>
        <w:t>due</w:t>
      </w:r>
      <w:r w:rsidRPr="00197714">
        <w:rPr>
          <w:lang w:val="en-US"/>
        </w:rPr>
        <w:t xml:space="preserve"> diligence process as regards financial situation of the target;</w:t>
      </w:r>
    </w:p>
    <w:p w14:paraId="0E60C9F4" w14:textId="6206D7AC" w:rsidR="00FC6554" w:rsidRPr="00197714" w:rsidRDefault="00BD3752" w:rsidP="00AB42AA">
      <w:pPr>
        <w:pStyle w:val="Listenabsatz"/>
        <w:numPr>
          <w:ilvl w:val="0"/>
          <w:numId w:val="11"/>
        </w:numPr>
        <w:rPr>
          <w:i/>
          <w:lang w:val="en-US"/>
        </w:rPr>
      </w:pPr>
      <w:r w:rsidRPr="00197714">
        <w:rPr>
          <w:lang w:val="en-US"/>
        </w:rPr>
        <w:t xml:space="preserve">announcement of the </w:t>
      </w:r>
      <w:r w:rsidR="00FC6554" w:rsidRPr="00197714">
        <w:rPr>
          <w:lang w:val="en-US"/>
        </w:rPr>
        <w:t>d</w:t>
      </w:r>
      <w:r w:rsidR="000250AA" w:rsidRPr="00197714">
        <w:rPr>
          <w:lang w:val="en-US"/>
        </w:rPr>
        <w:t>ecision to make an offer</w:t>
      </w:r>
      <w:r w:rsidR="00EB15FB" w:rsidRPr="00197714">
        <w:rPr>
          <w:lang w:val="en-US"/>
        </w:rPr>
        <w:t xml:space="preserve">, § 10 </w:t>
      </w:r>
      <w:proofErr w:type="spellStart"/>
      <w:r w:rsidR="00EB15FB" w:rsidRPr="00197714">
        <w:rPr>
          <w:lang w:val="en-US"/>
        </w:rPr>
        <w:t>WpÜG</w:t>
      </w:r>
      <w:proofErr w:type="spellEnd"/>
      <w:r w:rsidR="00FC6554" w:rsidRPr="00197714">
        <w:rPr>
          <w:lang w:val="en-US"/>
        </w:rPr>
        <w:t>, or announcement of acquisition</w:t>
      </w:r>
      <w:r w:rsidR="00140D4A" w:rsidRPr="00197714">
        <w:rPr>
          <w:lang w:val="en-US"/>
        </w:rPr>
        <w:t xml:space="preserve"> of control</w:t>
      </w:r>
      <w:r w:rsidR="004F30DC" w:rsidRPr="00197714">
        <w:rPr>
          <w:lang w:val="en-US"/>
        </w:rPr>
        <w:t xml:space="preserve">, § 35(1) </w:t>
      </w:r>
      <w:proofErr w:type="spellStart"/>
      <w:r w:rsidR="004F30DC" w:rsidRPr="00197714">
        <w:rPr>
          <w:lang w:val="en-US"/>
        </w:rPr>
        <w:t>WpÜG</w:t>
      </w:r>
      <w:proofErr w:type="spellEnd"/>
      <w:r w:rsidRPr="00197714">
        <w:rPr>
          <w:lang w:val="en-US"/>
        </w:rPr>
        <w:t xml:space="preserve">; note that § 10(6) </w:t>
      </w:r>
      <w:proofErr w:type="spellStart"/>
      <w:r w:rsidRPr="00197714">
        <w:rPr>
          <w:lang w:val="en-US"/>
        </w:rPr>
        <w:t>WpÜG</w:t>
      </w:r>
      <w:proofErr w:type="spellEnd"/>
      <w:r w:rsidRPr="00197714">
        <w:rPr>
          <w:lang w:val="en-US"/>
        </w:rPr>
        <w:t xml:space="preserve"> disapplies disclosure obligations of the bidder pursuant to article 17(1) MAR</w:t>
      </w:r>
      <w:r w:rsidR="008C7E28" w:rsidRPr="00197714">
        <w:rPr>
          <w:lang w:val="en-US"/>
        </w:rPr>
        <w:t>;</w:t>
      </w:r>
    </w:p>
    <w:p w14:paraId="5ACB36CB" w14:textId="324FFAA8" w:rsidR="004F30DC" w:rsidRPr="00197714" w:rsidRDefault="004F30DC" w:rsidP="00AB42AA">
      <w:pPr>
        <w:pStyle w:val="Listenabsatz"/>
        <w:numPr>
          <w:ilvl w:val="0"/>
          <w:numId w:val="11"/>
        </w:numPr>
        <w:rPr>
          <w:i/>
          <w:lang w:val="en-US"/>
        </w:rPr>
      </w:pPr>
      <w:r w:rsidRPr="00197714">
        <w:rPr>
          <w:lang w:val="en-US"/>
        </w:rPr>
        <w:t xml:space="preserve">preparation </w:t>
      </w:r>
      <w:r w:rsidR="00FC6554" w:rsidRPr="00197714">
        <w:rPr>
          <w:lang w:val="en-US"/>
        </w:rPr>
        <w:t xml:space="preserve">of </w:t>
      </w:r>
      <w:r w:rsidR="0090515F" w:rsidRPr="00197714">
        <w:rPr>
          <w:lang w:val="en-US"/>
        </w:rPr>
        <w:t xml:space="preserve">the </w:t>
      </w:r>
      <w:r w:rsidR="00FC6554" w:rsidRPr="00197714">
        <w:rPr>
          <w:lang w:val="en-US"/>
        </w:rPr>
        <w:t>o</w:t>
      </w:r>
      <w:r w:rsidR="00E51CCF" w:rsidRPr="00197714">
        <w:rPr>
          <w:lang w:val="en-US"/>
        </w:rPr>
        <w:t xml:space="preserve">ffer </w:t>
      </w:r>
      <w:r w:rsidR="00B100F3" w:rsidRPr="00197714">
        <w:rPr>
          <w:lang w:val="en-US"/>
        </w:rPr>
        <w:t xml:space="preserve">document </w:t>
      </w:r>
      <w:r w:rsidRPr="00197714">
        <w:rPr>
          <w:lang w:val="en-US"/>
        </w:rPr>
        <w:t xml:space="preserve">with the information required under § 11 </w:t>
      </w:r>
      <w:proofErr w:type="spellStart"/>
      <w:r w:rsidRPr="00197714">
        <w:rPr>
          <w:lang w:val="en-US"/>
        </w:rPr>
        <w:t>WpÜG</w:t>
      </w:r>
      <w:proofErr w:type="spellEnd"/>
      <w:r w:rsidR="00FC6554" w:rsidRPr="00197714">
        <w:rPr>
          <w:lang w:val="en-US"/>
        </w:rPr>
        <w:t xml:space="preserve">, </w:t>
      </w:r>
      <w:r w:rsidR="00B100F3" w:rsidRPr="00197714">
        <w:rPr>
          <w:lang w:val="en-US"/>
        </w:rPr>
        <w:t xml:space="preserve">with conditions as permitted by §§ 18, 25 </w:t>
      </w:r>
      <w:proofErr w:type="spellStart"/>
      <w:r w:rsidR="00B100F3" w:rsidRPr="00197714">
        <w:rPr>
          <w:lang w:val="en-US"/>
        </w:rPr>
        <w:t>WpÜG</w:t>
      </w:r>
      <w:proofErr w:type="spellEnd"/>
    </w:p>
    <w:p w14:paraId="6C5A787D" w14:textId="39FA9D60" w:rsidR="00FC6554" w:rsidRPr="00197714" w:rsidRDefault="004F30DC" w:rsidP="00AB42AA">
      <w:pPr>
        <w:pStyle w:val="Listenabsatz"/>
        <w:numPr>
          <w:ilvl w:val="0"/>
          <w:numId w:val="11"/>
        </w:numPr>
        <w:rPr>
          <w:i/>
          <w:lang w:val="en-US"/>
        </w:rPr>
      </w:pPr>
      <w:r w:rsidRPr="00197714">
        <w:rPr>
          <w:lang w:val="en-US"/>
        </w:rPr>
        <w:t xml:space="preserve">submission of the offer document to BaFin for </w:t>
      </w:r>
      <w:r w:rsidR="00FC6554" w:rsidRPr="00197714">
        <w:rPr>
          <w:lang w:val="en-US"/>
        </w:rPr>
        <w:t>review/</w:t>
      </w:r>
      <w:r w:rsidR="000250AA" w:rsidRPr="00197714">
        <w:rPr>
          <w:lang w:val="en-US"/>
        </w:rPr>
        <w:t>approval</w:t>
      </w:r>
      <w:r w:rsidR="00FC6554" w:rsidRPr="00197714">
        <w:rPr>
          <w:lang w:val="en-US"/>
        </w:rPr>
        <w:t>/prohibition</w:t>
      </w:r>
      <w:r w:rsidRPr="00197714">
        <w:rPr>
          <w:lang w:val="en-US"/>
        </w:rPr>
        <w:t xml:space="preserve">, § 14(1) </w:t>
      </w:r>
      <w:proofErr w:type="spellStart"/>
      <w:r w:rsidRPr="00197714">
        <w:rPr>
          <w:lang w:val="en-US"/>
        </w:rPr>
        <w:t>WpÜG</w:t>
      </w:r>
      <w:proofErr w:type="spellEnd"/>
      <w:r w:rsidR="0051059C" w:rsidRPr="00197714">
        <w:rPr>
          <w:lang w:val="en-US"/>
        </w:rPr>
        <w:t xml:space="preserve"> </w:t>
      </w:r>
    </w:p>
    <w:p w14:paraId="32B0E449" w14:textId="01379F71" w:rsidR="00FC6554" w:rsidRPr="00197714" w:rsidRDefault="0051059C" w:rsidP="00AB42AA">
      <w:pPr>
        <w:pStyle w:val="Listenabsatz"/>
        <w:numPr>
          <w:ilvl w:val="0"/>
          <w:numId w:val="11"/>
        </w:numPr>
        <w:rPr>
          <w:i/>
          <w:lang w:val="en-US"/>
        </w:rPr>
      </w:pPr>
      <w:r w:rsidRPr="00EF383F">
        <w:rPr>
          <w:lang w:val="en-GB"/>
        </w:rPr>
        <w:t>p</w:t>
      </w:r>
      <w:r w:rsidR="000250AA" w:rsidRPr="00EF383F">
        <w:rPr>
          <w:lang w:val="en-GB"/>
        </w:rPr>
        <w:t>ublication</w:t>
      </w:r>
      <w:r w:rsidR="000250AA" w:rsidRPr="00197714">
        <w:rPr>
          <w:lang w:val="en-US"/>
        </w:rPr>
        <w:t xml:space="preserve"> of offer document</w:t>
      </w:r>
      <w:r w:rsidR="00EB15FB" w:rsidRPr="00197714">
        <w:rPr>
          <w:lang w:val="en-US"/>
        </w:rPr>
        <w:t>, §</w:t>
      </w:r>
      <w:r w:rsidR="004F30DC" w:rsidRPr="00197714">
        <w:rPr>
          <w:lang w:val="en-US"/>
        </w:rPr>
        <w:t> </w:t>
      </w:r>
      <w:r w:rsidR="00EB15FB" w:rsidRPr="00197714">
        <w:rPr>
          <w:lang w:val="en-US"/>
        </w:rPr>
        <w:t>14</w:t>
      </w:r>
      <w:r w:rsidR="004F30DC" w:rsidRPr="00197714">
        <w:rPr>
          <w:lang w:val="en-US"/>
        </w:rPr>
        <w:t xml:space="preserve">(2) </w:t>
      </w:r>
      <w:proofErr w:type="spellStart"/>
      <w:r w:rsidR="004F30DC" w:rsidRPr="00197714">
        <w:rPr>
          <w:lang w:val="en-US"/>
        </w:rPr>
        <w:t>WpÜG</w:t>
      </w:r>
      <w:proofErr w:type="spellEnd"/>
      <w:r w:rsidR="004F30DC" w:rsidRPr="00197714">
        <w:rPr>
          <w:lang w:val="en-US"/>
        </w:rPr>
        <w:t>, unless prohibited, § </w:t>
      </w:r>
      <w:r w:rsidRPr="00197714">
        <w:rPr>
          <w:lang w:val="en-US"/>
        </w:rPr>
        <w:t>15</w:t>
      </w:r>
      <w:r w:rsidR="00EB15FB" w:rsidRPr="00197714">
        <w:rPr>
          <w:lang w:val="en-US"/>
        </w:rPr>
        <w:t xml:space="preserve"> </w:t>
      </w:r>
      <w:proofErr w:type="spellStart"/>
      <w:r w:rsidR="00EB15FB" w:rsidRPr="00197714">
        <w:rPr>
          <w:lang w:val="en-US"/>
        </w:rPr>
        <w:t>WpÜG</w:t>
      </w:r>
      <w:proofErr w:type="spellEnd"/>
    </w:p>
    <w:p w14:paraId="7A38ACFE" w14:textId="2CC77BB1" w:rsidR="00FC6554" w:rsidRPr="002121A4" w:rsidRDefault="00FC6554" w:rsidP="00AB42AA">
      <w:pPr>
        <w:pStyle w:val="Listenabsatz"/>
        <w:numPr>
          <w:ilvl w:val="0"/>
          <w:numId w:val="11"/>
        </w:numPr>
        <w:rPr>
          <w:i/>
        </w:rPr>
      </w:pPr>
      <w:proofErr w:type="spellStart"/>
      <w:r w:rsidRPr="002121A4">
        <w:t>s</w:t>
      </w:r>
      <w:r w:rsidR="00E51CCF" w:rsidRPr="002121A4">
        <w:t>tatement</w:t>
      </w:r>
      <w:proofErr w:type="spellEnd"/>
      <w:r w:rsidR="00E51CCF" w:rsidRPr="002121A4">
        <w:t xml:space="preserve"> </w:t>
      </w:r>
      <w:r w:rsidR="00E51CCF" w:rsidRPr="00EF383F">
        <w:rPr>
          <w:lang w:val="en-GB"/>
        </w:rPr>
        <w:t>from</w:t>
      </w:r>
      <w:r w:rsidR="00E51CCF" w:rsidRPr="002121A4">
        <w:t xml:space="preserve"> </w:t>
      </w:r>
      <w:proofErr w:type="spellStart"/>
      <w:r w:rsidR="00E51CCF" w:rsidRPr="002121A4">
        <w:t>target</w:t>
      </w:r>
      <w:proofErr w:type="spellEnd"/>
      <w:r w:rsidR="00E51CCF" w:rsidRPr="002121A4">
        <w:t xml:space="preserve"> </w:t>
      </w:r>
      <w:proofErr w:type="spellStart"/>
      <w:r w:rsidR="00E51CCF" w:rsidRPr="002121A4">
        <w:t>company</w:t>
      </w:r>
      <w:proofErr w:type="spellEnd"/>
      <w:r w:rsidR="00EB15FB" w:rsidRPr="002121A4">
        <w:t>, § 27 WpÜG</w:t>
      </w:r>
    </w:p>
    <w:p w14:paraId="25D8DA4B" w14:textId="0C568F53" w:rsidR="00373BA8" w:rsidRPr="00197714" w:rsidRDefault="00373BA8" w:rsidP="00AB42AA">
      <w:pPr>
        <w:pStyle w:val="Listenabsatz"/>
        <w:numPr>
          <w:ilvl w:val="0"/>
          <w:numId w:val="11"/>
        </w:numPr>
        <w:rPr>
          <w:i/>
          <w:lang w:val="en-US"/>
        </w:rPr>
      </w:pPr>
      <w:r w:rsidRPr="00EF383F">
        <w:rPr>
          <w:lang w:val="en-GB"/>
        </w:rPr>
        <w:t>modifications</w:t>
      </w:r>
      <w:r w:rsidRPr="00197714">
        <w:rPr>
          <w:lang w:val="en-US"/>
        </w:rPr>
        <w:t xml:space="preserve"> during the acceptance period</w:t>
      </w:r>
      <w:r w:rsidR="00747B08" w:rsidRPr="00197714">
        <w:rPr>
          <w:lang w:val="en-US"/>
        </w:rPr>
        <w:t>:</w:t>
      </w:r>
      <w:r w:rsidRPr="00197714">
        <w:rPr>
          <w:lang w:val="en-US"/>
        </w:rPr>
        <w:t xml:space="preserve"> </w:t>
      </w:r>
      <w:r w:rsidR="00D7241F" w:rsidRPr="00197714">
        <w:rPr>
          <w:lang w:val="en-US"/>
        </w:rPr>
        <w:t>§</w:t>
      </w:r>
      <w:r w:rsidRPr="00197714">
        <w:rPr>
          <w:lang w:val="en-US"/>
        </w:rPr>
        <w:t xml:space="preserve"> 21 </w:t>
      </w:r>
      <w:proofErr w:type="spellStart"/>
      <w:r w:rsidRPr="00197714">
        <w:rPr>
          <w:lang w:val="en-US"/>
        </w:rPr>
        <w:t>WpÜG</w:t>
      </w:r>
      <w:proofErr w:type="spellEnd"/>
    </w:p>
    <w:p w14:paraId="424B0F40" w14:textId="5599C626" w:rsidR="00747B08" w:rsidRPr="00197714" w:rsidRDefault="00747B08" w:rsidP="00AB42AA">
      <w:pPr>
        <w:pStyle w:val="Listenabsatz"/>
        <w:numPr>
          <w:ilvl w:val="0"/>
          <w:numId w:val="11"/>
        </w:numPr>
        <w:rPr>
          <w:i/>
          <w:lang w:val="en-US"/>
        </w:rPr>
      </w:pPr>
      <w:r w:rsidRPr="00197714">
        <w:rPr>
          <w:lang w:val="en-US"/>
        </w:rPr>
        <w:t xml:space="preserve">publications during the acceptance period: § 23 </w:t>
      </w:r>
      <w:proofErr w:type="spellStart"/>
      <w:r w:rsidRPr="00197714">
        <w:rPr>
          <w:lang w:val="en-US"/>
        </w:rPr>
        <w:t>WpÜG</w:t>
      </w:r>
      <w:proofErr w:type="spellEnd"/>
    </w:p>
    <w:p w14:paraId="72BCEA95" w14:textId="339B9DF3" w:rsidR="00FC6554" w:rsidRPr="00197714" w:rsidRDefault="00FC6554" w:rsidP="00AB42AA">
      <w:pPr>
        <w:pStyle w:val="Listenabsatz"/>
        <w:numPr>
          <w:ilvl w:val="0"/>
          <w:numId w:val="11"/>
        </w:numPr>
        <w:rPr>
          <w:i/>
          <w:lang w:val="en-US"/>
        </w:rPr>
      </w:pPr>
      <w:r w:rsidRPr="00197714">
        <w:rPr>
          <w:lang w:val="en-US"/>
        </w:rPr>
        <w:t>a</w:t>
      </w:r>
      <w:r w:rsidR="00E51CCF" w:rsidRPr="00197714">
        <w:rPr>
          <w:lang w:val="en-US"/>
        </w:rPr>
        <w:t>cceptance</w:t>
      </w:r>
      <w:r w:rsidR="000250AA" w:rsidRPr="00197714">
        <w:rPr>
          <w:lang w:val="en-US"/>
        </w:rPr>
        <w:t xml:space="preserve"> </w:t>
      </w:r>
      <w:r w:rsidRPr="00EF383F">
        <w:rPr>
          <w:lang w:val="en-GB"/>
        </w:rPr>
        <w:t>during</w:t>
      </w:r>
      <w:r w:rsidRPr="00197714">
        <w:rPr>
          <w:lang w:val="en-US"/>
        </w:rPr>
        <w:t xml:space="preserve"> the acceptance period (possibly extended</w:t>
      </w:r>
      <w:r w:rsidR="00D7241F" w:rsidRPr="00197714">
        <w:rPr>
          <w:lang w:val="en-US"/>
        </w:rPr>
        <w:t>: § 16(2)</w:t>
      </w:r>
      <w:r w:rsidRPr="00197714">
        <w:rPr>
          <w:lang w:val="en-US"/>
        </w:rPr>
        <w:t xml:space="preserve"> </w:t>
      </w:r>
      <w:proofErr w:type="spellStart"/>
      <w:r w:rsidR="00D7241F" w:rsidRPr="00197714">
        <w:rPr>
          <w:lang w:val="en-US"/>
        </w:rPr>
        <w:t>WpÜG</w:t>
      </w:r>
      <w:proofErr w:type="spellEnd"/>
      <w:r w:rsidRPr="00197714">
        <w:rPr>
          <w:lang w:val="en-US"/>
        </w:rPr>
        <w:t>)</w:t>
      </w:r>
    </w:p>
    <w:p w14:paraId="58550E60" w14:textId="740454B6" w:rsidR="00E51CCF" w:rsidRPr="00197714" w:rsidRDefault="000250AA" w:rsidP="00AB42AA">
      <w:pPr>
        <w:pStyle w:val="Listenabsatz"/>
        <w:numPr>
          <w:ilvl w:val="0"/>
          <w:numId w:val="11"/>
        </w:numPr>
        <w:rPr>
          <w:i/>
          <w:lang w:val="en-US"/>
        </w:rPr>
      </w:pPr>
      <w:r w:rsidRPr="00197714">
        <w:rPr>
          <w:lang w:val="en-US"/>
        </w:rPr>
        <w:t>settlement</w:t>
      </w:r>
      <w:r w:rsidR="0071190A" w:rsidRPr="00197714">
        <w:rPr>
          <w:lang w:val="en-US"/>
        </w:rPr>
        <w:t xml:space="preserve"> (or, </w:t>
      </w:r>
      <w:r w:rsidR="0090515F" w:rsidRPr="00197714">
        <w:rPr>
          <w:lang w:val="en-US"/>
        </w:rPr>
        <w:t xml:space="preserve">in case of an offer that was prohibited or remained </w:t>
      </w:r>
      <w:r w:rsidR="00E96BB4" w:rsidRPr="00197714">
        <w:rPr>
          <w:lang w:val="en-US"/>
        </w:rPr>
        <w:t>unsuccessful</w:t>
      </w:r>
      <w:r w:rsidR="0090515F" w:rsidRPr="00197714">
        <w:rPr>
          <w:lang w:val="en-US"/>
        </w:rPr>
        <w:t xml:space="preserve">: cooling-off period under § 26(1), (2) </w:t>
      </w:r>
      <w:proofErr w:type="spellStart"/>
      <w:r w:rsidR="0090515F" w:rsidRPr="00197714">
        <w:rPr>
          <w:lang w:val="en-US"/>
        </w:rPr>
        <w:t>WpÜG</w:t>
      </w:r>
      <w:proofErr w:type="spellEnd"/>
      <w:r w:rsidR="0071190A" w:rsidRPr="00197714">
        <w:rPr>
          <w:lang w:val="en-US"/>
        </w:rPr>
        <w:t>)</w:t>
      </w:r>
      <w:r w:rsidR="00FC6554" w:rsidRPr="00197714">
        <w:rPr>
          <w:lang w:val="en-US"/>
        </w:rPr>
        <w:t>.</w:t>
      </w:r>
    </w:p>
    <w:p w14:paraId="4C810823" w14:textId="2C4955FE" w:rsidR="009A28E5" w:rsidRPr="00044BD7" w:rsidRDefault="00FC6554" w:rsidP="0056702B">
      <w:pPr>
        <w:rPr>
          <w:i/>
          <w:lang w:val="en-US"/>
        </w:rPr>
      </w:pPr>
      <w:r w:rsidRPr="00044BD7">
        <w:rPr>
          <w:lang w:val="en-US"/>
        </w:rPr>
        <w:t xml:space="preserve">For </w:t>
      </w:r>
      <w:r w:rsidR="0069397B" w:rsidRPr="00044BD7">
        <w:rPr>
          <w:lang w:val="en-US"/>
        </w:rPr>
        <w:t>a detailed</w:t>
      </w:r>
      <w:r w:rsidRPr="00044BD7">
        <w:rPr>
          <w:lang w:val="en-US"/>
        </w:rPr>
        <w:t xml:space="preserve"> timeline under the WpÜG, see the </w:t>
      </w:r>
      <w:r w:rsidR="0069397B" w:rsidRPr="00044BD7">
        <w:rPr>
          <w:lang w:val="en-US"/>
        </w:rPr>
        <w:t xml:space="preserve">flow chart </w:t>
      </w:r>
      <w:r w:rsidR="00747B08" w:rsidRPr="00044BD7">
        <w:rPr>
          <w:lang w:val="en-US"/>
        </w:rPr>
        <w:t>above</w:t>
      </w:r>
      <w:r w:rsidRPr="00044BD7">
        <w:rPr>
          <w:lang w:val="en-US"/>
        </w:rPr>
        <w:t xml:space="preserve"> published by BaFin.</w:t>
      </w:r>
      <w:r w:rsidR="006108E4" w:rsidRPr="002121A4">
        <w:rPr>
          <w:rStyle w:val="Funotenzeichen"/>
        </w:rPr>
        <w:footnoteReference w:id="314"/>
      </w:r>
      <w:r w:rsidRPr="00044BD7">
        <w:rPr>
          <w:lang w:val="en-US"/>
        </w:rPr>
        <w:t xml:space="preserve"> </w:t>
      </w:r>
    </w:p>
    <w:p w14:paraId="67F0A416" w14:textId="1713DC9D" w:rsidR="00B13805" w:rsidRPr="002121A4" w:rsidRDefault="00D85D91" w:rsidP="000F4342">
      <w:pPr>
        <w:pStyle w:val="berschrift3"/>
        <w:rPr>
          <w:lang w:val="en-GB"/>
        </w:rPr>
      </w:pPr>
      <w:r w:rsidRPr="002121A4">
        <w:rPr>
          <w:lang w:val="en-GB"/>
        </w:rPr>
        <w:t>Bids aimed at the acquisition of control (voluntary takeover bids)</w:t>
      </w:r>
    </w:p>
    <w:p w14:paraId="16856587" w14:textId="30EE410A" w:rsidR="00A42371" w:rsidRPr="002121A4" w:rsidRDefault="00A42371" w:rsidP="00A42371">
      <w:pPr>
        <w:pStyle w:val="berschrift4"/>
        <w:rPr>
          <w:lang w:val="en-GB"/>
        </w:rPr>
      </w:pPr>
      <w:r w:rsidRPr="002121A4">
        <w:rPr>
          <w:lang w:val="en-GB"/>
        </w:rPr>
        <w:t>Concept of control</w:t>
      </w:r>
    </w:p>
    <w:p w14:paraId="778CC68A" w14:textId="3F92099E" w:rsidR="00B13805" w:rsidRPr="002121A4" w:rsidRDefault="001970A5" w:rsidP="00D24E13">
      <w:pPr>
        <w:pStyle w:val="Standardwithparanumbering"/>
        <w:rPr>
          <w:i/>
        </w:rPr>
      </w:pPr>
      <w:bookmarkStart w:id="159" w:name="_Ref129776251"/>
      <w:r w:rsidRPr="002121A4">
        <w:t xml:space="preserve">Section 4 </w:t>
      </w:r>
      <w:proofErr w:type="spellStart"/>
      <w:r w:rsidRPr="002121A4">
        <w:t>WpÜG</w:t>
      </w:r>
      <w:proofErr w:type="spellEnd"/>
      <w:r w:rsidRPr="002121A4">
        <w:t xml:space="preserve"> (§§ 29–34 </w:t>
      </w:r>
      <w:proofErr w:type="spellStart"/>
      <w:r w:rsidRPr="002121A4">
        <w:t>WpÜG</w:t>
      </w:r>
      <w:proofErr w:type="spellEnd"/>
      <w:r w:rsidRPr="002121A4">
        <w:t>) contain</w:t>
      </w:r>
      <w:r w:rsidR="009206D8" w:rsidRPr="002121A4">
        <w:t>s</w:t>
      </w:r>
      <w:r w:rsidRPr="002121A4">
        <w:t xml:space="preserve"> specific </w:t>
      </w:r>
      <w:r w:rsidR="00B13805" w:rsidRPr="002121A4">
        <w:t>rules for bids</w:t>
      </w:r>
      <w:r w:rsidRPr="002121A4">
        <w:t xml:space="preserve"> </w:t>
      </w:r>
      <w:r w:rsidR="00D85D91" w:rsidRPr="002121A4">
        <w:t>“aimed at the acquisition of control”.</w:t>
      </w:r>
      <w:r w:rsidR="00620FB0" w:rsidRPr="002121A4">
        <w:rPr>
          <w:rStyle w:val="Funotenzeichen"/>
        </w:rPr>
        <w:footnoteReference w:id="315"/>
      </w:r>
      <w:r w:rsidR="00D85D91" w:rsidRPr="002121A4">
        <w:t xml:space="preserve"> </w:t>
      </w:r>
      <w:r w:rsidR="00944F44" w:rsidRPr="002121A4">
        <w:t xml:space="preserve">These </w:t>
      </w:r>
      <w:r w:rsidR="00D85D91" w:rsidRPr="002121A4">
        <w:t xml:space="preserve">rules </w:t>
      </w:r>
      <w:r w:rsidR="00944F44" w:rsidRPr="002121A4">
        <w:t xml:space="preserve">include a definition of the concept of “control” which triggers the application of the rules for takeover bids (§§ 29, 30 </w:t>
      </w:r>
      <w:proofErr w:type="spellStart"/>
      <w:r w:rsidR="00944F44" w:rsidRPr="002121A4">
        <w:t>WpÜG</w:t>
      </w:r>
      <w:proofErr w:type="spellEnd"/>
      <w:r w:rsidR="00944F44" w:rsidRPr="002121A4">
        <w:t xml:space="preserve">), rules for the equitable price (§ 31 </w:t>
      </w:r>
      <w:proofErr w:type="spellStart"/>
      <w:r w:rsidR="00944F44" w:rsidRPr="002121A4">
        <w:t>WpÜG</w:t>
      </w:r>
      <w:proofErr w:type="spellEnd"/>
      <w:r w:rsidR="00944F44" w:rsidRPr="002121A4">
        <w:t>)</w:t>
      </w:r>
      <w:r w:rsidR="0020014B" w:rsidRPr="002121A4">
        <w:t xml:space="preserve">, and rules on </w:t>
      </w:r>
      <w:r w:rsidR="00E15494" w:rsidRPr="002121A4">
        <w:t xml:space="preserve">board </w:t>
      </w:r>
      <w:r w:rsidR="00E96BB4" w:rsidRPr="002121A4">
        <w:t>neutrality</w:t>
      </w:r>
      <w:r w:rsidR="00E15494" w:rsidRPr="002121A4">
        <w:t xml:space="preserve"> </w:t>
      </w:r>
      <w:r w:rsidR="0020014B" w:rsidRPr="002121A4">
        <w:t xml:space="preserve">and breakthrough (§§ 33–33d </w:t>
      </w:r>
      <w:proofErr w:type="spellStart"/>
      <w:r w:rsidR="0020014B" w:rsidRPr="002121A4">
        <w:t>WpÜG</w:t>
      </w:r>
      <w:proofErr w:type="spellEnd"/>
      <w:r w:rsidR="0020014B" w:rsidRPr="002121A4">
        <w:t>).</w:t>
      </w:r>
      <w:bookmarkEnd w:id="159"/>
      <w:r w:rsidR="00D85D91" w:rsidRPr="002121A4">
        <w:t xml:space="preserve"> </w:t>
      </w:r>
    </w:p>
    <w:p w14:paraId="5D63C9E7" w14:textId="750C109F" w:rsidR="00805DBD" w:rsidRPr="002121A4" w:rsidRDefault="00D85D91" w:rsidP="00097F8E">
      <w:pPr>
        <w:pStyle w:val="Standardwithparanumbering"/>
        <w:rPr>
          <w:i/>
        </w:rPr>
      </w:pPr>
      <w:bookmarkStart w:id="160" w:name="_Ref130895281"/>
      <w:r w:rsidRPr="002121A4">
        <w:t xml:space="preserve">The TBD leaves it to domestic law to define what counts as “control”. § 29(2) </w:t>
      </w:r>
      <w:proofErr w:type="spellStart"/>
      <w:r w:rsidRPr="002121A4">
        <w:t>WpÜG</w:t>
      </w:r>
      <w:proofErr w:type="spellEnd"/>
      <w:r w:rsidRPr="002121A4">
        <w:t xml:space="preserve"> defines control as holding 30% </w:t>
      </w:r>
      <w:r w:rsidR="00E96BB4" w:rsidRPr="002121A4">
        <w:t>of</w:t>
      </w:r>
      <w:r w:rsidRPr="002121A4">
        <w:t xml:space="preserve"> voting rights in the target company through shares owned by the bidder </w:t>
      </w:r>
      <w:r w:rsidRPr="002121A4">
        <w:lastRenderedPageBreak/>
        <w:t xml:space="preserve">or attributed to the bidder under the aggregation rules contained in § 30 </w:t>
      </w:r>
      <w:proofErr w:type="spellStart"/>
      <w:r w:rsidRPr="002121A4">
        <w:t>WpÜG</w:t>
      </w:r>
      <w:proofErr w:type="spellEnd"/>
      <w:r w:rsidR="00304502">
        <w:t xml:space="preserve">. § 30 </w:t>
      </w:r>
      <w:proofErr w:type="spellStart"/>
      <w:r w:rsidR="00304502">
        <w:t>WpÜG</w:t>
      </w:r>
      <w:proofErr w:type="spellEnd"/>
      <w:r w:rsidR="000D3D4C" w:rsidRPr="002121A4">
        <w:t xml:space="preserve"> follow</w:t>
      </w:r>
      <w:r w:rsidR="00304502">
        <w:t>s</w:t>
      </w:r>
      <w:r w:rsidR="000D3D4C" w:rsidRPr="002121A4">
        <w:t xml:space="preserve">, by and large, the aggregation rules under </w:t>
      </w:r>
      <w:r w:rsidR="001870C0" w:rsidRPr="002121A4">
        <w:t>article </w:t>
      </w:r>
      <w:r w:rsidR="000D3D4C" w:rsidRPr="002121A4">
        <w:t xml:space="preserve">10 TD and § 34 </w:t>
      </w:r>
      <w:proofErr w:type="spellStart"/>
      <w:r w:rsidR="000D3D4C" w:rsidRPr="002121A4">
        <w:t>WpÜG</w:t>
      </w:r>
      <w:proofErr w:type="spellEnd"/>
      <w:r w:rsidR="000D3D4C" w:rsidRPr="002121A4">
        <w:t xml:space="preserve"> (</w:t>
      </w:r>
      <w:r w:rsidR="00BA05A1" w:rsidRPr="002121A4">
        <w:t xml:space="preserve">see </w:t>
      </w:r>
      <w:r w:rsidR="000D3D4C" w:rsidRPr="002121A4">
        <w:t>paras </w:t>
      </w:r>
      <w:r w:rsidR="000D3D4C" w:rsidRPr="002121A4">
        <w:fldChar w:fldCharType="begin"/>
      </w:r>
      <w:r w:rsidR="000D3D4C" w:rsidRPr="002121A4">
        <w:instrText xml:space="preserve"> REF _Ref129776620 \r \h </w:instrText>
      </w:r>
      <w:r w:rsidR="000D3D4C" w:rsidRPr="002121A4">
        <w:fldChar w:fldCharType="separate"/>
      </w:r>
      <w:r w:rsidR="00D56145">
        <w:t>150</w:t>
      </w:r>
      <w:r w:rsidR="000D3D4C" w:rsidRPr="002121A4">
        <w:fldChar w:fldCharType="end"/>
      </w:r>
      <w:r w:rsidR="000D3D4C" w:rsidRPr="002121A4">
        <w:t>ff.</w:t>
      </w:r>
      <w:r w:rsidR="00BA05A1" w:rsidRPr="002121A4">
        <w:t xml:space="preserve"> above</w:t>
      </w:r>
      <w:r w:rsidR="000D3D4C" w:rsidRPr="002121A4">
        <w:t>)</w:t>
      </w:r>
      <w:r w:rsidRPr="002121A4">
        <w:t>.</w:t>
      </w:r>
      <w:r w:rsidR="00805DBD" w:rsidRPr="002121A4">
        <w:t xml:space="preserve"> </w:t>
      </w:r>
      <w:r w:rsidRPr="002121A4">
        <w:t>Aggregation is required</w:t>
      </w:r>
      <w:r w:rsidR="00805DBD" w:rsidRPr="002121A4">
        <w:t>, for example,</w:t>
      </w:r>
      <w:bookmarkEnd w:id="160"/>
    </w:p>
    <w:p w14:paraId="1C356DB5" w14:textId="5EB5EF74" w:rsidR="00805DBD" w:rsidRPr="00197714" w:rsidRDefault="00805DBD" w:rsidP="00AB42AA">
      <w:pPr>
        <w:pStyle w:val="Listenabsatz"/>
        <w:numPr>
          <w:ilvl w:val="0"/>
          <w:numId w:val="11"/>
        </w:numPr>
        <w:rPr>
          <w:i/>
          <w:lang w:val="en-US"/>
        </w:rPr>
      </w:pPr>
      <w:r w:rsidRPr="00197714">
        <w:rPr>
          <w:lang w:val="en-US"/>
        </w:rPr>
        <w:t xml:space="preserve">under § 30(1) no. 1 </w:t>
      </w:r>
      <w:proofErr w:type="spellStart"/>
      <w:r w:rsidRPr="00197714">
        <w:rPr>
          <w:lang w:val="en-US"/>
        </w:rPr>
        <w:t>WpÜG</w:t>
      </w:r>
      <w:proofErr w:type="spellEnd"/>
      <w:r w:rsidRPr="00197714">
        <w:rPr>
          <w:lang w:val="en-US"/>
        </w:rPr>
        <w:t xml:space="preserve"> as regards </w:t>
      </w:r>
      <w:r w:rsidR="00D85D91" w:rsidRPr="00197714">
        <w:rPr>
          <w:lang w:val="en-US"/>
        </w:rPr>
        <w:t xml:space="preserve">shares owned by a subsidiary </w:t>
      </w:r>
      <w:r w:rsidRPr="00197714">
        <w:rPr>
          <w:lang w:val="en-US"/>
        </w:rPr>
        <w:t xml:space="preserve">controlled by the bidder </w:t>
      </w:r>
      <w:r w:rsidR="00D85D91" w:rsidRPr="00197714">
        <w:rPr>
          <w:lang w:val="en-US"/>
        </w:rPr>
        <w:t>(</w:t>
      </w:r>
      <w:proofErr w:type="spellStart"/>
      <w:r w:rsidR="00D85D91" w:rsidRPr="00197714">
        <w:rPr>
          <w:i/>
          <w:lang w:val="en-US"/>
        </w:rPr>
        <w:t>Tochterunternehmen</w:t>
      </w:r>
      <w:proofErr w:type="spellEnd"/>
      <w:r w:rsidR="00D85D91" w:rsidRPr="00197714">
        <w:rPr>
          <w:lang w:val="en-US"/>
        </w:rPr>
        <w:t xml:space="preserve"> as defined in § 290 HGB in conjunction with § 2(6) </w:t>
      </w:r>
      <w:proofErr w:type="spellStart"/>
      <w:r w:rsidR="00D85D91" w:rsidRPr="00197714">
        <w:rPr>
          <w:lang w:val="en-US"/>
        </w:rPr>
        <w:t>WpÜG</w:t>
      </w:r>
      <w:proofErr w:type="spellEnd"/>
      <w:r w:rsidRPr="00197714">
        <w:rPr>
          <w:lang w:val="en-US"/>
        </w:rPr>
        <w:t>),</w:t>
      </w:r>
      <w:r w:rsidR="009B61B3" w:rsidRPr="00197714">
        <w:rPr>
          <w:lang w:val="en-US"/>
        </w:rPr>
        <w:t xml:space="preserve"> with certain exceptions for investment firms and asset management companies under § 30(3), (4) </w:t>
      </w:r>
      <w:proofErr w:type="spellStart"/>
      <w:r w:rsidR="009B61B3" w:rsidRPr="00197714">
        <w:rPr>
          <w:lang w:val="en-US"/>
        </w:rPr>
        <w:t>W</w:t>
      </w:r>
      <w:r w:rsidR="00A04044" w:rsidRPr="00197714">
        <w:rPr>
          <w:lang w:val="en-US"/>
        </w:rPr>
        <w:t>p</w:t>
      </w:r>
      <w:r w:rsidR="009B61B3" w:rsidRPr="00197714">
        <w:rPr>
          <w:lang w:val="en-US"/>
        </w:rPr>
        <w:t>ÜG</w:t>
      </w:r>
      <w:proofErr w:type="spellEnd"/>
      <w:r w:rsidR="009B61B3" w:rsidRPr="00197714">
        <w:rPr>
          <w:lang w:val="en-US"/>
        </w:rPr>
        <w:t>,</w:t>
      </w:r>
    </w:p>
    <w:p w14:paraId="1DF47E29" w14:textId="35D82C49" w:rsidR="00D85D91" w:rsidRPr="00197714" w:rsidRDefault="00805DBD" w:rsidP="00AB42AA">
      <w:pPr>
        <w:pStyle w:val="Listenabsatz"/>
        <w:numPr>
          <w:ilvl w:val="0"/>
          <w:numId w:val="11"/>
        </w:numPr>
        <w:rPr>
          <w:i/>
          <w:lang w:val="en-US"/>
        </w:rPr>
      </w:pPr>
      <w:r w:rsidRPr="00197714">
        <w:rPr>
          <w:lang w:val="en-US"/>
        </w:rPr>
        <w:t xml:space="preserve">under § 30(1) no. 2 </w:t>
      </w:r>
      <w:proofErr w:type="spellStart"/>
      <w:r w:rsidRPr="00197714">
        <w:rPr>
          <w:lang w:val="en-US"/>
        </w:rPr>
        <w:t>WpÜG</w:t>
      </w:r>
      <w:proofErr w:type="spellEnd"/>
      <w:r w:rsidRPr="00197714">
        <w:rPr>
          <w:lang w:val="en-US"/>
        </w:rPr>
        <w:t xml:space="preserve"> as regards shares owned by a third party for the account of the bidder,</w:t>
      </w:r>
    </w:p>
    <w:p w14:paraId="15BA2A62" w14:textId="0D489912" w:rsidR="009F0AE1" w:rsidRPr="009F0AE1" w:rsidRDefault="009F0AE1" w:rsidP="00AB42AA">
      <w:pPr>
        <w:pStyle w:val="Listenabsatz"/>
        <w:numPr>
          <w:ilvl w:val="0"/>
          <w:numId w:val="11"/>
        </w:numPr>
        <w:rPr>
          <w:i/>
          <w:lang w:val="en-US"/>
        </w:rPr>
      </w:pPr>
      <w:r w:rsidRPr="009F0AE1">
        <w:rPr>
          <w:lang w:val="en-US"/>
        </w:rPr>
        <w:t xml:space="preserve">under </w:t>
      </w:r>
      <w:r w:rsidRPr="00EF383F">
        <w:rPr>
          <w:lang w:val="en-GB"/>
        </w:rPr>
        <w:t>§</w:t>
      </w:r>
      <w:r w:rsidRPr="009F0AE1">
        <w:rPr>
          <w:lang w:val="en-US"/>
        </w:rPr>
        <w:t xml:space="preserve"> 30(1) no. 5 </w:t>
      </w:r>
      <w:proofErr w:type="spellStart"/>
      <w:r w:rsidRPr="009F0AE1">
        <w:rPr>
          <w:lang w:val="en-US"/>
        </w:rPr>
        <w:t>WpÜG</w:t>
      </w:r>
      <w:proofErr w:type="spellEnd"/>
      <w:r w:rsidRPr="009F0AE1">
        <w:rPr>
          <w:lang w:val="en-US"/>
        </w:rPr>
        <w:t xml:space="preserve"> as reg</w:t>
      </w:r>
      <w:r>
        <w:rPr>
          <w:lang w:val="en-US"/>
        </w:rPr>
        <w:t>ards shares that the bidder can acquire by means of a declaration of intent,</w:t>
      </w:r>
    </w:p>
    <w:p w14:paraId="7B6A1B69" w14:textId="49B4DDC4" w:rsidR="00805DBD" w:rsidRPr="00197714" w:rsidRDefault="00805DBD" w:rsidP="00AB42AA">
      <w:pPr>
        <w:pStyle w:val="Listenabsatz"/>
        <w:numPr>
          <w:ilvl w:val="0"/>
          <w:numId w:val="11"/>
        </w:numPr>
        <w:rPr>
          <w:i/>
          <w:lang w:val="en-US"/>
        </w:rPr>
      </w:pPr>
      <w:r w:rsidRPr="00197714">
        <w:rPr>
          <w:lang w:val="en-US"/>
        </w:rPr>
        <w:t>under § 30(1) no.</w:t>
      </w:r>
      <w:r w:rsidR="000D3D4C" w:rsidRPr="00197714">
        <w:rPr>
          <w:lang w:val="en-US"/>
        </w:rPr>
        <w:t> </w:t>
      </w:r>
      <w:r w:rsidRPr="00197714">
        <w:rPr>
          <w:lang w:val="en-US"/>
        </w:rPr>
        <w:t xml:space="preserve">6 </w:t>
      </w:r>
      <w:proofErr w:type="spellStart"/>
      <w:r w:rsidRPr="00197714">
        <w:rPr>
          <w:lang w:val="en-US"/>
        </w:rPr>
        <w:t>WpÜG</w:t>
      </w:r>
      <w:proofErr w:type="spellEnd"/>
      <w:r w:rsidRPr="00197714">
        <w:rPr>
          <w:lang w:val="en-US"/>
        </w:rPr>
        <w:t xml:space="preserve"> as regards shares for which the bidder has discretion to exercise voting rights,</w:t>
      </w:r>
    </w:p>
    <w:p w14:paraId="4127BB0B" w14:textId="3951AF64" w:rsidR="00805DBD" w:rsidRPr="00197714" w:rsidRDefault="00805DBD" w:rsidP="00AB42AA">
      <w:pPr>
        <w:pStyle w:val="Listenabsatz"/>
        <w:numPr>
          <w:ilvl w:val="0"/>
          <w:numId w:val="11"/>
        </w:numPr>
        <w:rPr>
          <w:i/>
          <w:lang w:val="en-US"/>
        </w:rPr>
      </w:pPr>
      <w:r w:rsidRPr="00197714">
        <w:rPr>
          <w:lang w:val="en-US"/>
        </w:rPr>
        <w:t xml:space="preserve">under § 30(2) </w:t>
      </w:r>
      <w:proofErr w:type="spellStart"/>
      <w:r w:rsidRPr="00197714">
        <w:rPr>
          <w:lang w:val="en-US"/>
        </w:rPr>
        <w:t>WpÜG</w:t>
      </w:r>
      <w:proofErr w:type="spellEnd"/>
      <w:r w:rsidRPr="00197714">
        <w:rPr>
          <w:lang w:val="en-US"/>
        </w:rPr>
        <w:t xml:space="preserve"> with regard to shares held by a third party with which the bidder is “acting in concert”. “Acting in concert” exists </w:t>
      </w:r>
      <w:r w:rsidR="00227B5C" w:rsidRPr="00197714">
        <w:rPr>
          <w:lang w:val="en-US"/>
        </w:rPr>
        <w:t xml:space="preserve">where the bidder or </w:t>
      </w:r>
      <w:r w:rsidR="00C43700" w:rsidRPr="00197714">
        <w:rPr>
          <w:lang w:val="en-US"/>
        </w:rPr>
        <w:t>a</w:t>
      </w:r>
      <w:r w:rsidR="00227B5C" w:rsidRPr="00197714">
        <w:rPr>
          <w:lang w:val="en-US"/>
        </w:rPr>
        <w:t xml:space="preserve"> subsidiary coordinate </w:t>
      </w:r>
      <w:r w:rsidR="00C43700" w:rsidRPr="00197714">
        <w:rPr>
          <w:lang w:val="en-US"/>
        </w:rPr>
        <w:t xml:space="preserve">their </w:t>
      </w:r>
      <w:r w:rsidR="00227B5C" w:rsidRPr="00197714">
        <w:rPr>
          <w:lang w:val="en-US"/>
        </w:rPr>
        <w:t xml:space="preserve">conduct in relation to the target company on the basis of an agreement or in any other manner. A concerted practice requires that the offeror or its subsidiary and the third party agree on the exercise of voting </w:t>
      </w:r>
      <w:r w:rsidR="00EB2355" w:rsidRPr="00197714">
        <w:rPr>
          <w:lang w:val="en-US"/>
        </w:rPr>
        <w:t>rights or</w:t>
      </w:r>
      <w:r w:rsidR="00227B5C" w:rsidRPr="00197714">
        <w:rPr>
          <w:lang w:val="en-US"/>
        </w:rPr>
        <w:t xml:space="preserve"> cooperate otherwise with the aim of permanently and significantly changing the entrepreneurial orientation of the target company</w:t>
      </w:r>
      <w:r w:rsidRPr="00197714">
        <w:rPr>
          <w:lang w:val="en-US"/>
        </w:rPr>
        <w:t xml:space="preserve"> (§ 30(2)(2) </w:t>
      </w:r>
      <w:proofErr w:type="spellStart"/>
      <w:r w:rsidRPr="00197714">
        <w:rPr>
          <w:lang w:val="en-US"/>
        </w:rPr>
        <w:t>WpÜG</w:t>
      </w:r>
      <w:proofErr w:type="spellEnd"/>
      <w:r w:rsidRPr="00197714">
        <w:rPr>
          <w:lang w:val="en-US"/>
        </w:rPr>
        <w:t xml:space="preserve">). Agreements with regard to one single case do not amount to acting in concert (§ 30(2)(1) </w:t>
      </w:r>
      <w:proofErr w:type="spellStart"/>
      <w:r w:rsidRPr="00197714">
        <w:rPr>
          <w:lang w:val="en-US"/>
        </w:rPr>
        <w:t>WpÜG</w:t>
      </w:r>
      <w:proofErr w:type="spellEnd"/>
      <w:r w:rsidRPr="00197714">
        <w:rPr>
          <w:lang w:val="en-US"/>
        </w:rPr>
        <w:t>).</w:t>
      </w:r>
    </w:p>
    <w:p w14:paraId="652B5DE8" w14:textId="7F74985D" w:rsidR="00A42371" w:rsidRPr="002121A4" w:rsidRDefault="00A42371" w:rsidP="00A42371">
      <w:pPr>
        <w:pStyle w:val="berschrift4"/>
        <w:rPr>
          <w:lang w:val="en-GB"/>
        </w:rPr>
      </w:pPr>
      <w:bookmarkStart w:id="161" w:name="_Ref129776867"/>
      <w:r w:rsidRPr="002121A4">
        <w:rPr>
          <w:lang w:val="en-GB"/>
        </w:rPr>
        <w:t>Equitable price rules</w:t>
      </w:r>
      <w:bookmarkEnd w:id="161"/>
    </w:p>
    <w:p w14:paraId="18A2538F" w14:textId="66A9E623" w:rsidR="009B61B3" w:rsidRPr="002121A4" w:rsidRDefault="009B61B3" w:rsidP="00097F8E">
      <w:pPr>
        <w:pStyle w:val="Standardwithparanumbering"/>
        <w:rPr>
          <w:i/>
        </w:rPr>
      </w:pPr>
      <w:r w:rsidRPr="002121A4">
        <w:t xml:space="preserve">Under § 31(1) </w:t>
      </w:r>
      <w:proofErr w:type="spellStart"/>
      <w:r w:rsidRPr="002121A4">
        <w:t>WpÜG</w:t>
      </w:r>
      <w:proofErr w:type="spellEnd"/>
      <w:r w:rsidRPr="002121A4">
        <w:t xml:space="preserve">, </w:t>
      </w:r>
      <w:r w:rsidR="0000716E">
        <w:t>any takeover bid</w:t>
      </w:r>
      <w:r w:rsidR="0026399B">
        <w:t>, whether voluntary or mandatory,</w:t>
      </w:r>
      <w:r w:rsidR="0000716E">
        <w:t xml:space="preserve"> </w:t>
      </w:r>
      <w:r w:rsidRPr="002121A4">
        <w:t>is required to offer adequate compensation (</w:t>
      </w:r>
      <w:proofErr w:type="spellStart"/>
      <w:r w:rsidRPr="002121A4">
        <w:rPr>
          <w:i/>
        </w:rPr>
        <w:t>angemessene</w:t>
      </w:r>
      <w:proofErr w:type="spellEnd"/>
      <w:r w:rsidRPr="002121A4">
        <w:rPr>
          <w:i/>
        </w:rPr>
        <w:t xml:space="preserve"> </w:t>
      </w:r>
      <w:proofErr w:type="spellStart"/>
      <w:r w:rsidRPr="002121A4">
        <w:rPr>
          <w:i/>
        </w:rPr>
        <w:t>Gegenleistung</w:t>
      </w:r>
      <w:proofErr w:type="spellEnd"/>
      <w:r w:rsidRPr="002121A4">
        <w:t>)</w:t>
      </w:r>
      <w:r w:rsidR="009917DA" w:rsidRPr="002121A4">
        <w:t xml:space="preserve">. </w:t>
      </w:r>
      <w:r w:rsidR="0000716E">
        <w:t xml:space="preserve">This goes beyond </w:t>
      </w:r>
      <w:r w:rsidR="001870C0" w:rsidRPr="002121A4">
        <w:t>article </w:t>
      </w:r>
      <w:r w:rsidR="009917DA" w:rsidRPr="002121A4">
        <w:t xml:space="preserve">5(1) TBD </w:t>
      </w:r>
      <w:r w:rsidR="0000716E">
        <w:t xml:space="preserve">which makes </w:t>
      </w:r>
      <w:r w:rsidR="009917DA" w:rsidRPr="002121A4">
        <w:t xml:space="preserve">equitable price rules </w:t>
      </w:r>
      <w:r w:rsidR="0000716E">
        <w:t xml:space="preserve">compulsory only for </w:t>
      </w:r>
      <w:r w:rsidR="009917DA" w:rsidRPr="0000716E">
        <w:t>mandatory</w:t>
      </w:r>
      <w:r w:rsidR="009917DA" w:rsidRPr="002121A4">
        <w:t xml:space="preserve"> bids following the </w:t>
      </w:r>
      <w:r w:rsidR="00E96BB4" w:rsidRPr="002121A4">
        <w:t>acquisition</w:t>
      </w:r>
      <w:r w:rsidR="009917DA" w:rsidRPr="002121A4">
        <w:t xml:space="preserve"> of control</w:t>
      </w:r>
      <w:r w:rsidR="0000716E">
        <w:t xml:space="preserve">. </w:t>
      </w:r>
      <w:r w:rsidR="0062581F">
        <w:t>A</w:t>
      </w:r>
      <w:r w:rsidR="00CC0D5E">
        <w:t>s regards voluntary offers, a</w:t>
      </w:r>
      <w:r w:rsidR="001870C0" w:rsidRPr="002121A4">
        <w:t>rticle </w:t>
      </w:r>
      <w:r w:rsidR="009917DA" w:rsidRPr="002121A4">
        <w:t xml:space="preserve">5(2) TBD </w:t>
      </w:r>
      <w:r w:rsidR="0026399B">
        <w:t xml:space="preserve">allows exempting </w:t>
      </w:r>
      <w:r w:rsidR="009917DA" w:rsidRPr="002121A4">
        <w:t>a</w:t>
      </w:r>
      <w:r w:rsidR="0026399B">
        <w:t>ny</w:t>
      </w:r>
      <w:r w:rsidR="009917DA" w:rsidRPr="002121A4">
        <w:t xml:space="preserve"> bidder</w:t>
      </w:r>
      <w:r w:rsidR="0026399B">
        <w:t xml:space="preserve"> acquiring </w:t>
      </w:r>
      <w:r w:rsidR="009917DA" w:rsidRPr="002121A4">
        <w:t xml:space="preserve">of control through a voluntary offer </w:t>
      </w:r>
      <w:r w:rsidR="0026399B">
        <w:t>from the mandatory bid that would normally be triggered by acquisition of control</w:t>
      </w:r>
      <w:r w:rsidR="009917DA" w:rsidRPr="002121A4">
        <w:t xml:space="preserve">. This exemption is reflected in domestic law in § 35(3) </w:t>
      </w:r>
      <w:proofErr w:type="spellStart"/>
      <w:r w:rsidR="009917DA" w:rsidRPr="002121A4">
        <w:t>WpÜG</w:t>
      </w:r>
      <w:proofErr w:type="spellEnd"/>
      <w:r w:rsidR="009917DA" w:rsidRPr="002121A4">
        <w:t>.</w:t>
      </w:r>
    </w:p>
    <w:p w14:paraId="32F72445" w14:textId="77777777" w:rsidR="00FF7D5F" w:rsidRPr="002121A4" w:rsidRDefault="007A63D1" w:rsidP="00097F8E">
      <w:pPr>
        <w:pStyle w:val="Standardwithparanumbering"/>
        <w:rPr>
          <w:i/>
        </w:rPr>
      </w:pPr>
      <w:r w:rsidRPr="002121A4">
        <w:t xml:space="preserve">The basic content of the </w:t>
      </w:r>
      <w:r w:rsidR="001100BA" w:rsidRPr="002121A4">
        <w:t xml:space="preserve">equitable </w:t>
      </w:r>
      <w:r w:rsidRPr="002121A4">
        <w:t xml:space="preserve">price rule is that it has to take into account </w:t>
      </w:r>
      <w:r w:rsidR="00EE096A" w:rsidRPr="002121A4">
        <w:t xml:space="preserve">the average stock exchange price for shares of the target, and acquisitions of such shares by the bidder, its subsidiaries, and third parties acting in concert with the bidder, § 31(1)(2) </w:t>
      </w:r>
      <w:proofErr w:type="spellStart"/>
      <w:r w:rsidR="00EE096A" w:rsidRPr="002121A4">
        <w:t>WpÜG</w:t>
      </w:r>
      <w:proofErr w:type="spellEnd"/>
      <w:r w:rsidR="00EE096A" w:rsidRPr="002121A4">
        <w:t xml:space="preserve">. A more detailed framework for price determination is contained in §§ 3ff. </w:t>
      </w:r>
      <w:proofErr w:type="spellStart"/>
      <w:r w:rsidR="00EE096A" w:rsidRPr="002121A4">
        <w:t>WpÜG-AngebotsVO</w:t>
      </w:r>
      <w:proofErr w:type="spellEnd"/>
      <w:r w:rsidR="00EE096A" w:rsidRPr="002121A4">
        <w:t>. The minimum price to be offered is the higher of</w:t>
      </w:r>
      <w:r w:rsidR="00FF7D5F" w:rsidRPr="002121A4">
        <w:t>:</w:t>
      </w:r>
    </w:p>
    <w:p w14:paraId="510D3356" w14:textId="1ADA8FCB" w:rsidR="00FF7D5F" w:rsidRPr="00EF383F" w:rsidRDefault="00EE096A" w:rsidP="00AB42AA">
      <w:pPr>
        <w:pStyle w:val="Listenabsatz"/>
        <w:numPr>
          <w:ilvl w:val="0"/>
          <w:numId w:val="19"/>
        </w:numPr>
        <w:rPr>
          <w:lang w:val="en-US"/>
        </w:rPr>
      </w:pPr>
      <w:r w:rsidRPr="00EF383F">
        <w:rPr>
          <w:lang w:val="en-US"/>
        </w:rPr>
        <w:t>compensation paid by the bidder or other relevant persons during the six months prior to the publication of the offer document,</w:t>
      </w:r>
      <w:r w:rsidRPr="002121A4">
        <w:rPr>
          <w:rStyle w:val="Funotenzeichen"/>
        </w:rPr>
        <w:footnoteReference w:id="316"/>
      </w:r>
      <w:r w:rsidRPr="00EF383F">
        <w:rPr>
          <w:lang w:val="en-US"/>
        </w:rPr>
        <w:t xml:space="preserve"> and </w:t>
      </w:r>
    </w:p>
    <w:p w14:paraId="38B77153" w14:textId="163785B9" w:rsidR="00FF7D5F" w:rsidRPr="00AB42AA" w:rsidRDefault="00EE096A" w:rsidP="00AB42AA">
      <w:pPr>
        <w:pStyle w:val="Listenabsatz"/>
        <w:numPr>
          <w:ilvl w:val="0"/>
          <w:numId w:val="19"/>
        </w:numPr>
        <w:rPr>
          <w:lang w:val="en-US"/>
        </w:rPr>
      </w:pPr>
      <w:r w:rsidRPr="00AB42AA">
        <w:rPr>
          <w:lang w:val="en-US"/>
        </w:rPr>
        <w:t>the weighted average stock exchange price during the three months preceding the statement of intent under § 10</w:t>
      </w:r>
      <w:r w:rsidR="005E6C83" w:rsidRPr="00AB42AA">
        <w:rPr>
          <w:lang w:val="en-US"/>
        </w:rPr>
        <w:t>(1)</w:t>
      </w:r>
      <w:r w:rsidRPr="00AB42AA">
        <w:rPr>
          <w:lang w:val="en-US"/>
        </w:rPr>
        <w:t xml:space="preserve"> </w:t>
      </w:r>
      <w:proofErr w:type="spellStart"/>
      <w:r w:rsidRPr="00AB42AA">
        <w:rPr>
          <w:lang w:val="en-US"/>
        </w:rPr>
        <w:t>WpÜG</w:t>
      </w:r>
      <w:proofErr w:type="spellEnd"/>
      <w:r w:rsidRPr="00AB42AA">
        <w:rPr>
          <w:lang w:val="en-US"/>
        </w:rPr>
        <w:t>.</w:t>
      </w:r>
      <w:r w:rsidRPr="002121A4">
        <w:rPr>
          <w:rStyle w:val="Funotenzeichen"/>
        </w:rPr>
        <w:footnoteReference w:id="317"/>
      </w:r>
      <w:r w:rsidR="00053326" w:rsidRPr="00AB42AA">
        <w:rPr>
          <w:lang w:val="en-US"/>
        </w:rPr>
        <w:t xml:space="preserve"> </w:t>
      </w:r>
    </w:p>
    <w:p w14:paraId="15DF35B8" w14:textId="60F5C457" w:rsidR="001029AF" w:rsidRPr="00044BD7" w:rsidRDefault="00053326" w:rsidP="0056702B">
      <w:pPr>
        <w:rPr>
          <w:lang w:val="en-US"/>
        </w:rPr>
      </w:pPr>
      <w:r w:rsidRPr="00044BD7">
        <w:rPr>
          <w:lang w:val="en-US"/>
        </w:rPr>
        <w:lastRenderedPageBreak/>
        <w:t xml:space="preserve">In certain scenarios, where stock exchange prices </w:t>
      </w:r>
      <w:r w:rsidR="0018325A" w:rsidRPr="00044BD7">
        <w:rPr>
          <w:lang w:val="en-US"/>
        </w:rPr>
        <w:t xml:space="preserve">are </w:t>
      </w:r>
      <w:r w:rsidRPr="00044BD7">
        <w:rPr>
          <w:lang w:val="en-US"/>
        </w:rPr>
        <w:t>not meaningful, the minimum price will also have to reflect the fair value of the target.</w:t>
      </w:r>
      <w:r w:rsidRPr="002121A4">
        <w:rPr>
          <w:rStyle w:val="Funotenzeichen"/>
        </w:rPr>
        <w:footnoteReference w:id="318"/>
      </w:r>
      <w:r w:rsidR="00E91B7E" w:rsidRPr="00044BD7">
        <w:rPr>
          <w:lang w:val="en-US"/>
        </w:rPr>
        <w:t xml:space="preserve"> The minimum price</w:t>
      </w:r>
      <w:r w:rsidR="00596304" w:rsidRPr="00044BD7">
        <w:rPr>
          <w:lang w:val="en-US"/>
        </w:rPr>
        <w:t xml:space="preserve"> determined under these principles</w:t>
      </w:r>
      <w:r w:rsidR="00126A63" w:rsidRPr="00044BD7">
        <w:rPr>
          <w:lang w:val="en-US"/>
        </w:rPr>
        <w:t xml:space="preserve"> is increased by compensation paid for acquisitions during the period starting with the publication of the offer document and ending one year after the announcement of the final results of the offer.</w:t>
      </w:r>
      <w:r w:rsidR="00126A63" w:rsidRPr="002121A4">
        <w:rPr>
          <w:rStyle w:val="Funotenzeichen"/>
        </w:rPr>
        <w:footnoteReference w:id="319"/>
      </w:r>
      <w:r w:rsidR="00126A63" w:rsidRPr="00044BD7">
        <w:rPr>
          <w:lang w:val="en-US"/>
        </w:rPr>
        <w:t xml:space="preserve"> This also applies to agreements </w:t>
      </w:r>
      <w:r w:rsidR="002252D5" w:rsidRPr="00044BD7">
        <w:rPr>
          <w:lang w:val="en-US"/>
        </w:rPr>
        <w:t xml:space="preserve">entered into during that period and </w:t>
      </w:r>
      <w:r w:rsidR="00126A63" w:rsidRPr="00044BD7">
        <w:rPr>
          <w:lang w:val="en-US"/>
        </w:rPr>
        <w:t xml:space="preserve">under which </w:t>
      </w:r>
      <w:r w:rsidR="00261C04" w:rsidRPr="00044BD7">
        <w:rPr>
          <w:lang w:val="en-US"/>
        </w:rPr>
        <w:t xml:space="preserve">it is possible to </w:t>
      </w:r>
      <w:r w:rsidR="00126A63" w:rsidRPr="00044BD7">
        <w:rPr>
          <w:lang w:val="en-US"/>
        </w:rPr>
        <w:t>claim to transfer of title in shares.</w:t>
      </w:r>
      <w:r w:rsidR="00126A63" w:rsidRPr="002121A4">
        <w:rPr>
          <w:rStyle w:val="Funotenzeichen"/>
        </w:rPr>
        <w:footnoteReference w:id="320"/>
      </w:r>
      <w:r w:rsidR="00126A63" w:rsidRPr="00044BD7">
        <w:rPr>
          <w:lang w:val="en-US"/>
        </w:rPr>
        <w:t xml:space="preserve"> </w:t>
      </w:r>
    </w:p>
    <w:p w14:paraId="07832960" w14:textId="0ED5EA99" w:rsidR="009E014F" w:rsidRPr="002121A4" w:rsidRDefault="009E014F" w:rsidP="00AB42AA">
      <w:pPr>
        <w:pStyle w:val="Case"/>
        <w:numPr>
          <w:ilvl w:val="0"/>
          <w:numId w:val="14"/>
        </w:numPr>
        <w:ind w:left="567" w:firstLine="0"/>
      </w:pPr>
      <w:bookmarkStart w:id="162" w:name="_Ref163124348"/>
      <w:r w:rsidRPr="002121A4">
        <w:t>After an unsuccessful bid, B makes an offer for shares in T at €66 per share. The offer document states that B intends to enter into a “control and profit transfer agreement” (</w:t>
      </w:r>
      <w:proofErr w:type="spellStart"/>
      <w:r w:rsidRPr="002121A4">
        <w:rPr>
          <w:i/>
        </w:rPr>
        <w:t>Beherrschungs</w:t>
      </w:r>
      <w:proofErr w:type="spellEnd"/>
      <w:r w:rsidRPr="002121A4">
        <w:rPr>
          <w:i/>
        </w:rPr>
        <w:t xml:space="preserve">- und </w:t>
      </w:r>
      <w:proofErr w:type="spellStart"/>
      <w:r w:rsidRPr="002121A4">
        <w:rPr>
          <w:i/>
        </w:rPr>
        <w:t>Gewinnabführungsvertrag</w:t>
      </w:r>
      <w:proofErr w:type="spellEnd"/>
      <w:r w:rsidRPr="002121A4">
        <w:t>) with T and that the offer requires an acceptance rate of 63%. On 18 August 2017, B announces that the acceptance rate is met. On 30 August 2017, the last day of the extended acceptance period, B enters into an agreement with E, holding 10% in T, under which E commits to vote in favour of the control agreement provided that the agreement includes an exit right for minority shareholders at €74 per share. Can shareholders who accepted the bid claim €74 per share? (</w:t>
      </w:r>
      <w:r w:rsidR="00CD6EEE" w:rsidRPr="002121A4">
        <w:t>BGH, 23 May 2023 – II ZR 219/21</w:t>
      </w:r>
      <w:r w:rsidR="00C56250">
        <w:t>, WM 2023, 1356</w:t>
      </w:r>
      <w:r w:rsidRPr="002121A4">
        <w:t xml:space="preserve"> – </w:t>
      </w:r>
      <w:proofErr w:type="spellStart"/>
      <w:r w:rsidRPr="002121A4">
        <w:rPr>
          <w:i/>
        </w:rPr>
        <w:t>Stada</w:t>
      </w:r>
      <w:proofErr w:type="spellEnd"/>
      <w:r w:rsidR="00E54272" w:rsidRPr="002121A4">
        <w:t>, overtur</w:t>
      </w:r>
      <w:r w:rsidR="00C56250">
        <w:t>n</w:t>
      </w:r>
      <w:r w:rsidR="00E54272" w:rsidRPr="002121A4">
        <w:t>ing OLG Frankfurt, 7 July 2020 – 5 U 71/19, NZG 2020, 1391</w:t>
      </w:r>
      <w:r w:rsidRPr="002121A4">
        <w:t>)</w:t>
      </w:r>
      <w:bookmarkEnd w:id="162"/>
    </w:p>
    <w:p w14:paraId="1048DF54" w14:textId="3B354166" w:rsidR="009E014F" w:rsidRPr="002121A4" w:rsidRDefault="009E014F" w:rsidP="008E3249">
      <w:pPr>
        <w:pStyle w:val="Case"/>
        <w:rPr>
          <w:i/>
        </w:rPr>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444B1D9C" w14:textId="548ABBF0" w:rsidR="00272055" w:rsidRPr="002121A4" w:rsidRDefault="00272055" w:rsidP="00097F8E">
      <w:pPr>
        <w:pStyle w:val="Standardwithparanumbering"/>
        <w:rPr>
          <w:i/>
        </w:rPr>
      </w:pPr>
      <w:r w:rsidRPr="002121A4">
        <w:t>The compensation has to be a cash amount of euros, or liquid shares admitted to trading on a regulated market.</w:t>
      </w:r>
      <w:r w:rsidRPr="002121A4">
        <w:rPr>
          <w:rStyle w:val="Funotenzeichen"/>
        </w:rPr>
        <w:footnoteReference w:id="321"/>
      </w:r>
      <w:r w:rsidRPr="002121A4">
        <w:t xml:space="preserve"> A cash compensation is mandatory where the bidder (or other relevant persons) acquired 5% or more of the shares in the target</w:t>
      </w:r>
      <w:r w:rsidR="00E91B7E" w:rsidRPr="002121A4">
        <w:t xml:space="preserve"> against consideration in cash</w:t>
      </w:r>
      <w:r w:rsidRPr="002121A4">
        <w:t xml:space="preserve"> during the six months preceding the end of the acceptance period.</w:t>
      </w:r>
      <w:r w:rsidRPr="002121A4">
        <w:rPr>
          <w:rStyle w:val="Funotenzeichen"/>
        </w:rPr>
        <w:footnoteReference w:id="322"/>
      </w:r>
    </w:p>
    <w:p w14:paraId="3A475891" w14:textId="40C1A7AC" w:rsidR="00A42371" w:rsidRPr="002121A4" w:rsidRDefault="00A42371" w:rsidP="00A42371">
      <w:pPr>
        <w:pStyle w:val="berschrift4"/>
        <w:rPr>
          <w:lang w:val="en-GB"/>
        </w:rPr>
      </w:pPr>
      <w:r w:rsidRPr="002121A4">
        <w:rPr>
          <w:lang w:val="en-GB"/>
        </w:rPr>
        <w:t>Neutrality principle and no</w:t>
      </w:r>
      <w:r w:rsidR="00577CFD" w:rsidRPr="002121A4">
        <w:rPr>
          <w:lang w:val="en-GB"/>
        </w:rPr>
        <w:t>n</w:t>
      </w:r>
      <w:r w:rsidRPr="002121A4">
        <w:rPr>
          <w:lang w:val="en-GB"/>
        </w:rPr>
        <w:t>-frustration-rule</w:t>
      </w:r>
    </w:p>
    <w:p w14:paraId="4DBEAFE3" w14:textId="21128AF2" w:rsidR="003F1C2F" w:rsidRPr="002121A4" w:rsidRDefault="00342D8D" w:rsidP="00E14E44">
      <w:pPr>
        <w:pStyle w:val="Standardwithparanumbering"/>
        <w:rPr>
          <w:i/>
        </w:rPr>
      </w:pPr>
      <w:r w:rsidRPr="002121A4">
        <w:t xml:space="preserve">§§ 33–34 </w:t>
      </w:r>
      <w:proofErr w:type="spellStart"/>
      <w:r w:rsidRPr="002121A4">
        <w:t>WpÜG</w:t>
      </w:r>
      <w:proofErr w:type="spellEnd"/>
      <w:r w:rsidRPr="002121A4">
        <w:t xml:space="preserve"> stipulate the principle of neutrality, according to which the administration of a company is obliged to be impartial towards the bidder and its takeover and mandatory offer</w:t>
      </w:r>
      <w:r w:rsidR="00577CFD" w:rsidRPr="002121A4">
        <w:t xml:space="preserve"> (also referred to as the “non-frustration rule”)</w:t>
      </w:r>
      <w:r w:rsidRPr="002121A4">
        <w:t>. Th</w:t>
      </w:r>
      <w:r w:rsidR="00420288" w:rsidRPr="002121A4">
        <w:t>e</w:t>
      </w:r>
      <w:r w:rsidRPr="002121A4">
        <w:t xml:space="preserve"> principle </w:t>
      </w:r>
      <w:r w:rsidR="00420288" w:rsidRPr="002121A4">
        <w:t xml:space="preserve">of neutrality </w:t>
      </w:r>
      <w:r w:rsidRPr="002121A4">
        <w:t xml:space="preserve">applies in two different versions: the version preceding the TBD (§ 33 </w:t>
      </w:r>
      <w:proofErr w:type="spellStart"/>
      <w:r w:rsidRPr="002121A4">
        <w:t>WpÜG</w:t>
      </w:r>
      <w:proofErr w:type="spellEnd"/>
      <w:r w:rsidRPr="002121A4">
        <w:t>)</w:t>
      </w:r>
      <w:r w:rsidR="00420288" w:rsidRPr="002121A4">
        <w:t xml:space="preserve"> applies by default</w:t>
      </w:r>
      <w:r w:rsidRPr="002121A4">
        <w:t xml:space="preserve">, and the </w:t>
      </w:r>
      <w:r w:rsidR="00420288" w:rsidRPr="002121A4">
        <w:t>opt-in ve</w:t>
      </w:r>
      <w:r w:rsidR="00822902" w:rsidRPr="002121A4">
        <w:t>rs</w:t>
      </w:r>
      <w:r w:rsidR="00420288" w:rsidRPr="002121A4">
        <w:t xml:space="preserve">ion </w:t>
      </w:r>
      <w:r w:rsidRPr="002121A4">
        <w:t xml:space="preserve">implementing </w:t>
      </w:r>
      <w:r w:rsidR="001870C0" w:rsidRPr="002121A4">
        <w:t>articles </w:t>
      </w:r>
      <w:r w:rsidRPr="002121A4">
        <w:t xml:space="preserve">9, 11 </w:t>
      </w:r>
      <w:r w:rsidR="000A18EC" w:rsidRPr="002121A4">
        <w:t xml:space="preserve">and </w:t>
      </w:r>
      <w:r w:rsidRPr="002121A4">
        <w:t>12 TBD</w:t>
      </w:r>
      <w:r w:rsidR="00577CFD" w:rsidRPr="002121A4">
        <w:t xml:space="preserve"> </w:t>
      </w:r>
      <w:r w:rsidRPr="002121A4">
        <w:t>(§§ 33a</w:t>
      </w:r>
      <w:r w:rsidR="0029368C" w:rsidRPr="002121A4">
        <w:t>–</w:t>
      </w:r>
      <w:r w:rsidRPr="002121A4">
        <w:t xml:space="preserve">33c </w:t>
      </w:r>
      <w:proofErr w:type="spellStart"/>
      <w:r w:rsidRPr="002121A4">
        <w:t>WpÜG</w:t>
      </w:r>
      <w:proofErr w:type="spellEnd"/>
      <w:r w:rsidRPr="002121A4">
        <w:t>)</w:t>
      </w:r>
      <w:r w:rsidR="00420288" w:rsidRPr="002121A4">
        <w:t xml:space="preserve"> applies to issuers that opt into this regime in their articles of association</w:t>
      </w:r>
      <w:r w:rsidR="000D38D0">
        <w:t xml:space="preserve"> (</w:t>
      </w:r>
      <w:r w:rsidR="00420288" w:rsidRPr="002121A4">
        <w:t>statutes</w:t>
      </w:r>
      <w:r w:rsidR="000D38D0">
        <w:t>)</w:t>
      </w:r>
      <w:r w:rsidRPr="002121A4">
        <w:t xml:space="preserve">. </w:t>
      </w:r>
      <w:r w:rsidR="00457FDF" w:rsidRPr="002121A4">
        <w:t xml:space="preserve">Under the default rule in § 33, the board of management of a target company is subject to neutrality during the publication of a statement of intent until the announcement of the results at the end of the acceptance period, and may not take measures that are </w:t>
      </w:r>
      <w:r w:rsidR="000A18EC" w:rsidRPr="002121A4">
        <w:t>“</w:t>
      </w:r>
      <w:r w:rsidR="00457FDF" w:rsidRPr="002121A4">
        <w:t xml:space="preserve">liable to </w:t>
      </w:r>
      <w:r w:rsidR="00E96BB4" w:rsidRPr="002121A4">
        <w:t>jeopardize</w:t>
      </w:r>
      <w:r w:rsidR="00457FDF" w:rsidRPr="002121A4">
        <w:t xml:space="preserve"> the success of the offer</w:t>
      </w:r>
      <w:r w:rsidR="000A18EC" w:rsidRPr="002121A4">
        <w:t>”</w:t>
      </w:r>
      <w:r w:rsidR="00457FDF" w:rsidRPr="002121A4">
        <w:t>.</w:t>
      </w:r>
      <w:r w:rsidR="00457FDF" w:rsidRPr="002121A4">
        <w:rPr>
          <w:rStyle w:val="Funotenzeichen"/>
        </w:rPr>
        <w:footnoteReference w:id="323"/>
      </w:r>
      <w:r w:rsidR="003F1C2F" w:rsidRPr="002121A4">
        <w:t xml:space="preserve"> Exceptions to the neutrality principle exist under § 33(1)(2) </w:t>
      </w:r>
      <w:proofErr w:type="spellStart"/>
      <w:r w:rsidR="003F1C2F" w:rsidRPr="002121A4">
        <w:t>WpÜG</w:t>
      </w:r>
      <w:proofErr w:type="spellEnd"/>
      <w:r w:rsidR="000A18EC" w:rsidRPr="002121A4">
        <w:t>:</w:t>
      </w:r>
    </w:p>
    <w:p w14:paraId="46112218" w14:textId="77777777" w:rsidR="003F1C2F" w:rsidRPr="00197714" w:rsidRDefault="003F1C2F" w:rsidP="00AB42AA">
      <w:pPr>
        <w:pStyle w:val="Listenabsatz"/>
        <w:numPr>
          <w:ilvl w:val="0"/>
          <w:numId w:val="11"/>
        </w:numPr>
        <w:rPr>
          <w:i/>
          <w:lang w:val="en-US"/>
        </w:rPr>
      </w:pPr>
      <w:r w:rsidRPr="00197714">
        <w:rPr>
          <w:lang w:val="en-US"/>
        </w:rPr>
        <w:t>for measures that a proper and conscientious management would have taken,</w:t>
      </w:r>
    </w:p>
    <w:p w14:paraId="29C87529" w14:textId="77777777" w:rsidR="003F1C2F" w:rsidRPr="00197714" w:rsidRDefault="003F1C2F" w:rsidP="00AB42AA">
      <w:pPr>
        <w:pStyle w:val="Listenabsatz"/>
        <w:numPr>
          <w:ilvl w:val="0"/>
          <w:numId w:val="11"/>
        </w:numPr>
        <w:rPr>
          <w:i/>
          <w:lang w:val="en-US"/>
        </w:rPr>
      </w:pPr>
      <w:r w:rsidRPr="00197714">
        <w:rPr>
          <w:lang w:val="en-US"/>
        </w:rPr>
        <w:lastRenderedPageBreak/>
        <w:t>for measures seeking a competing offer, and</w:t>
      </w:r>
    </w:p>
    <w:p w14:paraId="6E2C462B" w14:textId="42947913" w:rsidR="00097F8E" w:rsidRPr="00197714" w:rsidRDefault="003F1C2F" w:rsidP="00AB42AA">
      <w:pPr>
        <w:pStyle w:val="Listenabsatz"/>
        <w:numPr>
          <w:ilvl w:val="0"/>
          <w:numId w:val="11"/>
        </w:numPr>
        <w:rPr>
          <w:i/>
          <w:lang w:val="en-US"/>
        </w:rPr>
      </w:pPr>
      <w:r w:rsidRPr="00197714">
        <w:rPr>
          <w:lang w:val="en-US"/>
        </w:rPr>
        <w:t>for measures author</w:t>
      </w:r>
      <w:r w:rsidR="00706D6F" w:rsidRPr="00197714">
        <w:rPr>
          <w:lang w:val="en-US"/>
        </w:rPr>
        <w:t>ized</w:t>
      </w:r>
      <w:r w:rsidRPr="00197714">
        <w:rPr>
          <w:lang w:val="en-US"/>
        </w:rPr>
        <w:t xml:space="preserve"> by the supervisory board of the target. </w:t>
      </w:r>
    </w:p>
    <w:p w14:paraId="4ECC7F7F" w14:textId="65AC40D7" w:rsidR="003F1C2F" w:rsidRPr="00044BD7" w:rsidRDefault="003F1C2F" w:rsidP="0056702B">
      <w:pPr>
        <w:rPr>
          <w:lang w:val="en-US"/>
        </w:rPr>
      </w:pPr>
      <w:r w:rsidRPr="00044BD7">
        <w:rPr>
          <w:lang w:val="en-US"/>
        </w:rPr>
        <w:t>It is also possible for the general assembly of a target to author</w:t>
      </w:r>
      <w:r w:rsidR="00706D6F" w:rsidRPr="00044BD7">
        <w:rPr>
          <w:lang w:val="en-US"/>
        </w:rPr>
        <w:t>ize</w:t>
      </w:r>
      <w:r w:rsidRPr="00044BD7">
        <w:rPr>
          <w:lang w:val="en-US"/>
        </w:rPr>
        <w:t xml:space="preserve"> measures taken by management in response to an offer. However, such author</w:t>
      </w:r>
      <w:r w:rsidR="00706D6F" w:rsidRPr="00044BD7">
        <w:rPr>
          <w:lang w:val="en-US"/>
        </w:rPr>
        <w:t>ization</w:t>
      </w:r>
      <w:r w:rsidRPr="00044BD7">
        <w:rPr>
          <w:lang w:val="en-US"/>
        </w:rPr>
        <w:t xml:space="preserve"> has to describe the general nature of these measures, can only be granted for a period of 18 months</w:t>
      </w:r>
      <w:r w:rsidR="00A02B3A" w:rsidRPr="00044BD7">
        <w:rPr>
          <w:lang w:val="en-US"/>
        </w:rPr>
        <w:t>, and are subject to a majority requirement of 75% of the votes and approval of the supervisory board</w:t>
      </w:r>
      <w:r w:rsidRPr="00044BD7">
        <w:rPr>
          <w:lang w:val="en-US"/>
        </w:rPr>
        <w:t xml:space="preserve"> (§ 33(2) WpÜG).</w:t>
      </w:r>
      <w:r w:rsidR="00AA1026" w:rsidRPr="002121A4">
        <w:rPr>
          <w:rStyle w:val="Funotenzeichen"/>
        </w:rPr>
        <w:footnoteReference w:id="324"/>
      </w:r>
      <w:r w:rsidRPr="00044BD7">
        <w:rPr>
          <w:lang w:val="en-US"/>
        </w:rPr>
        <w:t xml:space="preserve"> </w:t>
      </w:r>
    </w:p>
    <w:p w14:paraId="4C97274A" w14:textId="417A5C9F" w:rsidR="009F392D" w:rsidRPr="002121A4" w:rsidRDefault="009F392D" w:rsidP="009F392D">
      <w:pPr>
        <w:pStyle w:val="berschrift3"/>
        <w:rPr>
          <w:lang w:val="en-GB"/>
        </w:rPr>
      </w:pPr>
      <w:r w:rsidRPr="002121A4">
        <w:rPr>
          <w:lang w:val="en-GB"/>
        </w:rPr>
        <w:t>Mandatory bids</w:t>
      </w:r>
    </w:p>
    <w:p w14:paraId="10BA65BA" w14:textId="2A3ECE4F" w:rsidR="00325FBD" w:rsidRPr="002121A4" w:rsidRDefault="002E0833" w:rsidP="00325FBD">
      <w:pPr>
        <w:pStyle w:val="Standardwithparanumbering"/>
        <w:rPr>
          <w:i/>
        </w:rPr>
      </w:pPr>
      <w:bookmarkStart w:id="163" w:name="_Ref129776282"/>
      <w:r w:rsidRPr="002121A4">
        <w:t xml:space="preserve">Section 5 </w:t>
      </w:r>
      <w:proofErr w:type="spellStart"/>
      <w:r w:rsidRPr="002121A4">
        <w:t>WpÜG</w:t>
      </w:r>
      <w:proofErr w:type="spellEnd"/>
      <w:r w:rsidRPr="002121A4">
        <w:t xml:space="preserve"> deals with mandatory bids (§§ 35–39 </w:t>
      </w:r>
      <w:proofErr w:type="spellStart"/>
      <w:r w:rsidRPr="002121A4">
        <w:t>WpÜG</w:t>
      </w:r>
      <w:proofErr w:type="spellEnd"/>
      <w:r w:rsidRPr="002121A4">
        <w:t xml:space="preserve">). </w:t>
      </w:r>
      <w:r w:rsidR="000E72E0" w:rsidRPr="002121A4">
        <w:t xml:space="preserve">The acquisition of </w:t>
      </w:r>
      <w:r w:rsidRPr="002121A4">
        <w:t xml:space="preserve">control </w:t>
      </w:r>
      <w:r w:rsidR="003E4025" w:rsidRPr="002121A4">
        <w:t>– </w:t>
      </w:r>
      <w:r w:rsidR="000E72E0" w:rsidRPr="002121A4">
        <w:t xml:space="preserve">as defined in § 29(2) </w:t>
      </w:r>
      <w:proofErr w:type="spellStart"/>
      <w:r w:rsidR="000E72E0" w:rsidRPr="002121A4">
        <w:t>WpÜG</w:t>
      </w:r>
      <w:proofErr w:type="spellEnd"/>
      <w:r w:rsidR="003E4025" w:rsidRPr="002121A4">
        <w:t xml:space="preserve"> –</w:t>
      </w:r>
      <w:r w:rsidR="000E72E0" w:rsidRPr="002121A4">
        <w:t xml:space="preserve"> </w:t>
      </w:r>
      <w:r w:rsidRPr="002121A4">
        <w:t>over a target company</w:t>
      </w:r>
      <w:r w:rsidR="000E72E0" w:rsidRPr="002121A4">
        <w:t xml:space="preserve"> triggers the mandatory bid process under </w:t>
      </w:r>
      <w:r w:rsidRPr="002121A4">
        <w:t>§ 35</w:t>
      </w:r>
      <w:r w:rsidR="000E72E0" w:rsidRPr="002121A4">
        <w:t xml:space="preserve"> </w:t>
      </w:r>
      <w:proofErr w:type="spellStart"/>
      <w:r w:rsidRPr="002121A4">
        <w:t>WpÜG</w:t>
      </w:r>
      <w:proofErr w:type="spellEnd"/>
      <w:r w:rsidRPr="002121A4">
        <w:t>.</w:t>
      </w:r>
      <w:r w:rsidR="000E72E0" w:rsidRPr="002121A4">
        <w:t xml:space="preserve"> </w:t>
      </w:r>
      <w:r w:rsidR="00CE70FA" w:rsidRPr="002121A4">
        <w:t>The aggregation principles to determine whether the relevant threshold was reached are the same as those for takeover bids described above</w:t>
      </w:r>
      <w:r w:rsidR="003F6EFA" w:rsidRPr="002121A4">
        <w:t xml:space="preserve"> para. </w:t>
      </w:r>
      <w:r w:rsidR="003F6EFA" w:rsidRPr="002121A4">
        <w:fldChar w:fldCharType="begin"/>
      </w:r>
      <w:r w:rsidR="003F6EFA" w:rsidRPr="002121A4">
        <w:instrText xml:space="preserve"> REF _Ref130895281 \r \h </w:instrText>
      </w:r>
      <w:r w:rsidR="003F6EFA" w:rsidRPr="002121A4">
        <w:fldChar w:fldCharType="separate"/>
      </w:r>
      <w:r w:rsidR="00D56145">
        <w:t>174</w:t>
      </w:r>
      <w:r w:rsidR="003F6EFA" w:rsidRPr="002121A4">
        <w:fldChar w:fldCharType="end"/>
      </w:r>
      <w:r w:rsidR="00CE70FA" w:rsidRPr="002121A4">
        <w:t>.</w:t>
      </w:r>
      <w:bookmarkEnd w:id="163"/>
    </w:p>
    <w:p w14:paraId="7D0AD92B" w14:textId="7CAF96EF" w:rsidR="00CE70FA" w:rsidRPr="002121A4" w:rsidRDefault="00CE70FA" w:rsidP="00AB42AA">
      <w:pPr>
        <w:pStyle w:val="Case"/>
        <w:numPr>
          <w:ilvl w:val="0"/>
          <w:numId w:val="14"/>
        </w:numPr>
        <w:ind w:left="567" w:firstLine="0"/>
        <w:rPr>
          <w:szCs w:val="23"/>
        </w:rPr>
      </w:pPr>
      <w:bookmarkStart w:id="164" w:name="_Ref132308279"/>
      <w:r w:rsidRPr="002121A4">
        <w:rPr>
          <w:szCs w:val="23"/>
        </w:rPr>
        <w:t>Bidder B is interested in target T. In 200</w:t>
      </w:r>
      <w:r w:rsidR="0099737C" w:rsidRPr="002121A4">
        <w:rPr>
          <w:szCs w:val="23"/>
        </w:rPr>
        <w:t>8</w:t>
      </w:r>
      <w:r w:rsidRPr="002121A4">
        <w:rPr>
          <w:szCs w:val="23"/>
        </w:rPr>
        <w:t>, B and T’s ultimate parent P enter in to a</w:t>
      </w:r>
      <w:r w:rsidR="00BB3870" w:rsidRPr="002121A4">
        <w:rPr>
          <w:szCs w:val="23"/>
        </w:rPr>
        <w:t xml:space="preserve"> Sales and Purchase A</w:t>
      </w:r>
      <w:r w:rsidRPr="002121A4">
        <w:rPr>
          <w:szCs w:val="23"/>
        </w:rPr>
        <w:t>greement</w:t>
      </w:r>
      <w:r w:rsidR="00BB3870" w:rsidRPr="002121A4">
        <w:rPr>
          <w:szCs w:val="23"/>
        </w:rPr>
        <w:t xml:space="preserve"> (SPA) </w:t>
      </w:r>
      <w:r w:rsidRPr="002121A4">
        <w:rPr>
          <w:szCs w:val="23"/>
        </w:rPr>
        <w:t>under which B acquires 2</w:t>
      </w:r>
      <w:r w:rsidR="0099737C" w:rsidRPr="002121A4">
        <w:rPr>
          <w:szCs w:val="23"/>
        </w:rPr>
        <w:t>0</w:t>
      </w:r>
      <w:r w:rsidRPr="002121A4">
        <w:rPr>
          <w:szCs w:val="23"/>
        </w:rPr>
        <w:t>% in T</w:t>
      </w:r>
      <w:r w:rsidR="0099737C" w:rsidRPr="002121A4">
        <w:rPr>
          <w:szCs w:val="23"/>
        </w:rPr>
        <w:t>, and an option to acquire another 30% later</w:t>
      </w:r>
      <w:r w:rsidRPr="002121A4">
        <w:rPr>
          <w:szCs w:val="23"/>
        </w:rPr>
        <w:t>.</w:t>
      </w:r>
      <w:r w:rsidR="00BB3870" w:rsidRPr="002121A4">
        <w:rPr>
          <w:szCs w:val="23"/>
        </w:rPr>
        <w:t xml:space="preserve"> P and B also enter into a pledge agreement for the shares.</w:t>
      </w:r>
      <w:r w:rsidRPr="002121A4">
        <w:rPr>
          <w:szCs w:val="23"/>
        </w:rPr>
        <w:t xml:space="preserve"> </w:t>
      </w:r>
      <w:r w:rsidR="00510968" w:rsidRPr="002121A4">
        <w:rPr>
          <w:szCs w:val="23"/>
        </w:rPr>
        <w:t xml:space="preserve">Under the </w:t>
      </w:r>
      <w:r w:rsidR="00BB3870" w:rsidRPr="002121A4">
        <w:rPr>
          <w:szCs w:val="23"/>
        </w:rPr>
        <w:t>SPA, certain shareholder resolutions are subject to B’s approval</w:t>
      </w:r>
      <w:r w:rsidR="00E9370D" w:rsidRPr="002121A4">
        <w:rPr>
          <w:szCs w:val="23"/>
        </w:rPr>
        <w:t>. U</w:t>
      </w:r>
      <w:r w:rsidR="00BB3870" w:rsidRPr="002121A4">
        <w:rPr>
          <w:szCs w:val="23"/>
        </w:rPr>
        <w:t xml:space="preserve">nder the pledge </w:t>
      </w:r>
      <w:r w:rsidR="00510968" w:rsidRPr="002121A4">
        <w:rPr>
          <w:szCs w:val="23"/>
        </w:rPr>
        <w:t xml:space="preserve">agreement, </w:t>
      </w:r>
      <w:r w:rsidR="00BB3870" w:rsidRPr="002121A4">
        <w:rPr>
          <w:szCs w:val="23"/>
        </w:rPr>
        <w:t xml:space="preserve">P </w:t>
      </w:r>
      <w:r w:rsidR="00BB3870" w:rsidRPr="005152F4">
        <w:t>retains</w:t>
      </w:r>
      <w:r w:rsidR="00BB3870" w:rsidRPr="002121A4">
        <w:rPr>
          <w:szCs w:val="23"/>
        </w:rPr>
        <w:t xml:space="preserve"> shareholder rights but </w:t>
      </w:r>
      <w:r w:rsidR="00E9370D" w:rsidRPr="002121A4">
        <w:rPr>
          <w:szCs w:val="23"/>
        </w:rPr>
        <w:t xml:space="preserve">must not </w:t>
      </w:r>
      <w:r w:rsidR="00BB3870" w:rsidRPr="002121A4">
        <w:rPr>
          <w:szCs w:val="23"/>
        </w:rPr>
        <w:t>exercise those in a way that materially affect</w:t>
      </w:r>
      <w:r w:rsidR="00E9370D" w:rsidRPr="002121A4">
        <w:rPr>
          <w:szCs w:val="23"/>
        </w:rPr>
        <w:t>s</w:t>
      </w:r>
      <w:r w:rsidR="00BB3870" w:rsidRPr="002121A4">
        <w:rPr>
          <w:szCs w:val="23"/>
        </w:rPr>
        <w:t xml:space="preserve"> the value of the shares. Economically, the SPA and the pledge transfer </w:t>
      </w:r>
      <w:r w:rsidR="00510968" w:rsidRPr="002121A4">
        <w:rPr>
          <w:szCs w:val="23"/>
        </w:rPr>
        <w:t xml:space="preserve">risks and opportunities in the </w:t>
      </w:r>
      <w:r w:rsidR="00BB3870" w:rsidRPr="002121A4">
        <w:rPr>
          <w:szCs w:val="23"/>
        </w:rPr>
        <w:t xml:space="preserve">shares </w:t>
      </w:r>
      <w:r w:rsidR="00510968" w:rsidRPr="002121A4">
        <w:rPr>
          <w:szCs w:val="23"/>
        </w:rPr>
        <w:t xml:space="preserve">to B. </w:t>
      </w:r>
      <w:r w:rsidRPr="002121A4">
        <w:rPr>
          <w:szCs w:val="23"/>
        </w:rPr>
        <w:t xml:space="preserve">In October 2010, B makes a voluntary takeover bid at €25. Shareholder S accepts the offer. </w:t>
      </w:r>
      <w:r w:rsidR="00CE16CC" w:rsidRPr="002121A4">
        <w:rPr>
          <w:szCs w:val="23"/>
        </w:rPr>
        <w:t>C</w:t>
      </w:r>
      <w:r w:rsidR="0083235E" w:rsidRPr="002121A4">
        <w:rPr>
          <w:szCs w:val="23"/>
        </w:rPr>
        <w:t xml:space="preserve">ould S argue </w:t>
      </w:r>
      <w:r w:rsidRPr="002121A4">
        <w:rPr>
          <w:szCs w:val="23"/>
        </w:rPr>
        <w:t xml:space="preserve">that the </w:t>
      </w:r>
      <w:r w:rsidR="00CE16CC" w:rsidRPr="002121A4">
        <w:rPr>
          <w:szCs w:val="23"/>
        </w:rPr>
        <w:t xml:space="preserve">SPA and the pledge </w:t>
      </w:r>
      <w:r w:rsidRPr="002121A4">
        <w:rPr>
          <w:szCs w:val="23"/>
        </w:rPr>
        <w:t>require</w:t>
      </w:r>
      <w:r w:rsidR="00CE16CC" w:rsidRPr="002121A4">
        <w:rPr>
          <w:szCs w:val="23"/>
        </w:rPr>
        <w:t>d</w:t>
      </w:r>
      <w:r w:rsidRPr="002121A4">
        <w:rPr>
          <w:szCs w:val="23"/>
        </w:rPr>
        <w:t xml:space="preserve"> a mandatory takeover bid</w:t>
      </w:r>
      <w:r w:rsidR="0083235E" w:rsidRPr="002121A4">
        <w:rPr>
          <w:szCs w:val="23"/>
        </w:rPr>
        <w:t xml:space="preserve">? Could </w:t>
      </w:r>
      <w:r w:rsidR="00CE16CC" w:rsidRPr="002121A4">
        <w:rPr>
          <w:szCs w:val="23"/>
        </w:rPr>
        <w:t xml:space="preserve">S </w:t>
      </w:r>
      <w:r w:rsidR="0083235E" w:rsidRPr="002121A4">
        <w:rPr>
          <w:szCs w:val="23"/>
        </w:rPr>
        <w:t xml:space="preserve">claim additional compensation if </w:t>
      </w:r>
      <w:r w:rsidR="00CE16CC" w:rsidRPr="002121A4">
        <w:rPr>
          <w:szCs w:val="23"/>
        </w:rPr>
        <w:t xml:space="preserve">a mandatory bid in 2008 </w:t>
      </w:r>
      <w:r w:rsidR="00212588">
        <w:rPr>
          <w:szCs w:val="23"/>
        </w:rPr>
        <w:t xml:space="preserve">had required </w:t>
      </w:r>
      <w:r w:rsidRPr="002121A4">
        <w:rPr>
          <w:szCs w:val="23"/>
        </w:rPr>
        <w:t xml:space="preserve">a higher price than €25? </w:t>
      </w:r>
      <w:bookmarkStart w:id="165" w:name="_Hlk141952350"/>
      <w:r w:rsidRPr="002121A4">
        <w:rPr>
          <w:szCs w:val="23"/>
        </w:rPr>
        <w:t xml:space="preserve">(BGH, 29 July 2014 – II ZR 353/12, WM 2014, 1627 – </w:t>
      </w:r>
      <w:r w:rsidRPr="002121A4">
        <w:rPr>
          <w:i/>
          <w:szCs w:val="23"/>
        </w:rPr>
        <w:t>Postbank</w:t>
      </w:r>
      <w:r w:rsidR="00DE4E42" w:rsidRPr="002121A4">
        <w:rPr>
          <w:i/>
          <w:szCs w:val="23"/>
        </w:rPr>
        <w:t xml:space="preserve"> I</w:t>
      </w:r>
      <w:bookmarkEnd w:id="165"/>
      <w:r w:rsidRPr="002121A4">
        <w:rPr>
          <w:szCs w:val="23"/>
        </w:rPr>
        <w:t>; 13 December 2022 – II ZR 9/21, II ZR 14/21</w:t>
      </w:r>
      <w:r w:rsidR="000D3D79" w:rsidRPr="002121A4">
        <w:rPr>
          <w:szCs w:val="23"/>
        </w:rPr>
        <w:t xml:space="preserve"> – </w:t>
      </w:r>
      <w:r w:rsidR="000D3D79" w:rsidRPr="002121A4">
        <w:rPr>
          <w:i/>
          <w:szCs w:val="23"/>
        </w:rPr>
        <w:t>Postbank</w:t>
      </w:r>
      <w:r w:rsidR="000D3D79" w:rsidRPr="002121A4">
        <w:rPr>
          <w:szCs w:val="23"/>
        </w:rPr>
        <w:t xml:space="preserve"> </w:t>
      </w:r>
      <w:r w:rsidR="000D3D79" w:rsidRPr="002121A4">
        <w:rPr>
          <w:i/>
          <w:szCs w:val="23"/>
        </w:rPr>
        <w:t>II</w:t>
      </w:r>
      <w:r w:rsidR="008A5CB2">
        <w:rPr>
          <w:szCs w:val="23"/>
        </w:rPr>
        <w:t>; OLG Köln, 23 October 2024, 13 U 231/17</w:t>
      </w:r>
      <w:r w:rsidRPr="002121A4">
        <w:rPr>
          <w:szCs w:val="23"/>
        </w:rPr>
        <w:t>)</w:t>
      </w:r>
      <w:bookmarkEnd w:id="164"/>
    </w:p>
    <w:p w14:paraId="033AACFB" w14:textId="413A4A9F" w:rsidR="00CE70FA" w:rsidRPr="002121A4" w:rsidRDefault="006F77D1" w:rsidP="0099737C">
      <w:pPr>
        <w:pStyle w:val="Case"/>
        <w:rPr>
          <w:b/>
        </w:rPr>
      </w:pPr>
      <w:r w:rsidRPr="002121A4">
        <w:rPr>
          <w:b/>
          <w:szCs w:val="23"/>
        </w:rPr>
        <w:t>Notes.</w:t>
      </w:r>
      <w:r w:rsidR="00170B05" w:rsidRPr="002121A4">
        <w:rPr>
          <w:b/>
          <w:szCs w:val="23"/>
        </w:rPr>
        <w:br/>
      </w:r>
      <w:r w:rsidR="00170B05" w:rsidRPr="002121A4">
        <w:rPr>
          <w:b/>
          <w:szCs w:val="23"/>
        </w:rPr>
        <w:br/>
      </w:r>
      <w:r w:rsidR="00170B05" w:rsidRPr="002121A4">
        <w:rPr>
          <w:b/>
          <w:szCs w:val="23"/>
        </w:rPr>
        <w:br/>
      </w:r>
    </w:p>
    <w:p w14:paraId="223C4E72" w14:textId="768C9D05" w:rsidR="00A763FF" w:rsidRPr="002121A4" w:rsidRDefault="00077EA6" w:rsidP="00D24E13">
      <w:pPr>
        <w:pStyle w:val="Standardwithparanumbering"/>
        <w:rPr>
          <w:i/>
        </w:rPr>
      </w:pPr>
      <w:r>
        <w:t>A</w:t>
      </w:r>
      <w:r w:rsidR="000E72E0" w:rsidRPr="002121A4">
        <w:t xml:space="preserve"> shareholder acquiring control must make this fact public</w:t>
      </w:r>
      <w:r w:rsidR="00842165">
        <w:t>.</w:t>
      </w:r>
      <w:r w:rsidR="000E72E0" w:rsidRPr="002121A4">
        <w:rPr>
          <w:rStyle w:val="Funotenzeichen"/>
        </w:rPr>
        <w:footnoteReference w:id="325"/>
      </w:r>
      <w:r w:rsidR="000E72E0" w:rsidRPr="002121A4">
        <w:t xml:space="preserve"> </w:t>
      </w:r>
      <w:r w:rsidR="00842165">
        <w:t xml:space="preserve">He </w:t>
      </w:r>
      <w:r w:rsidR="000E72E0" w:rsidRPr="002121A4">
        <w:t>has to submit an offer document to BaFin within four weeks</w:t>
      </w:r>
      <w:r w:rsidR="00753738" w:rsidRPr="002121A4">
        <w:t xml:space="preserve"> and publish the offer document</w:t>
      </w:r>
      <w:r w:rsidR="000C0407">
        <w:t xml:space="preserve"> without undue delay</w:t>
      </w:r>
      <w:r w:rsidR="000E72E0" w:rsidRPr="002121A4">
        <w:t>.</w:t>
      </w:r>
      <w:r w:rsidR="000E72E0" w:rsidRPr="002121A4">
        <w:rPr>
          <w:rStyle w:val="Funotenzeichen"/>
        </w:rPr>
        <w:footnoteReference w:id="326"/>
      </w:r>
      <w:r w:rsidR="00753738" w:rsidRPr="002121A4">
        <w:t xml:space="preserve"> </w:t>
      </w:r>
    </w:p>
    <w:p w14:paraId="27068400" w14:textId="77777777" w:rsidR="00A763FF" w:rsidRPr="002121A4" w:rsidRDefault="00A763FF" w:rsidP="00AB42AA">
      <w:pPr>
        <w:pStyle w:val="Case"/>
        <w:numPr>
          <w:ilvl w:val="0"/>
          <w:numId w:val="14"/>
        </w:numPr>
        <w:ind w:left="567" w:firstLine="0"/>
      </w:pPr>
      <w:bookmarkStart w:id="166" w:name="_Ref163124397"/>
      <w:r w:rsidRPr="002121A4">
        <w:t xml:space="preserve">M holds 2.3% of the shares of Y AG, a company listed on the General Standard of the Frankfurt Stock Exchange. He intends to increase his stake in the near future </w:t>
      </w:r>
      <w:r w:rsidRPr="002121A4">
        <w:rPr>
          <w:szCs w:val="23"/>
        </w:rPr>
        <w:t>through</w:t>
      </w:r>
      <w:r w:rsidRPr="002121A4">
        <w:t xml:space="preserve"> </w:t>
      </w:r>
      <w:r w:rsidRPr="002121A4">
        <w:rPr>
          <w:szCs w:val="23"/>
        </w:rPr>
        <w:t>acquisitions</w:t>
      </w:r>
      <w:r w:rsidRPr="002121A4">
        <w:t xml:space="preserve"> from </w:t>
      </w:r>
      <w:r w:rsidRPr="002121A4">
        <w:rPr>
          <w:szCs w:val="23"/>
        </w:rPr>
        <w:t>other</w:t>
      </w:r>
      <w:r w:rsidRPr="002121A4">
        <w:t xml:space="preserve"> major </w:t>
      </w:r>
      <w:r w:rsidRPr="002121A4">
        <w:rPr>
          <w:szCs w:val="23"/>
        </w:rPr>
        <w:t>shareholders</w:t>
      </w:r>
      <w:r w:rsidRPr="002121A4">
        <w:t>, in a first step to 15%, and later to 35%. a) What are the capital markets obligations resulting from the intended transactions? What are the consequences of non-</w:t>
      </w:r>
      <w:r w:rsidRPr="002121A4">
        <w:rPr>
          <w:szCs w:val="23"/>
        </w:rPr>
        <w:t>compliance</w:t>
      </w:r>
      <w:r w:rsidRPr="002121A4">
        <w:t xml:space="preserve"> with these obligations? b) Does your assessment change if M does not acquire the shares himself, but rather, through A GmbH, a company in which he holds 75% of the shares? (Paper</w:t>
      </w:r>
      <w:r w:rsidRPr="002121A4">
        <w:rPr>
          <w:szCs w:val="23"/>
        </w:rPr>
        <w:t xml:space="preserve"> </w:t>
      </w:r>
      <w:r w:rsidRPr="002121A4">
        <w:t>2019_2 #5)</w:t>
      </w:r>
      <w:bookmarkEnd w:id="166"/>
    </w:p>
    <w:p w14:paraId="4002AB26" w14:textId="2B84F0A3" w:rsidR="00A763FF" w:rsidRPr="002121A4" w:rsidRDefault="00A763FF" w:rsidP="00A763FF">
      <w:pPr>
        <w:pStyle w:val="Case"/>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lastRenderedPageBreak/>
        <w:br/>
      </w:r>
    </w:p>
    <w:p w14:paraId="7E0E1FCD" w14:textId="0FBFEB33" w:rsidR="004E3B1F" w:rsidRPr="002121A4" w:rsidRDefault="00753738" w:rsidP="00D24E13">
      <w:pPr>
        <w:pStyle w:val="Standardwithparanumbering"/>
        <w:rPr>
          <w:i/>
        </w:rPr>
      </w:pPr>
      <w:r w:rsidRPr="002121A4">
        <w:t xml:space="preserve">An exemption of immense practical importance applies where control is acquired </w:t>
      </w:r>
      <w:r w:rsidR="00C45A86">
        <w:t>“</w:t>
      </w:r>
      <w:r w:rsidRPr="002121A4">
        <w:t>on the basis</w:t>
      </w:r>
      <w:r w:rsidR="00C45A86">
        <w:t>”</w:t>
      </w:r>
      <w:r w:rsidRPr="002121A4">
        <w:t xml:space="preserve"> of a </w:t>
      </w:r>
      <w:r w:rsidR="00C45A86">
        <w:t xml:space="preserve">voluntary </w:t>
      </w:r>
      <w:r w:rsidRPr="002121A4">
        <w:t>takeover bid: in such a case, there is no obligation for the bidder to make a mandatory bid.</w:t>
      </w:r>
      <w:r w:rsidR="008E296F" w:rsidRPr="002121A4">
        <w:rPr>
          <w:rStyle w:val="Funotenzeichen"/>
        </w:rPr>
        <w:footnoteReference w:id="327"/>
      </w:r>
    </w:p>
    <w:p w14:paraId="12430390" w14:textId="10D0F361" w:rsidR="00753738" w:rsidRPr="002121A4" w:rsidRDefault="004E3B1F" w:rsidP="00AB42AA">
      <w:pPr>
        <w:pStyle w:val="Case"/>
        <w:numPr>
          <w:ilvl w:val="0"/>
          <w:numId w:val="14"/>
        </w:numPr>
        <w:ind w:left="567" w:firstLine="0"/>
        <w:rPr>
          <w:i/>
        </w:rPr>
      </w:pPr>
      <w:bookmarkStart w:id="167" w:name="_Ref163124404"/>
      <w:r w:rsidRPr="002121A4">
        <w:rPr>
          <w:szCs w:val="23"/>
        </w:rPr>
        <w:t xml:space="preserve">B enters into an agreement with A to acquire A’s 30% ABIT participation. Under the agreement, actual transfer of the shares to B is deferred to a later moment. At the same time, B also makes a voluntary takeover bid for ABIT through which B acquires </w:t>
      </w:r>
      <w:r w:rsidRPr="005152F4">
        <w:t>10</w:t>
      </w:r>
      <w:r w:rsidRPr="002121A4">
        <w:rPr>
          <w:szCs w:val="23"/>
        </w:rPr>
        <w:t xml:space="preserve">% in ABIT. After the end of the offer </w:t>
      </w:r>
      <w:r w:rsidRPr="002121A4">
        <w:t>period</w:t>
      </w:r>
      <w:r w:rsidRPr="002121A4">
        <w:rPr>
          <w:szCs w:val="23"/>
        </w:rPr>
        <w:t>, A transfers its 30% ABIT participation to B as previously agreed. At the next shareholder meeting of ABIT, a shareholder takes the view that B’s acquisition of the 30% stake in ABIT requires B to make a takeover bid, and that, having failed to do so, B’s voting rights are suspended. (OLG Düsseldorf, 11 August 2006 – I-15 W 110/05, ZIP 2007, 380)</w:t>
      </w:r>
      <w:bookmarkEnd w:id="167"/>
      <w:r w:rsidR="002E0833" w:rsidRPr="002121A4">
        <w:t xml:space="preserve"> </w:t>
      </w:r>
    </w:p>
    <w:p w14:paraId="3B15818B" w14:textId="6430391D" w:rsidR="00577F87" w:rsidRPr="002121A4" w:rsidRDefault="00577F87" w:rsidP="00532D8A">
      <w:pPr>
        <w:pStyle w:val="Case"/>
        <w:rPr>
          <w:i/>
        </w:rPr>
      </w:pPr>
      <w:r w:rsidRPr="002121A4">
        <w:rPr>
          <w:b/>
          <w:szCs w:val="23"/>
        </w:rPr>
        <w:t>Notes</w:t>
      </w:r>
      <w:r w:rsidRPr="002121A4">
        <w:rPr>
          <w:b/>
        </w:rPr>
        <w:t>.</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1DDFD04F" w14:textId="470D51B9" w:rsidR="00753738" w:rsidRPr="002121A4" w:rsidRDefault="009F1793" w:rsidP="00D24E13">
      <w:pPr>
        <w:pStyle w:val="Standardwithparanumbering"/>
        <w:rPr>
          <w:i/>
        </w:rPr>
      </w:pPr>
      <w:r w:rsidRPr="002121A4">
        <w:t>In certain cases, BaFin can exempt a shareholder from counting certain shares towards the position determining control, e.g., where shares are inherited or acquired through restructuring of a group of companies.</w:t>
      </w:r>
      <w:r w:rsidRPr="002121A4">
        <w:rPr>
          <w:rStyle w:val="Funotenzeichen"/>
        </w:rPr>
        <w:footnoteReference w:id="328"/>
      </w:r>
      <w:r w:rsidRPr="002121A4">
        <w:t xml:space="preserve"> In addition, BaFin can exempt a shareholder (on application in writing) from the obligations to announce the acquisition of control and to submit an offer document where the circumstances of the acquisition, taking into account the interests of the applicant and the other shareholders of the target</w:t>
      </w:r>
      <w:r w:rsidR="000A18EC" w:rsidRPr="002121A4">
        <w:t>,</w:t>
      </w:r>
      <w:r w:rsidRPr="002121A4">
        <w:t xml:space="preserve"> justify this.</w:t>
      </w:r>
      <w:r w:rsidRPr="002121A4">
        <w:rPr>
          <w:rStyle w:val="Funotenzeichen"/>
        </w:rPr>
        <w:footnoteReference w:id="329"/>
      </w:r>
      <w:r w:rsidR="00A234F0" w:rsidRPr="002121A4">
        <w:t xml:space="preserve"> </w:t>
      </w:r>
    </w:p>
    <w:p w14:paraId="3F44D4CA" w14:textId="1635CE75" w:rsidR="009F1793" w:rsidRPr="002121A4" w:rsidRDefault="000A18EC" w:rsidP="00D24E13">
      <w:pPr>
        <w:pStyle w:val="Standardwithparanumbering"/>
        <w:rPr>
          <w:i/>
        </w:rPr>
      </w:pPr>
      <w:r w:rsidRPr="002121A4">
        <w:t>In case of mandatory bids, t</w:t>
      </w:r>
      <w:r w:rsidR="00173572" w:rsidRPr="002121A4">
        <w:t xml:space="preserve">he provisions of sections 3 and 4 (general rules and rules for takeover bids) apply </w:t>
      </w:r>
      <w:r w:rsidR="00173572" w:rsidRPr="002121A4">
        <w:rPr>
          <w:i/>
        </w:rPr>
        <w:t>mutatis mutandis</w:t>
      </w:r>
      <w:r w:rsidR="00173572" w:rsidRPr="002121A4">
        <w:t>.</w:t>
      </w:r>
      <w:r w:rsidR="00173572" w:rsidRPr="002121A4">
        <w:rPr>
          <w:rStyle w:val="Funotenzeichen"/>
        </w:rPr>
        <w:footnoteReference w:id="330"/>
      </w:r>
    </w:p>
    <w:p w14:paraId="03EDBD27" w14:textId="0373CEF8" w:rsidR="008479AE" w:rsidRPr="002121A4" w:rsidRDefault="008479AE" w:rsidP="008479AE">
      <w:pPr>
        <w:pStyle w:val="berschrift3"/>
        <w:rPr>
          <w:lang w:val="en-GB"/>
        </w:rPr>
      </w:pPr>
      <w:r w:rsidRPr="002121A4">
        <w:rPr>
          <w:lang w:val="en-GB"/>
        </w:rPr>
        <w:t xml:space="preserve">Squeeze-out and </w:t>
      </w:r>
      <w:r w:rsidR="0017778B" w:rsidRPr="002121A4">
        <w:rPr>
          <w:lang w:val="en-GB"/>
        </w:rPr>
        <w:t>sell</w:t>
      </w:r>
      <w:r w:rsidRPr="002121A4">
        <w:rPr>
          <w:lang w:val="en-GB"/>
        </w:rPr>
        <w:t>-out</w:t>
      </w:r>
    </w:p>
    <w:p w14:paraId="0DEBD00E" w14:textId="75294BDC" w:rsidR="004049B6" w:rsidRPr="002121A4" w:rsidRDefault="0017778B" w:rsidP="00D24E13">
      <w:pPr>
        <w:pStyle w:val="Standardwithparanumbering"/>
      </w:pPr>
      <w:r w:rsidRPr="002121A4">
        <w:t xml:space="preserve">TBD rules on squeeze-out and sell-out are implemented in section 5a </w:t>
      </w:r>
      <w:proofErr w:type="spellStart"/>
      <w:r w:rsidRPr="002121A4">
        <w:t>WpÜG</w:t>
      </w:r>
      <w:proofErr w:type="spellEnd"/>
      <w:r w:rsidRPr="002121A4">
        <w:t xml:space="preserve"> (§§ 39a–39c </w:t>
      </w:r>
      <w:proofErr w:type="spellStart"/>
      <w:r w:rsidRPr="002121A4">
        <w:t>WpÜG</w:t>
      </w:r>
      <w:proofErr w:type="spellEnd"/>
      <w:r w:rsidRPr="002121A4">
        <w:t xml:space="preserve">). </w:t>
      </w:r>
      <w:r w:rsidR="006A3798" w:rsidRPr="002121A4">
        <w:t>Following a takeover offer or a mandatory bid, a bidder owning at least 95% of the capital with voting rights can apply to have all other outstanding shares with voting rights transferred to him</w:t>
      </w:r>
      <w:r w:rsidR="00847275" w:rsidRPr="002121A4">
        <w:t xml:space="preserve"> against adequate </w:t>
      </w:r>
      <w:r w:rsidR="00E96BB4" w:rsidRPr="002121A4">
        <w:t>compensation</w:t>
      </w:r>
      <w:r w:rsidR="006A3798" w:rsidRPr="002121A4">
        <w:t xml:space="preserve">, and this applies </w:t>
      </w:r>
      <w:r w:rsidR="006A3798" w:rsidRPr="002121A4">
        <w:rPr>
          <w:i/>
        </w:rPr>
        <w:t>mutatis mutandis</w:t>
      </w:r>
      <w:r w:rsidR="006A3798" w:rsidRPr="002121A4">
        <w:t xml:space="preserve"> to non-voting preference shares where the bidder owns 95% of the total capital issued (§ 39a(1) </w:t>
      </w:r>
      <w:proofErr w:type="spellStart"/>
      <w:r w:rsidR="006A3798" w:rsidRPr="002121A4">
        <w:t>WpÜG</w:t>
      </w:r>
      <w:proofErr w:type="spellEnd"/>
      <w:r w:rsidR="006A3798" w:rsidRPr="002121A4">
        <w:t xml:space="preserve">). The type of compensation corresponds to that offered in the bid, and always has to include an option for cash compensation. If the bidder acquired at least 90% of the shares </w:t>
      </w:r>
      <w:r w:rsidR="00847275" w:rsidRPr="002121A4">
        <w:t xml:space="preserve">on the basis of </w:t>
      </w:r>
      <w:r w:rsidR="006A3798" w:rsidRPr="002121A4">
        <w:t xml:space="preserve">the offer, the </w:t>
      </w:r>
      <w:r w:rsidR="00847275" w:rsidRPr="002121A4">
        <w:t xml:space="preserve">offer price </w:t>
      </w:r>
      <w:r w:rsidR="006A3798" w:rsidRPr="002121A4">
        <w:t xml:space="preserve">is presumed to be </w:t>
      </w:r>
      <w:r w:rsidR="00847275" w:rsidRPr="002121A4">
        <w:t>adequate compensation for the purposes of the squeeze-out</w:t>
      </w:r>
      <w:r w:rsidR="006A3798" w:rsidRPr="002121A4">
        <w:t>.</w:t>
      </w:r>
      <w:r w:rsidR="00847275" w:rsidRPr="002121A4">
        <w:rPr>
          <w:rStyle w:val="Funotenzeichen"/>
        </w:rPr>
        <w:footnoteReference w:id="331"/>
      </w:r>
    </w:p>
    <w:p w14:paraId="391174D4" w14:textId="2883E7D6" w:rsidR="006A3798" w:rsidRPr="002121A4" w:rsidRDefault="006A3798" w:rsidP="00D24E13">
      <w:pPr>
        <w:pStyle w:val="Standardwithparanumbering"/>
      </w:pPr>
      <w:r w:rsidRPr="002121A4">
        <w:t>Where a bidder can apply for squeeze-out, the minority shareholders have the option to sell their shares within three months following the end of the acceptance period</w:t>
      </w:r>
      <w:r w:rsidR="00ED6619" w:rsidRPr="002121A4">
        <w:t xml:space="preserve"> under the terms of the </w:t>
      </w:r>
      <w:r w:rsidR="00ED6619" w:rsidRPr="002121A4">
        <w:lastRenderedPageBreak/>
        <w:t>offer.</w:t>
      </w:r>
      <w:r w:rsidR="00240F07" w:rsidRPr="002121A4">
        <w:rPr>
          <w:rStyle w:val="Funotenzeichen"/>
        </w:rPr>
        <w:footnoteReference w:id="332"/>
      </w:r>
      <w:r w:rsidR="00ED6619" w:rsidRPr="002121A4">
        <w:t xml:space="preserve"> Where the bidder does not comply with the publicity requirements under § 23</w:t>
      </w:r>
      <w:r w:rsidR="00240F07" w:rsidRPr="002121A4">
        <w:t xml:space="preserve"> </w:t>
      </w:r>
      <w:proofErr w:type="spellStart"/>
      <w:r w:rsidR="00240F07" w:rsidRPr="002121A4">
        <w:t>WpÜG</w:t>
      </w:r>
      <w:proofErr w:type="spellEnd"/>
      <w:r w:rsidR="00ED6619" w:rsidRPr="002121A4">
        <w:t>, the three-months period only starts once these are fulfilled.</w:t>
      </w:r>
    </w:p>
    <w:p w14:paraId="4F82E967" w14:textId="3BAEF93B" w:rsidR="00E51CCF" w:rsidRPr="002121A4" w:rsidRDefault="00E51CCF" w:rsidP="000F4342">
      <w:pPr>
        <w:pStyle w:val="berschrift3"/>
        <w:rPr>
          <w:lang w:val="en-GB"/>
        </w:rPr>
      </w:pPr>
      <w:r w:rsidRPr="002121A4">
        <w:rPr>
          <w:lang w:val="en-GB"/>
        </w:rPr>
        <w:t>Enforcement</w:t>
      </w:r>
    </w:p>
    <w:p w14:paraId="41F0C1E9" w14:textId="496714F2" w:rsidR="00E05DB0" w:rsidRPr="002121A4" w:rsidRDefault="004208C1" w:rsidP="000E1E85">
      <w:pPr>
        <w:pStyle w:val="Standardwithparanumbering"/>
        <w:rPr>
          <w:i/>
        </w:rPr>
      </w:pPr>
      <w:r w:rsidRPr="002121A4">
        <w:t>Public enforcement</w:t>
      </w:r>
      <w:r w:rsidR="00E577B8" w:rsidRPr="002121A4">
        <w:t xml:space="preserve"> takes place primarily through review of the offer document by BaFin</w:t>
      </w:r>
      <w:r w:rsidR="00E7335F" w:rsidRPr="002121A4">
        <w:t>:</w:t>
      </w:r>
      <w:r w:rsidR="00E577B8" w:rsidRPr="002121A4">
        <w:t xml:space="preserve"> Pursuant to § 15 </w:t>
      </w:r>
      <w:proofErr w:type="spellStart"/>
      <w:r w:rsidR="00E577B8" w:rsidRPr="002121A4">
        <w:t>WpÜG</w:t>
      </w:r>
      <w:proofErr w:type="spellEnd"/>
      <w:r w:rsidR="00E577B8" w:rsidRPr="002121A4">
        <w:t xml:space="preserve">, BaFin will prohibit an offer where the offer document is </w:t>
      </w:r>
      <w:r w:rsidR="00E96BB4" w:rsidRPr="002121A4">
        <w:t>incomplete</w:t>
      </w:r>
      <w:r w:rsidR="00E577B8" w:rsidRPr="002121A4">
        <w:t xml:space="preserve">, where the </w:t>
      </w:r>
      <w:r w:rsidR="00E96BB4" w:rsidRPr="002121A4">
        <w:t>information</w:t>
      </w:r>
      <w:r w:rsidR="00E577B8" w:rsidRPr="002121A4">
        <w:t xml:space="preserve"> in the offer document is in breach of the </w:t>
      </w:r>
      <w:proofErr w:type="spellStart"/>
      <w:r w:rsidR="00E577B8" w:rsidRPr="002121A4">
        <w:t>WpÜG</w:t>
      </w:r>
      <w:proofErr w:type="spellEnd"/>
      <w:r w:rsidR="00E577B8" w:rsidRPr="002121A4">
        <w:t xml:space="preserve"> or statutory instruments, where a bidder does not submit or does not publish an offer document as required, or where an offer is in breach of the cool-down period under § 26 </w:t>
      </w:r>
      <w:proofErr w:type="spellStart"/>
      <w:r w:rsidR="00E577B8" w:rsidRPr="002121A4">
        <w:t>WpÜG</w:t>
      </w:r>
      <w:proofErr w:type="spellEnd"/>
      <w:r w:rsidR="00E577B8" w:rsidRPr="002121A4">
        <w:t xml:space="preserve">. In addition, failure by a bidder to comply with the essential requirements under the </w:t>
      </w:r>
      <w:proofErr w:type="spellStart"/>
      <w:r w:rsidR="00E577B8" w:rsidRPr="002121A4">
        <w:t>WpÜG</w:t>
      </w:r>
      <w:proofErr w:type="spellEnd"/>
      <w:r w:rsidR="00E577B8" w:rsidRPr="002121A4">
        <w:t xml:space="preserve"> constitute</w:t>
      </w:r>
      <w:r w:rsidR="00CC69FB" w:rsidRPr="002121A4">
        <w:t>s</w:t>
      </w:r>
      <w:r w:rsidR="00E577B8" w:rsidRPr="002121A4">
        <w:t xml:space="preserve"> an </w:t>
      </w:r>
      <w:r w:rsidR="00CC69FB" w:rsidRPr="002121A4">
        <w:t xml:space="preserve">administrative </w:t>
      </w:r>
      <w:r w:rsidR="00E577B8" w:rsidRPr="002121A4">
        <w:t xml:space="preserve">offence under § 60 </w:t>
      </w:r>
      <w:proofErr w:type="spellStart"/>
      <w:r w:rsidR="00E577B8" w:rsidRPr="002121A4">
        <w:t>WpÜG</w:t>
      </w:r>
      <w:proofErr w:type="spellEnd"/>
      <w:r w:rsidR="00E577B8" w:rsidRPr="002121A4">
        <w:t xml:space="preserve"> which can be subject to pecuniary sanctions (§ 60(3), (4) </w:t>
      </w:r>
      <w:proofErr w:type="spellStart"/>
      <w:r w:rsidR="00E577B8" w:rsidRPr="002121A4">
        <w:t>WpÜG</w:t>
      </w:r>
      <w:proofErr w:type="spellEnd"/>
      <w:r w:rsidR="00E577B8" w:rsidRPr="002121A4">
        <w:t>).</w:t>
      </w:r>
      <w:r w:rsidR="00B461BA" w:rsidRPr="002121A4">
        <w:t xml:space="preserve"> </w:t>
      </w:r>
    </w:p>
    <w:p w14:paraId="6EA5D369" w14:textId="77777777" w:rsidR="00CC69FB" w:rsidRPr="002121A4" w:rsidRDefault="00A0597D" w:rsidP="00E05DB0">
      <w:pPr>
        <w:pStyle w:val="Standardwithparanumbering"/>
        <w:rPr>
          <w:i/>
        </w:rPr>
      </w:pPr>
      <w:r w:rsidRPr="002121A4">
        <w:t>As regards p</w:t>
      </w:r>
      <w:r w:rsidR="004208C1" w:rsidRPr="002121A4">
        <w:t>rivate enforcement</w:t>
      </w:r>
      <w:r w:rsidRPr="002121A4">
        <w:t>,</w:t>
      </w:r>
      <w:r w:rsidR="002A25C5" w:rsidRPr="002121A4">
        <w:t xml:space="preserve"> § 12 </w:t>
      </w:r>
      <w:proofErr w:type="spellStart"/>
      <w:r w:rsidR="002A25C5" w:rsidRPr="002121A4">
        <w:t>WpÜG</w:t>
      </w:r>
      <w:proofErr w:type="spellEnd"/>
      <w:r w:rsidR="002A25C5" w:rsidRPr="002121A4">
        <w:t xml:space="preserve"> attaches liability to incorrect or incomplete information in the offer document</w:t>
      </w:r>
      <w:r w:rsidR="007B4AD9" w:rsidRPr="002121A4">
        <w:t>: shareholders accepting the offer can claim damages resulting from the acceptance of the offer and the delivery of the shares from the person responsible for the offer document, and any person initiating the preparation of the offer document.</w:t>
      </w:r>
      <w:r w:rsidRPr="002121A4">
        <w:t xml:space="preserve"> </w:t>
      </w:r>
    </w:p>
    <w:p w14:paraId="0AEF2220" w14:textId="77777777" w:rsidR="00F527DA" w:rsidRPr="00F527DA" w:rsidRDefault="00A068AF" w:rsidP="00E05DB0">
      <w:pPr>
        <w:pStyle w:val="Standardwithparanumbering"/>
        <w:rPr>
          <w:i/>
        </w:rPr>
      </w:pPr>
      <w:r w:rsidRPr="002121A4">
        <w:t xml:space="preserve">In addition, </w:t>
      </w:r>
      <w:r w:rsidR="00A0597D" w:rsidRPr="002121A4">
        <w:t xml:space="preserve">§ 59 </w:t>
      </w:r>
      <w:proofErr w:type="spellStart"/>
      <w:r w:rsidR="00A0597D" w:rsidRPr="002121A4">
        <w:t>WpÜG</w:t>
      </w:r>
      <w:proofErr w:type="spellEnd"/>
      <w:r w:rsidR="00A0597D" w:rsidRPr="002121A4">
        <w:t xml:space="preserve"> suspends rights attached to shares for a period during which a bidder does not comply with the mandatory bid procedure under § 35 </w:t>
      </w:r>
      <w:proofErr w:type="spellStart"/>
      <w:r w:rsidR="00A0597D" w:rsidRPr="002121A4">
        <w:t>WpÜG</w:t>
      </w:r>
      <w:proofErr w:type="spellEnd"/>
      <w:r w:rsidR="009D7D85">
        <w:t>. A</w:t>
      </w:r>
      <w:r w:rsidR="00CC69FB" w:rsidRPr="002121A4">
        <w:t>s a consequence, the shareholder controlling the company is not entitled to dividends, and also prevented from participating and voting at shareholder assemblies</w:t>
      </w:r>
      <w:r w:rsidR="00A0597D" w:rsidRPr="002121A4">
        <w:t>.</w:t>
      </w:r>
      <w:r w:rsidR="000A18EC" w:rsidRPr="002121A4">
        <w:t xml:space="preserve"> </w:t>
      </w:r>
      <w:r w:rsidR="004A6E96" w:rsidRPr="002121A4">
        <w:t>In addition, a</w:t>
      </w:r>
      <w:r w:rsidR="000A18EC" w:rsidRPr="002121A4">
        <w:t xml:space="preserve"> shareholder who acquires control but fails to announce this, fails to make an offer, or to whom the publication of the offer document is prohibited, owes interest on the equitable compensation of 5 percentage points above the base interest rate.</w:t>
      </w:r>
      <w:r w:rsidR="000A18EC" w:rsidRPr="002121A4">
        <w:rPr>
          <w:rStyle w:val="Funotenzeichen"/>
        </w:rPr>
        <w:footnoteReference w:id="333"/>
      </w:r>
      <w:r w:rsidR="000A18EC" w:rsidRPr="002121A4">
        <w:t xml:space="preserve"> </w:t>
      </w:r>
    </w:p>
    <w:p w14:paraId="4506B39B" w14:textId="7E84A095" w:rsidR="00B461BA" w:rsidRPr="002121A4" w:rsidRDefault="000A18EC" w:rsidP="00E05DB0">
      <w:pPr>
        <w:pStyle w:val="Standardwithparanumbering"/>
        <w:rPr>
          <w:i/>
        </w:rPr>
      </w:pPr>
      <w:r w:rsidRPr="002121A4">
        <w:t xml:space="preserve">Other than that, the </w:t>
      </w:r>
      <w:proofErr w:type="spellStart"/>
      <w:r w:rsidRPr="002121A4">
        <w:t>WpÜG</w:t>
      </w:r>
      <w:proofErr w:type="spellEnd"/>
      <w:r w:rsidRPr="002121A4">
        <w:t xml:space="preserve"> does not contain rules on private enforcement.</w:t>
      </w:r>
      <w:r w:rsidR="0033589F" w:rsidRPr="002121A4">
        <w:t xml:space="preserve"> </w:t>
      </w:r>
      <w:r w:rsidR="00B461BA" w:rsidRPr="002121A4">
        <w:t xml:space="preserve">A particular debate </w:t>
      </w:r>
      <w:r w:rsidRPr="002121A4">
        <w:t xml:space="preserve">in this context </w:t>
      </w:r>
      <w:r w:rsidR="00B461BA" w:rsidRPr="002121A4">
        <w:t>relates to the rights of shareholder of a target company where an offer does not comply with equitable price rules</w:t>
      </w:r>
      <w:r w:rsidR="00B30D56" w:rsidRPr="002121A4">
        <w:t xml:space="preserve"> as described in section </w:t>
      </w:r>
      <w:r w:rsidR="00B30D56" w:rsidRPr="002121A4">
        <w:fldChar w:fldCharType="begin"/>
      </w:r>
      <w:r w:rsidR="00B30D56" w:rsidRPr="002121A4">
        <w:instrText xml:space="preserve"> REF _Ref129776867 \r \h </w:instrText>
      </w:r>
      <w:r w:rsidR="00B30D56" w:rsidRPr="002121A4">
        <w:fldChar w:fldCharType="separate"/>
      </w:r>
      <w:r w:rsidR="00D56145">
        <w:t>6.3.3.2</w:t>
      </w:r>
      <w:r w:rsidR="00B30D56" w:rsidRPr="002121A4">
        <w:fldChar w:fldCharType="end"/>
      </w:r>
      <w:r w:rsidR="00B30D56" w:rsidRPr="002121A4">
        <w:t xml:space="preserve"> on p. </w:t>
      </w:r>
      <w:r w:rsidR="00B30D56" w:rsidRPr="002121A4">
        <w:fldChar w:fldCharType="begin"/>
      </w:r>
      <w:r w:rsidR="00B30D56" w:rsidRPr="002121A4">
        <w:instrText xml:space="preserve"> PAGEREF _Ref129776867 \h </w:instrText>
      </w:r>
      <w:r w:rsidR="00B30D56" w:rsidRPr="002121A4">
        <w:fldChar w:fldCharType="separate"/>
      </w:r>
      <w:r w:rsidR="00D56145">
        <w:rPr>
          <w:noProof/>
        </w:rPr>
        <w:t>70</w:t>
      </w:r>
      <w:r w:rsidR="00B30D56" w:rsidRPr="002121A4">
        <w:fldChar w:fldCharType="end"/>
      </w:r>
      <w:r w:rsidR="00B30D56" w:rsidRPr="002121A4">
        <w:t xml:space="preserve"> above</w:t>
      </w:r>
      <w:r w:rsidR="00861F20">
        <w:t>:</w:t>
      </w:r>
      <w:r w:rsidR="00B461BA" w:rsidRPr="002121A4">
        <w:t xml:space="preserve"> While it is universally accepted that shareholders accepting an offer have an actionable claim for payment of the difference between the compensation </w:t>
      </w:r>
      <w:r w:rsidR="00E96BB4" w:rsidRPr="002121A4">
        <w:t>offered</w:t>
      </w:r>
      <w:r w:rsidR="00B461BA" w:rsidRPr="002121A4">
        <w:t xml:space="preserve"> and the compensation due under equitable price rules</w:t>
      </w:r>
      <w:r w:rsidR="008A43EA" w:rsidRPr="002121A4">
        <w:t xml:space="preserve"> (</w:t>
      </w:r>
      <w:r w:rsidR="008A43EA" w:rsidRPr="002121A4">
        <w:rPr>
          <w:rFonts w:cs="Times New Roman"/>
        </w:rPr>
        <w:t>→</w:t>
      </w:r>
      <w:r w:rsidR="008A43EA" w:rsidRPr="002121A4">
        <w:t xml:space="preserve"> see </w:t>
      </w:r>
      <w:r w:rsidR="008A43EA" w:rsidRPr="002121A4">
        <w:fldChar w:fldCharType="begin"/>
      </w:r>
      <w:r w:rsidR="008A43EA" w:rsidRPr="002121A4">
        <w:instrText xml:space="preserve"> REF _Ref132308279 \r \h </w:instrText>
      </w:r>
      <w:r w:rsidR="008A43EA" w:rsidRPr="002121A4">
        <w:fldChar w:fldCharType="separate"/>
      </w:r>
      <w:r w:rsidR="00D56145">
        <w:t>Case Study 46</w:t>
      </w:r>
      <w:r w:rsidR="008A43EA" w:rsidRPr="002121A4">
        <w:fldChar w:fldCharType="end"/>
      </w:r>
      <w:r w:rsidR="008A43EA" w:rsidRPr="002121A4">
        <w:t>)</w:t>
      </w:r>
      <w:r w:rsidR="00B461BA" w:rsidRPr="002121A4">
        <w:t xml:space="preserve">, </w:t>
      </w:r>
      <w:r w:rsidR="00E05DB0" w:rsidRPr="002121A4">
        <w:t>this is less clear in case</w:t>
      </w:r>
      <w:r w:rsidR="004A6E96" w:rsidRPr="002121A4">
        <w:t>s</w:t>
      </w:r>
      <w:r w:rsidR="00E05DB0" w:rsidRPr="002121A4">
        <w:t xml:space="preserve"> where </w:t>
      </w:r>
      <w:r w:rsidR="004A6E96" w:rsidRPr="002121A4">
        <w:t>no bid is made although there is a legal obligation to do so</w:t>
      </w:r>
      <w:r w:rsidR="00E05DB0" w:rsidRPr="002121A4">
        <w:t>.</w:t>
      </w:r>
      <w:r w:rsidR="00BE23AB" w:rsidRPr="002121A4">
        <w:t xml:space="preserve"> Similar issues arise with regard to shareholders that did not accept an offer within the acceptance period</w:t>
      </w:r>
      <w:r w:rsidR="002C1C24">
        <w:t xml:space="preserve"> where the offer did not comply with equitable price rules</w:t>
      </w:r>
      <w:r w:rsidR="00BE23AB" w:rsidRPr="002121A4">
        <w:t>.</w:t>
      </w:r>
    </w:p>
    <w:p w14:paraId="18595F39" w14:textId="0BA5BF5F" w:rsidR="00577F87" w:rsidRPr="002121A4" w:rsidRDefault="00577F87" w:rsidP="00AB42AA">
      <w:pPr>
        <w:pStyle w:val="Case"/>
        <w:numPr>
          <w:ilvl w:val="0"/>
          <w:numId w:val="14"/>
        </w:numPr>
        <w:ind w:left="567" w:firstLine="0"/>
      </w:pPr>
      <w:bookmarkStart w:id="168" w:name="_Ref163124412"/>
      <w:r w:rsidRPr="002121A4">
        <w:t xml:space="preserve">S is a shareholder in BKN, a German listed company. S believes that B, through acting in concert with others, acquired control </w:t>
      </w:r>
      <w:r w:rsidRPr="002121A4">
        <w:rPr>
          <w:szCs w:val="23"/>
        </w:rPr>
        <w:t>over</w:t>
      </w:r>
      <w:r w:rsidRPr="002121A4">
        <w:t xml:space="preserve"> a 30% stake in BKN. However, B does not make a </w:t>
      </w:r>
      <w:r w:rsidRPr="002121A4">
        <w:rPr>
          <w:szCs w:val="23"/>
        </w:rPr>
        <w:t>public</w:t>
      </w:r>
      <w:r w:rsidRPr="002121A4">
        <w:t xml:space="preserve"> takeover bid. Can S claim payment of an “equitable price” from B against delivery of its BKN shares?</w:t>
      </w:r>
      <w:r w:rsidRPr="002121A4">
        <w:rPr>
          <w:b/>
        </w:rPr>
        <w:t xml:space="preserve"> </w:t>
      </w:r>
      <w:r w:rsidRPr="002121A4">
        <w:t xml:space="preserve">(BGH, 11 June 2013 – II ZR 80/12, WM 2013, 1511 – </w:t>
      </w:r>
      <w:r w:rsidRPr="002121A4">
        <w:rPr>
          <w:i/>
        </w:rPr>
        <w:t>BKN</w:t>
      </w:r>
      <w:r w:rsidRPr="002121A4">
        <w:t>)</w:t>
      </w:r>
      <w:bookmarkEnd w:id="168"/>
    </w:p>
    <w:p w14:paraId="70AB58FB" w14:textId="2E369649" w:rsidR="00E05DB0" w:rsidRPr="002121A4" w:rsidRDefault="00E05DB0" w:rsidP="003614E4">
      <w:pPr>
        <w:pStyle w:val="Case"/>
        <w:rPr>
          <w:b/>
        </w:rPr>
      </w:pPr>
      <w:r w:rsidRPr="002121A4">
        <w:rPr>
          <w:b/>
          <w:szCs w:val="23"/>
        </w:rPr>
        <w:t>Notes</w:t>
      </w:r>
      <w:r w:rsidRPr="002121A4">
        <w:rPr>
          <w:b/>
        </w:rPr>
        <w:t>.</w:t>
      </w:r>
      <w:r w:rsidR="00A53B58" w:rsidRPr="002121A4">
        <w:rPr>
          <w:b/>
        </w:rPr>
        <w:t xml:space="preserve"> </w:t>
      </w:r>
      <w:r w:rsidR="00170B05" w:rsidRPr="002121A4">
        <w:rPr>
          <w:b/>
        </w:rPr>
        <w:br/>
      </w:r>
      <w:r w:rsidR="00170B05" w:rsidRPr="002121A4">
        <w:rPr>
          <w:b/>
        </w:rPr>
        <w:br/>
      </w:r>
      <w:r w:rsidR="00170B05" w:rsidRPr="002121A4">
        <w:rPr>
          <w:b/>
        </w:rPr>
        <w:br/>
      </w:r>
      <w:r w:rsidR="00170B05" w:rsidRPr="002121A4">
        <w:rPr>
          <w:b/>
        </w:rPr>
        <w:br/>
      </w:r>
      <w:r w:rsidR="00170B05" w:rsidRPr="002121A4">
        <w:rPr>
          <w:b/>
        </w:rPr>
        <w:br/>
      </w:r>
    </w:p>
    <w:p w14:paraId="50A9ACDC" w14:textId="0966DAFE" w:rsidR="00577F87" w:rsidRPr="002121A4" w:rsidRDefault="00577F87" w:rsidP="00AB42AA">
      <w:pPr>
        <w:pStyle w:val="Case"/>
        <w:numPr>
          <w:ilvl w:val="0"/>
          <w:numId w:val="14"/>
        </w:numPr>
        <w:ind w:left="567" w:firstLine="0"/>
        <w:rPr>
          <w:szCs w:val="23"/>
        </w:rPr>
      </w:pPr>
      <w:bookmarkStart w:id="169" w:name="_Ref141952716"/>
      <w:r w:rsidRPr="002121A4">
        <w:rPr>
          <w:szCs w:val="23"/>
        </w:rPr>
        <w:lastRenderedPageBreak/>
        <w:t xml:space="preserve">Bidder B enters into a share purchase agreement for the purchase of 50% of T shares at a price of €24 per share. T had issued convertible bonds that provided for a conversion right in case of certain events and that had become convertible in January 2014. B acquired 2,000 convertible </w:t>
      </w:r>
      <w:r w:rsidRPr="002121A4">
        <w:t>notes</w:t>
      </w:r>
      <w:r w:rsidRPr="002121A4">
        <w:rPr>
          <w:szCs w:val="23"/>
        </w:rPr>
        <w:t xml:space="preserve"> for a purchase price corresponding to €31 per share to be acquired through conversion of the notes. The share purchase deal was closed on 27 January, and B had the notes converted into T shares on 28 January 2014. B subsequently publishes a takeover </w:t>
      </w:r>
      <w:r w:rsidR="0024402C" w:rsidRPr="002121A4">
        <w:rPr>
          <w:szCs w:val="23"/>
        </w:rPr>
        <w:t xml:space="preserve">offer </w:t>
      </w:r>
      <w:r w:rsidRPr="002121A4">
        <w:rPr>
          <w:szCs w:val="23"/>
        </w:rPr>
        <w:t xml:space="preserve">at a price of €24 per share. S, a minority shareholder, believes the equitable price is €31 per share. Can he claim the balance from B? Does it make a difference whether he accepts the offer or not? (BGH, 7 November 2017 – II ZR 37/16, WM 2018, 18 – </w:t>
      </w:r>
      <w:proofErr w:type="spellStart"/>
      <w:r w:rsidRPr="002121A4">
        <w:rPr>
          <w:i/>
          <w:szCs w:val="23"/>
        </w:rPr>
        <w:t>Celesio</w:t>
      </w:r>
      <w:proofErr w:type="spellEnd"/>
      <w:r w:rsidRPr="002121A4">
        <w:rPr>
          <w:i/>
          <w:szCs w:val="23"/>
        </w:rPr>
        <w:t xml:space="preserve"> I</w:t>
      </w:r>
      <w:r w:rsidRPr="002121A4">
        <w:rPr>
          <w:szCs w:val="23"/>
        </w:rPr>
        <w:t>, and 23 November 2021</w:t>
      </w:r>
      <w:r w:rsidR="00CD275F" w:rsidRPr="002121A4">
        <w:rPr>
          <w:szCs w:val="23"/>
        </w:rPr>
        <w:t xml:space="preserve"> – II ZR 315/19</w:t>
      </w:r>
      <w:r w:rsidRPr="002121A4">
        <w:rPr>
          <w:szCs w:val="23"/>
        </w:rPr>
        <w:t xml:space="preserve">, WM 2022, 16 – </w:t>
      </w:r>
      <w:proofErr w:type="spellStart"/>
      <w:r w:rsidRPr="002121A4">
        <w:rPr>
          <w:i/>
          <w:szCs w:val="23"/>
        </w:rPr>
        <w:t>Celesio</w:t>
      </w:r>
      <w:proofErr w:type="spellEnd"/>
      <w:r w:rsidRPr="002121A4">
        <w:rPr>
          <w:i/>
          <w:szCs w:val="23"/>
        </w:rPr>
        <w:t xml:space="preserve"> II</w:t>
      </w:r>
      <w:r w:rsidRPr="002121A4">
        <w:rPr>
          <w:szCs w:val="23"/>
        </w:rPr>
        <w:t>)</w:t>
      </w:r>
      <w:bookmarkEnd w:id="169"/>
    </w:p>
    <w:p w14:paraId="011CD84A" w14:textId="216F4DBA" w:rsidR="00E05DB0" w:rsidRPr="002121A4" w:rsidRDefault="00E05DB0" w:rsidP="003614E4">
      <w:pPr>
        <w:pStyle w:val="Case"/>
        <w:rPr>
          <w:b/>
          <w:szCs w:val="23"/>
        </w:rPr>
      </w:pPr>
      <w:r w:rsidRPr="002121A4">
        <w:rPr>
          <w:b/>
          <w:szCs w:val="23"/>
        </w:rPr>
        <w:t>Notes.</w:t>
      </w:r>
      <w:r w:rsidR="00170B05" w:rsidRPr="002121A4">
        <w:rPr>
          <w:b/>
          <w:szCs w:val="23"/>
        </w:rPr>
        <w:br/>
      </w:r>
      <w:r w:rsidR="00170B05" w:rsidRPr="002121A4">
        <w:rPr>
          <w:b/>
          <w:szCs w:val="23"/>
        </w:rPr>
        <w:br/>
      </w:r>
      <w:r w:rsidR="00170B05" w:rsidRPr="002121A4">
        <w:rPr>
          <w:b/>
          <w:szCs w:val="23"/>
        </w:rPr>
        <w:br/>
      </w:r>
      <w:r w:rsidR="00170B05" w:rsidRPr="002121A4">
        <w:rPr>
          <w:b/>
          <w:szCs w:val="23"/>
        </w:rPr>
        <w:br/>
      </w:r>
      <w:r w:rsidR="00170B05" w:rsidRPr="002121A4">
        <w:rPr>
          <w:b/>
          <w:szCs w:val="23"/>
        </w:rPr>
        <w:br/>
      </w:r>
    </w:p>
    <w:p w14:paraId="6C41069B" w14:textId="79CA12B1" w:rsidR="00E51CCF" w:rsidRPr="002121A4" w:rsidRDefault="00E51CCF" w:rsidP="000F4342">
      <w:pPr>
        <w:pStyle w:val="berschrift3"/>
        <w:rPr>
          <w:lang w:val="en-GB"/>
        </w:rPr>
      </w:pPr>
      <w:r w:rsidRPr="002121A4">
        <w:rPr>
          <w:lang w:val="en-GB"/>
        </w:rPr>
        <w:t>Delisting</w:t>
      </w:r>
    </w:p>
    <w:p w14:paraId="583BFFCB" w14:textId="6551F166" w:rsidR="00577F87" w:rsidRPr="002121A4" w:rsidRDefault="004079ED" w:rsidP="007242DB">
      <w:pPr>
        <w:pStyle w:val="Standardwithparanumbering"/>
      </w:pPr>
      <w:bookmarkStart w:id="170" w:name="_Ref129776117"/>
      <w:r w:rsidRPr="002121A4">
        <w:t>There are no specific rules at EU level as regards the “delisting” of shares, i.e., scenarios where an issuer decides to have the admission of shares to trading revoked. Following uncertainty created by diverging case law,</w:t>
      </w:r>
      <w:r w:rsidR="0081022D" w:rsidRPr="002121A4">
        <w:rPr>
          <w:rStyle w:val="Funotenzeichen"/>
        </w:rPr>
        <w:footnoteReference w:id="334"/>
      </w:r>
      <w:r w:rsidRPr="002121A4">
        <w:t xml:space="preserve"> the German legislator chose to implement a specific provision in § 39 </w:t>
      </w:r>
      <w:proofErr w:type="spellStart"/>
      <w:r w:rsidRPr="002121A4">
        <w:t>BörsG</w:t>
      </w:r>
      <w:proofErr w:type="spellEnd"/>
      <w:r w:rsidRPr="002121A4">
        <w:t xml:space="preserve"> affording some protection to shareholders and their legitimate expectations to be in a position to divest through a regulated market</w:t>
      </w:r>
      <w:r w:rsidR="0081022D" w:rsidRPr="002121A4">
        <w:t>:</w:t>
      </w:r>
      <w:r w:rsidRPr="002121A4">
        <w:t xml:space="preserve"> Under § 39(2) </w:t>
      </w:r>
      <w:proofErr w:type="spellStart"/>
      <w:r w:rsidRPr="002121A4">
        <w:t>BörsG</w:t>
      </w:r>
      <w:proofErr w:type="spellEnd"/>
      <w:r w:rsidRPr="002121A4">
        <w:t xml:space="preserve">, the operator of a regulated market may revoke the admission to trading only where the </w:t>
      </w:r>
      <w:r w:rsidR="002D4FBA">
        <w:t xml:space="preserve">delisting </w:t>
      </w:r>
      <w:r w:rsidRPr="002121A4">
        <w:t xml:space="preserve">application is accompanied by an offer under the </w:t>
      </w:r>
      <w:proofErr w:type="spellStart"/>
      <w:r w:rsidRPr="002121A4">
        <w:t>WpÜG</w:t>
      </w:r>
      <w:proofErr w:type="spellEnd"/>
      <w:r w:rsidRPr="002121A4">
        <w:t xml:space="preserve"> with regard to the shares the admission of which is to be revoked.</w:t>
      </w:r>
      <w:bookmarkEnd w:id="170"/>
      <w:r w:rsidR="00080E96" w:rsidRPr="002121A4">
        <w:rPr>
          <w:rStyle w:val="Funotenzeichen"/>
        </w:rPr>
        <w:footnoteReference w:id="335"/>
      </w:r>
      <w:r w:rsidR="00822902" w:rsidRPr="002121A4">
        <w:t xml:space="preserve"> Accordingly, minority shareholders can benefit from an opportunity to divest at equitable price rules as in a normal takeover bid.</w:t>
      </w:r>
      <w:r w:rsidR="001520A2">
        <w:t xml:space="preserve"> In practice, the offer is typically made by the major shareholder, but in exceptional cases, a “</w:t>
      </w:r>
      <w:proofErr w:type="spellStart"/>
      <w:r w:rsidR="001520A2">
        <w:t>self tender</w:t>
      </w:r>
      <w:proofErr w:type="spellEnd"/>
      <w:r w:rsidR="001520A2">
        <w:t xml:space="preserve"> offer” is possible as in </w:t>
      </w:r>
      <w:r w:rsidR="00822902" w:rsidRPr="002121A4">
        <w:fldChar w:fldCharType="begin"/>
      </w:r>
      <w:r w:rsidR="00822902" w:rsidRPr="002121A4">
        <w:instrText xml:space="preserve"> REF _Ref132838330 \r \h </w:instrText>
      </w:r>
      <w:r w:rsidR="00822902" w:rsidRPr="002121A4">
        <w:fldChar w:fldCharType="separate"/>
      </w:r>
      <w:r w:rsidR="00D56145">
        <w:t>Case Study 3</w:t>
      </w:r>
      <w:r w:rsidR="00822902" w:rsidRPr="002121A4">
        <w:fldChar w:fldCharType="end"/>
      </w:r>
      <w:r w:rsidR="000B70BF" w:rsidRPr="002121A4">
        <w:t>,</w:t>
      </w:r>
      <w:r w:rsidR="00822902" w:rsidRPr="002121A4">
        <w:t xml:space="preserve"> page </w:t>
      </w:r>
      <w:r w:rsidR="00822902" w:rsidRPr="002121A4">
        <w:fldChar w:fldCharType="begin"/>
      </w:r>
      <w:r w:rsidR="00822902" w:rsidRPr="002121A4">
        <w:instrText xml:space="preserve"> PAGEREF _Ref132838330 \h </w:instrText>
      </w:r>
      <w:r w:rsidR="00822902" w:rsidRPr="002121A4">
        <w:fldChar w:fldCharType="separate"/>
      </w:r>
      <w:r w:rsidR="00D56145">
        <w:rPr>
          <w:noProof/>
        </w:rPr>
        <w:t>8</w:t>
      </w:r>
      <w:r w:rsidR="00822902" w:rsidRPr="002121A4">
        <w:fldChar w:fldCharType="end"/>
      </w:r>
      <w:r w:rsidR="00822902" w:rsidRPr="002121A4">
        <w:t xml:space="preserve"> above</w:t>
      </w:r>
      <w:r w:rsidR="001520A2">
        <w:t xml:space="preserve"> (on this particular case, see </w:t>
      </w:r>
      <w:proofErr w:type="spellStart"/>
      <w:r w:rsidR="001520A2" w:rsidRPr="001520A2">
        <w:t>Guntermann</w:t>
      </w:r>
      <w:proofErr w:type="spellEnd"/>
      <w:r w:rsidR="001520A2" w:rsidRPr="001520A2">
        <w:t>,</w:t>
      </w:r>
      <w:r w:rsidR="001520A2">
        <w:t xml:space="preserve"> “</w:t>
      </w:r>
      <w:r w:rsidR="001520A2" w:rsidRPr="001520A2">
        <w:t>Self-Tender Offer und Delisting</w:t>
      </w:r>
      <w:r w:rsidR="001520A2">
        <w:t xml:space="preserve">”, (2021) </w:t>
      </w:r>
      <w:r w:rsidR="001520A2" w:rsidRPr="001520A2">
        <w:t>NZG 1621</w:t>
      </w:r>
      <w:r w:rsidR="001520A2">
        <w:t>).</w:t>
      </w:r>
    </w:p>
    <w:p w14:paraId="0B16E1BD" w14:textId="0CE4F8C1" w:rsidR="00E51CCF" w:rsidRPr="002121A4" w:rsidRDefault="00E51CCF" w:rsidP="00A83093">
      <w:pPr>
        <w:pStyle w:val="berschrift2"/>
        <w:rPr>
          <w:lang w:val="en-GB"/>
        </w:rPr>
      </w:pPr>
      <w:bookmarkStart w:id="171" w:name="_Toc194577785"/>
      <w:r w:rsidRPr="002121A4">
        <w:rPr>
          <w:lang w:val="en-GB"/>
        </w:rPr>
        <w:t>Reading assignment</w:t>
      </w:r>
      <w:bookmarkEnd w:id="171"/>
    </w:p>
    <w:p w14:paraId="60C8DC28" w14:textId="7F339668" w:rsidR="00206FB0" w:rsidRPr="00503463" w:rsidRDefault="00E51CCF" w:rsidP="00B10396">
      <w:r w:rsidRPr="002121A4">
        <w:rPr>
          <w:szCs w:val="23"/>
          <w:lang w:val="en-GB"/>
        </w:rPr>
        <w:t xml:space="preserve">Buck-Heeb, </w:t>
      </w:r>
      <w:proofErr w:type="spellStart"/>
      <w:r w:rsidRPr="002121A4">
        <w:rPr>
          <w:i/>
          <w:szCs w:val="23"/>
          <w:lang w:val="en-GB"/>
        </w:rPr>
        <w:t>Kapitalmarktrecht</w:t>
      </w:r>
      <w:proofErr w:type="spellEnd"/>
      <w:r w:rsidRPr="002121A4">
        <w:rPr>
          <w:szCs w:val="23"/>
          <w:lang w:val="en-GB"/>
        </w:rPr>
        <w:t>, §§ 14–16 and § 3.V.2</w:t>
      </w:r>
      <w:r w:rsidR="00CC4709" w:rsidRPr="002121A4">
        <w:rPr>
          <w:szCs w:val="23"/>
          <w:lang w:val="en-GB"/>
        </w:rPr>
        <w:t xml:space="preserve">; Veil, </w:t>
      </w:r>
      <w:r w:rsidR="00CC4709" w:rsidRPr="002121A4">
        <w:rPr>
          <w:i/>
          <w:szCs w:val="23"/>
          <w:lang w:val="en-GB"/>
        </w:rPr>
        <w:t>E</w:t>
      </w:r>
      <w:r w:rsidR="007932BE" w:rsidRPr="002121A4">
        <w:rPr>
          <w:i/>
          <w:szCs w:val="23"/>
          <w:lang w:val="en-GB"/>
        </w:rPr>
        <w:t>uropean</w:t>
      </w:r>
      <w:r w:rsidR="00CC4709" w:rsidRPr="002121A4">
        <w:rPr>
          <w:i/>
          <w:szCs w:val="23"/>
          <w:lang w:val="en-GB"/>
        </w:rPr>
        <w:t xml:space="preserve"> Capital Markets Law</w:t>
      </w:r>
      <w:r w:rsidR="00CC4709" w:rsidRPr="002121A4">
        <w:rPr>
          <w:szCs w:val="23"/>
          <w:lang w:val="en-GB"/>
        </w:rPr>
        <w:t>, §§ 37–40</w:t>
      </w:r>
      <w:r w:rsidR="00D54377" w:rsidRPr="002121A4">
        <w:rPr>
          <w:szCs w:val="23"/>
          <w:lang w:val="en-GB"/>
        </w:rPr>
        <w:t xml:space="preserve">. </w:t>
      </w:r>
      <w:r w:rsidR="00CC4709" w:rsidRPr="00503463">
        <w:rPr>
          <w:szCs w:val="23"/>
        </w:rPr>
        <w:t xml:space="preserve">Further material: </w:t>
      </w:r>
      <w:r w:rsidR="00F20B19" w:rsidRPr="00503463">
        <w:rPr>
          <w:szCs w:val="23"/>
        </w:rPr>
        <w:t xml:space="preserve">Fuhrmann, “Einführung in das Übernahmerecht”, (2021) </w:t>
      </w:r>
      <w:proofErr w:type="spellStart"/>
      <w:r w:rsidR="00F20B19" w:rsidRPr="00503463">
        <w:rPr>
          <w:i/>
          <w:szCs w:val="23"/>
        </w:rPr>
        <w:t>JuS</w:t>
      </w:r>
      <w:proofErr w:type="spellEnd"/>
      <w:r w:rsidR="00F20B19" w:rsidRPr="00503463">
        <w:rPr>
          <w:szCs w:val="23"/>
        </w:rPr>
        <w:t xml:space="preserve"> 200–204</w:t>
      </w:r>
      <w:r w:rsidR="00A83C78">
        <w:rPr>
          <w:szCs w:val="23"/>
        </w:rPr>
        <w:t>.</w:t>
      </w:r>
    </w:p>
    <w:p w14:paraId="4A6BB98C" w14:textId="24D2DC32" w:rsidR="000F20D9" w:rsidRPr="002121A4" w:rsidRDefault="008C5A48" w:rsidP="00D7794F">
      <w:pPr>
        <w:pStyle w:val="berschrift1"/>
        <w:rPr>
          <w:lang w:val="en-GB"/>
        </w:rPr>
      </w:pPr>
      <w:bookmarkStart w:id="172" w:name="_Toc194577786"/>
      <w:r w:rsidRPr="002121A4">
        <w:rPr>
          <w:lang w:val="en-GB"/>
        </w:rPr>
        <w:lastRenderedPageBreak/>
        <w:t>Glossary</w:t>
      </w:r>
      <w:r w:rsidR="00942906" w:rsidRPr="002121A4">
        <w:rPr>
          <w:lang w:val="en-GB"/>
        </w:rPr>
        <w:t xml:space="preserve"> and Abbreviations</w:t>
      </w:r>
      <w:bookmarkEnd w:id="172"/>
    </w:p>
    <w:p w14:paraId="66D62992" w14:textId="77777777" w:rsidR="00AC1918" w:rsidRPr="002121A4" w:rsidRDefault="00AC1918" w:rsidP="008C5A48">
      <w:pPr>
        <w:rPr>
          <w:lang w:val="en-GB"/>
        </w:rPr>
        <w:sectPr w:rsidR="00AC1918" w:rsidRPr="002121A4" w:rsidSect="001E1886">
          <w:headerReference w:type="default" r:id="rId33"/>
          <w:footerReference w:type="default" r:id="rId34"/>
          <w:type w:val="continuous"/>
          <w:pgSz w:w="11906" w:h="16838"/>
          <w:pgMar w:top="1418" w:right="1440" w:bottom="1418" w:left="1440" w:header="426" w:footer="713" w:gutter="0"/>
          <w:pgNumType w:start="1"/>
          <w:cols w:space="708"/>
          <w:titlePg/>
          <w:docGrid w:linePitch="360"/>
        </w:sectPr>
      </w:pPr>
    </w:p>
    <w:p w14:paraId="482871E9" w14:textId="50A3B8B0" w:rsidR="002A586A" w:rsidRPr="002121A4" w:rsidRDefault="002A586A" w:rsidP="008C5A48">
      <w:pPr>
        <w:rPr>
          <w:sz w:val="19"/>
          <w:szCs w:val="19"/>
          <w:lang w:val="en-GB"/>
        </w:rPr>
      </w:pPr>
      <w:r w:rsidRPr="002121A4">
        <w:rPr>
          <w:b/>
          <w:sz w:val="19"/>
          <w:szCs w:val="19"/>
          <w:lang w:val="en-GB"/>
        </w:rPr>
        <w:t>Accounting Directive  </w:t>
      </w:r>
      <w:proofErr w:type="spellStart"/>
      <w:r w:rsidRPr="002121A4">
        <w:rPr>
          <w:sz w:val="19"/>
          <w:szCs w:val="19"/>
          <w:lang w:val="en-GB"/>
        </w:rPr>
        <w:t>Directive</w:t>
      </w:r>
      <w:proofErr w:type="spellEnd"/>
      <w:r w:rsidRPr="002121A4">
        <w:rPr>
          <w:sz w:val="19"/>
          <w:szCs w:val="19"/>
          <w:lang w:val="en-GB"/>
        </w:rPr>
        <w:t xml:space="preserve"> 2013/34/EU of the European Parliament and of the Council of 26 June 2013 on the annual financial statements, consolidated financial statements and related reports of certain types of undertakings</w:t>
      </w:r>
    </w:p>
    <w:p w14:paraId="33F10E2E" w14:textId="66BD5A42" w:rsidR="00620FB0" w:rsidRPr="002121A4" w:rsidRDefault="00620FB0" w:rsidP="008C5A48">
      <w:pPr>
        <w:rPr>
          <w:sz w:val="19"/>
          <w:szCs w:val="19"/>
          <w:lang w:val="en-GB"/>
        </w:rPr>
      </w:pPr>
      <w:r w:rsidRPr="002121A4">
        <w:rPr>
          <w:b/>
          <w:sz w:val="19"/>
          <w:szCs w:val="19"/>
          <w:lang w:val="en-GB"/>
        </w:rPr>
        <w:t>Acting in concert</w:t>
      </w:r>
      <w:r w:rsidRPr="002121A4">
        <w:rPr>
          <w:sz w:val="19"/>
          <w:szCs w:val="19"/>
          <w:lang w:val="en-GB"/>
        </w:rPr>
        <w:t>  A type of co-ordinated activities among shareholders that requires aggregation of holdings across all persons involved “acting in concert” for purposes of disclosure obligations under the TD and acquisition of control within the meaning of the TBD, see paras </w:t>
      </w:r>
      <w:r w:rsidR="00D6334F">
        <w:rPr>
          <w:sz w:val="19"/>
          <w:szCs w:val="19"/>
          <w:lang w:val="en-GB"/>
        </w:rPr>
        <w:fldChar w:fldCharType="begin"/>
      </w:r>
      <w:r w:rsidR="00D6334F">
        <w:rPr>
          <w:sz w:val="19"/>
          <w:szCs w:val="19"/>
          <w:lang w:val="en-GB"/>
        </w:rPr>
        <w:instrText xml:space="preserve"> REF _Ref170398098 \r \h </w:instrText>
      </w:r>
      <w:r w:rsidR="00D6334F">
        <w:rPr>
          <w:sz w:val="19"/>
          <w:szCs w:val="19"/>
          <w:lang w:val="en-GB"/>
        </w:rPr>
      </w:r>
      <w:r w:rsidR="00D6334F">
        <w:rPr>
          <w:sz w:val="19"/>
          <w:szCs w:val="19"/>
          <w:lang w:val="en-GB"/>
        </w:rPr>
        <w:fldChar w:fldCharType="separate"/>
      </w:r>
      <w:r w:rsidR="00D56145">
        <w:rPr>
          <w:sz w:val="19"/>
          <w:szCs w:val="19"/>
          <w:lang w:val="en-GB"/>
        </w:rPr>
        <w:t>151</w:t>
      </w:r>
      <w:r w:rsidR="00D6334F">
        <w:rPr>
          <w:sz w:val="19"/>
          <w:szCs w:val="19"/>
          <w:lang w:val="en-GB"/>
        </w:rPr>
        <w:fldChar w:fldCharType="end"/>
      </w:r>
      <w:r w:rsidRPr="002121A4">
        <w:rPr>
          <w:sz w:val="19"/>
          <w:szCs w:val="19"/>
          <w:lang w:val="en-GB"/>
        </w:rPr>
        <w:t xml:space="preserve"> and </w:t>
      </w:r>
      <w:r w:rsidRPr="002121A4">
        <w:rPr>
          <w:sz w:val="19"/>
          <w:szCs w:val="19"/>
          <w:lang w:val="en-GB"/>
        </w:rPr>
        <w:fldChar w:fldCharType="begin"/>
      </w:r>
      <w:r w:rsidRPr="002121A4">
        <w:rPr>
          <w:sz w:val="19"/>
          <w:szCs w:val="19"/>
          <w:lang w:val="en-GB"/>
        </w:rPr>
        <w:instrText xml:space="preserve"> REF _Ref130895281 \r \h </w:instrText>
      </w:r>
      <w:r w:rsidRPr="002121A4">
        <w:rPr>
          <w:sz w:val="19"/>
          <w:szCs w:val="19"/>
          <w:lang w:val="en-GB"/>
        </w:rPr>
      </w:r>
      <w:r w:rsidRPr="002121A4">
        <w:rPr>
          <w:sz w:val="19"/>
          <w:szCs w:val="19"/>
          <w:lang w:val="en-GB"/>
        </w:rPr>
        <w:fldChar w:fldCharType="separate"/>
      </w:r>
      <w:r w:rsidR="00D56145">
        <w:rPr>
          <w:sz w:val="19"/>
          <w:szCs w:val="19"/>
          <w:lang w:val="en-GB"/>
        </w:rPr>
        <w:t>174</w:t>
      </w:r>
      <w:r w:rsidRPr="002121A4">
        <w:rPr>
          <w:sz w:val="19"/>
          <w:szCs w:val="19"/>
          <w:lang w:val="en-GB"/>
        </w:rPr>
        <w:fldChar w:fldCharType="end"/>
      </w:r>
    </w:p>
    <w:p w14:paraId="3B101B81" w14:textId="50336ED6" w:rsidR="00541C66" w:rsidRPr="002121A4" w:rsidRDefault="00541C66" w:rsidP="008C5A48">
      <w:pPr>
        <w:rPr>
          <w:b/>
          <w:sz w:val="19"/>
          <w:szCs w:val="19"/>
          <w:lang w:val="en-GB"/>
        </w:rPr>
      </w:pPr>
      <w:r w:rsidRPr="002121A4">
        <w:rPr>
          <w:b/>
          <w:sz w:val="19"/>
          <w:szCs w:val="19"/>
          <w:lang w:val="en-GB"/>
        </w:rPr>
        <w:t>Ad hoc announcement  </w:t>
      </w:r>
      <w:r w:rsidRPr="002121A4">
        <w:rPr>
          <w:sz w:val="19"/>
          <w:szCs w:val="19"/>
          <w:lang w:val="en-GB"/>
        </w:rPr>
        <w:t xml:space="preserve">A term used in German practice to refer to publication of </w:t>
      </w:r>
      <w:r w:rsidR="00DA4777" w:rsidRPr="002121A4">
        <w:rPr>
          <w:rFonts w:cs="Times New Roman"/>
          <w:sz w:val="19"/>
          <w:szCs w:val="19"/>
          <w:lang w:val="en-GB"/>
        </w:rPr>
        <w:t xml:space="preserve">→ </w:t>
      </w:r>
      <w:r w:rsidRPr="002121A4">
        <w:rPr>
          <w:sz w:val="19"/>
          <w:szCs w:val="19"/>
          <w:lang w:val="en-GB"/>
        </w:rPr>
        <w:t>inside information by an issuer</w:t>
      </w:r>
    </w:p>
    <w:p w14:paraId="0A16C390" w14:textId="4A555EF3" w:rsidR="008C7E61" w:rsidRPr="002121A4" w:rsidRDefault="008C7E61" w:rsidP="008C5A48">
      <w:pPr>
        <w:rPr>
          <w:sz w:val="19"/>
          <w:szCs w:val="19"/>
          <w:lang w:val="en-GB"/>
        </w:rPr>
      </w:pPr>
      <w:r w:rsidRPr="002121A4">
        <w:rPr>
          <w:b/>
          <w:sz w:val="19"/>
          <w:szCs w:val="19"/>
          <w:lang w:val="en-GB"/>
        </w:rPr>
        <w:t>AIF</w:t>
      </w:r>
      <w:r w:rsidR="006F634A" w:rsidRPr="002121A4">
        <w:rPr>
          <w:sz w:val="19"/>
          <w:szCs w:val="19"/>
          <w:lang w:val="en-GB"/>
        </w:rPr>
        <w:t xml:space="preserve">  Alternative Investment Fund, a category of </w:t>
      </w:r>
      <w:r w:rsidR="006F634A" w:rsidRPr="002121A4">
        <w:rPr>
          <w:rFonts w:cs="Times New Roman"/>
          <w:sz w:val="19"/>
          <w:szCs w:val="19"/>
          <w:lang w:val="en-GB"/>
        </w:rPr>
        <w:t>→ investment funds</w:t>
      </w:r>
    </w:p>
    <w:p w14:paraId="66A0E2A6" w14:textId="57CCA0A6" w:rsidR="008C7E61" w:rsidRPr="002121A4" w:rsidRDefault="008C7E61" w:rsidP="008C5A48">
      <w:pPr>
        <w:rPr>
          <w:sz w:val="19"/>
          <w:szCs w:val="19"/>
          <w:lang w:val="en-GB"/>
        </w:rPr>
      </w:pPr>
      <w:r w:rsidRPr="002121A4">
        <w:rPr>
          <w:b/>
          <w:sz w:val="19"/>
          <w:szCs w:val="19"/>
          <w:lang w:val="en-GB"/>
        </w:rPr>
        <w:t>AIFM</w:t>
      </w:r>
      <w:r w:rsidR="006F634A" w:rsidRPr="002121A4">
        <w:rPr>
          <w:sz w:val="19"/>
          <w:szCs w:val="19"/>
          <w:lang w:val="en-GB"/>
        </w:rPr>
        <w:t xml:space="preserve">   </w:t>
      </w:r>
      <w:r w:rsidR="0059152C" w:rsidRPr="002121A4">
        <w:rPr>
          <w:sz w:val="19"/>
          <w:szCs w:val="19"/>
          <w:lang w:val="en-GB"/>
        </w:rPr>
        <w:t xml:space="preserve">AIF Manager, a company managing investments </w:t>
      </w:r>
      <w:r w:rsidR="004E100E" w:rsidRPr="002121A4">
        <w:rPr>
          <w:sz w:val="19"/>
          <w:szCs w:val="19"/>
          <w:lang w:val="en-GB"/>
        </w:rPr>
        <w:t xml:space="preserve">of an </w:t>
      </w:r>
      <w:r w:rsidR="004E100E" w:rsidRPr="002121A4">
        <w:rPr>
          <w:rFonts w:cs="Times New Roman"/>
          <w:sz w:val="19"/>
          <w:szCs w:val="19"/>
          <w:lang w:val="en-GB"/>
        </w:rPr>
        <w:t>→ AIF</w:t>
      </w:r>
    </w:p>
    <w:p w14:paraId="451B945C" w14:textId="7ED2DE5E" w:rsidR="008C7E61" w:rsidRPr="002121A4" w:rsidRDefault="008C7E61" w:rsidP="008C5A48">
      <w:pPr>
        <w:rPr>
          <w:sz w:val="19"/>
          <w:szCs w:val="19"/>
          <w:lang w:val="en-GB"/>
        </w:rPr>
      </w:pPr>
      <w:r w:rsidRPr="002121A4">
        <w:rPr>
          <w:b/>
          <w:sz w:val="19"/>
          <w:szCs w:val="19"/>
          <w:lang w:val="en-GB"/>
        </w:rPr>
        <w:t>AIFM Directive</w:t>
      </w:r>
      <w:r w:rsidR="00E56EB5" w:rsidRPr="002121A4">
        <w:rPr>
          <w:sz w:val="19"/>
          <w:szCs w:val="19"/>
          <w:lang w:val="en-GB"/>
        </w:rPr>
        <w:t>  </w:t>
      </w:r>
      <w:proofErr w:type="spellStart"/>
      <w:r w:rsidR="00E56EB5" w:rsidRPr="002121A4">
        <w:rPr>
          <w:sz w:val="19"/>
          <w:szCs w:val="19"/>
          <w:lang w:val="en-GB"/>
        </w:rPr>
        <w:t>Directive</w:t>
      </w:r>
      <w:proofErr w:type="spellEnd"/>
      <w:r w:rsidR="00E56EB5" w:rsidRPr="002121A4">
        <w:rPr>
          <w:sz w:val="19"/>
          <w:szCs w:val="19"/>
          <w:lang w:val="en-GB"/>
        </w:rPr>
        <w:t xml:space="preserve"> 2011/61/EU of 8 June 2011 on Alternative Investment Fund Managers</w:t>
      </w:r>
    </w:p>
    <w:p w14:paraId="7AA9AE30" w14:textId="114ECAB1" w:rsidR="00F472D7" w:rsidRPr="002121A4" w:rsidRDefault="00F472D7" w:rsidP="008C5A48">
      <w:pPr>
        <w:rPr>
          <w:rFonts w:cs="Times New Roman"/>
          <w:sz w:val="19"/>
          <w:szCs w:val="19"/>
          <w:lang w:val="en-GB"/>
        </w:rPr>
      </w:pPr>
      <w:r w:rsidRPr="002121A4">
        <w:rPr>
          <w:b/>
          <w:sz w:val="19"/>
          <w:szCs w:val="19"/>
          <w:lang w:val="en-GB"/>
        </w:rPr>
        <w:t>Alternative Investment Fund</w:t>
      </w:r>
      <w:r w:rsidRPr="002121A4">
        <w:rPr>
          <w:sz w:val="19"/>
          <w:szCs w:val="19"/>
          <w:lang w:val="en-GB"/>
        </w:rPr>
        <w:t>  </w:t>
      </w:r>
      <w:r w:rsidRPr="002121A4">
        <w:rPr>
          <w:rFonts w:cs="Times New Roman"/>
          <w:sz w:val="19"/>
          <w:szCs w:val="19"/>
          <w:lang w:val="en-GB"/>
        </w:rPr>
        <w:t>→ AIF</w:t>
      </w:r>
    </w:p>
    <w:p w14:paraId="16C2A97E" w14:textId="39A33C6B" w:rsidR="00523F96" w:rsidRPr="00E051D5" w:rsidRDefault="00523F96" w:rsidP="008C5A48">
      <w:pPr>
        <w:rPr>
          <w:rFonts w:cs="Times New Roman"/>
          <w:sz w:val="19"/>
          <w:szCs w:val="19"/>
          <w:lang w:val="en-GB"/>
        </w:rPr>
      </w:pPr>
      <w:r w:rsidRPr="00E051D5">
        <w:rPr>
          <w:rFonts w:cs="Times New Roman"/>
          <w:b/>
          <w:sz w:val="19"/>
          <w:szCs w:val="19"/>
          <w:lang w:val="en-GB"/>
        </w:rPr>
        <w:t>BaFin</w:t>
      </w:r>
      <w:r w:rsidRPr="00E051D5">
        <w:rPr>
          <w:rFonts w:cs="Times New Roman"/>
          <w:sz w:val="19"/>
          <w:szCs w:val="19"/>
          <w:lang w:val="en-GB"/>
        </w:rPr>
        <w:t>  </w:t>
      </w:r>
      <w:proofErr w:type="spellStart"/>
      <w:r w:rsidRPr="00E051D5">
        <w:rPr>
          <w:rFonts w:cs="Times New Roman"/>
          <w:sz w:val="19"/>
          <w:szCs w:val="19"/>
          <w:lang w:val="en-GB"/>
        </w:rPr>
        <w:t>Bundesanstalt</w:t>
      </w:r>
      <w:proofErr w:type="spellEnd"/>
      <w:r w:rsidRPr="00E051D5">
        <w:rPr>
          <w:rFonts w:cs="Times New Roman"/>
          <w:sz w:val="19"/>
          <w:szCs w:val="19"/>
          <w:lang w:val="en-GB"/>
        </w:rPr>
        <w:t xml:space="preserve"> für </w:t>
      </w:r>
      <w:proofErr w:type="spellStart"/>
      <w:r w:rsidRPr="00E051D5">
        <w:rPr>
          <w:rFonts w:cs="Times New Roman"/>
          <w:sz w:val="19"/>
          <w:szCs w:val="19"/>
          <w:lang w:val="en-GB"/>
        </w:rPr>
        <w:t>Finanzdienstleistungsauf</w:t>
      </w:r>
      <w:r w:rsidR="002768BC" w:rsidRPr="00E051D5">
        <w:rPr>
          <w:rFonts w:cs="Times New Roman"/>
          <w:sz w:val="19"/>
          <w:szCs w:val="19"/>
          <w:lang w:val="en-GB"/>
        </w:rPr>
        <w:softHyphen/>
      </w:r>
      <w:r w:rsidRPr="00E051D5">
        <w:rPr>
          <w:rFonts w:cs="Times New Roman"/>
          <w:sz w:val="19"/>
          <w:szCs w:val="19"/>
          <w:lang w:val="en-GB"/>
        </w:rPr>
        <w:t>sicht</w:t>
      </w:r>
      <w:proofErr w:type="spellEnd"/>
      <w:r w:rsidR="0059076D" w:rsidRPr="00E051D5">
        <w:rPr>
          <w:rFonts w:cs="Times New Roman"/>
          <w:sz w:val="19"/>
          <w:szCs w:val="19"/>
          <w:lang w:val="en-GB"/>
        </w:rPr>
        <w:t>, the German → NCA for most capital market related issues</w:t>
      </w:r>
    </w:p>
    <w:p w14:paraId="2FF7417A" w14:textId="700AB2A6" w:rsidR="001D4096" w:rsidRPr="00846EBC" w:rsidRDefault="001D4096" w:rsidP="008C5A48">
      <w:pPr>
        <w:rPr>
          <w:rFonts w:cs="Times New Roman"/>
          <w:sz w:val="19"/>
          <w:szCs w:val="19"/>
        </w:rPr>
      </w:pPr>
      <w:r w:rsidRPr="002121A4">
        <w:rPr>
          <w:rFonts w:cs="Times New Roman"/>
          <w:b/>
          <w:sz w:val="19"/>
          <w:szCs w:val="19"/>
          <w:lang w:val="en-GB"/>
        </w:rPr>
        <w:t>Bearer bond</w:t>
      </w:r>
      <w:r w:rsidR="00362969" w:rsidRPr="002121A4">
        <w:rPr>
          <w:rFonts w:cs="Times New Roman"/>
          <w:b/>
          <w:sz w:val="19"/>
          <w:szCs w:val="19"/>
          <w:lang w:val="en-GB"/>
        </w:rPr>
        <w:t>/</w:t>
      </w:r>
      <w:r w:rsidRPr="002121A4">
        <w:rPr>
          <w:rFonts w:cs="Times New Roman"/>
          <w:b/>
          <w:sz w:val="19"/>
          <w:szCs w:val="19"/>
          <w:lang w:val="en-GB"/>
        </w:rPr>
        <w:t>share  </w:t>
      </w:r>
      <w:r w:rsidR="00DA4777" w:rsidRPr="002121A4">
        <w:rPr>
          <w:rFonts w:cs="Times New Roman"/>
          <w:sz w:val="19"/>
          <w:szCs w:val="19"/>
          <w:lang w:val="en-GB"/>
        </w:rPr>
        <w:t>Transferable s</w:t>
      </w:r>
      <w:r w:rsidRPr="002121A4">
        <w:rPr>
          <w:rFonts w:cs="Times New Roman"/>
          <w:sz w:val="19"/>
          <w:szCs w:val="19"/>
          <w:lang w:val="en-GB"/>
        </w:rPr>
        <w:t xml:space="preserve">ecurities that are unregistered (without records of the ownership); whoever physically holds the paper certificate is the presumptive owner of the instrument. </w:t>
      </w:r>
      <w:r w:rsidRPr="00846EBC">
        <w:rPr>
          <w:rFonts w:cs="Times New Roman"/>
          <w:sz w:val="19"/>
          <w:szCs w:val="19"/>
        </w:rPr>
        <w:t xml:space="preserve">Also </w:t>
      </w:r>
      <w:proofErr w:type="spellStart"/>
      <w:r w:rsidRPr="00846EBC">
        <w:rPr>
          <w:rFonts w:cs="Times New Roman"/>
          <w:sz w:val="19"/>
          <w:szCs w:val="19"/>
        </w:rPr>
        <w:t>see</w:t>
      </w:r>
      <w:proofErr w:type="spellEnd"/>
      <w:r w:rsidRPr="00846EBC">
        <w:rPr>
          <w:rFonts w:cs="Times New Roman"/>
          <w:sz w:val="19"/>
          <w:szCs w:val="19"/>
        </w:rPr>
        <w:t xml:space="preserve">: → registered </w:t>
      </w:r>
      <w:proofErr w:type="spellStart"/>
      <w:r w:rsidRPr="00846EBC">
        <w:rPr>
          <w:rFonts w:cs="Times New Roman"/>
          <w:sz w:val="19"/>
          <w:szCs w:val="19"/>
        </w:rPr>
        <w:t>bond</w:t>
      </w:r>
      <w:proofErr w:type="spellEnd"/>
      <w:r w:rsidR="00362969" w:rsidRPr="00846EBC">
        <w:rPr>
          <w:rFonts w:cs="Times New Roman"/>
          <w:sz w:val="19"/>
          <w:szCs w:val="19"/>
        </w:rPr>
        <w:t>/</w:t>
      </w:r>
      <w:proofErr w:type="spellStart"/>
      <w:r w:rsidRPr="00846EBC">
        <w:rPr>
          <w:rFonts w:cs="Times New Roman"/>
          <w:sz w:val="19"/>
          <w:szCs w:val="19"/>
        </w:rPr>
        <w:t>share</w:t>
      </w:r>
      <w:proofErr w:type="spellEnd"/>
    </w:p>
    <w:p w14:paraId="36590B7D" w14:textId="0A726321" w:rsidR="00A7164B" w:rsidRPr="00A7164B" w:rsidRDefault="00A7164B" w:rsidP="008C5A48">
      <w:pPr>
        <w:rPr>
          <w:rFonts w:cs="Times New Roman"/>
          <w:b/>
          <w:sz w:val="19"/>
          <w:szCs w:val="19"/>
        </w:rPr>
      </w:pPr>
      <w:r w:rsidRPr="00A7164B">
        <w:rPr>
          <w:rFonts w:cs="Times New Roman"/>
          <w:b/>
          <w:sz w:val="19"/>
          <w:szCs w:val="19"/>
        </w:rPr>
        <w:t>Begebungsvertrag</w:t>
      </w:r>
      <w:r w:rsidRPr="00A7164B">
        <w:rPr>
          <w:rFonts w:cs="Times New Roman"/>
          <w:sz w:val="19"/>
          <w:szCs w:val="19"/>
        </w:rPr>
        <w:t xml:space="preserve"> → </w:t>
      </w:r>
      <w:proofErr w:type="spellStart"/>
      <w:r>
        <w:rPr>
          <w:rFonts w:cs="Times New Roman"/>
          <w:sz w:val="19"/>
          <w:szCs w:val="19"/>
        </w:rPr>
        <w:t>Subscription</w:t>
      </w:r>
      <w:proofErr w:type="spellEnd"/>
      <w:r>
        <w:rPr>
          <w:rFonts w:cs="Times New Roman"/>
          <w:sz w:val="19"/>
          <w:szCs w:val="19"/>
        </w:rPr>
        <w:t xml:space="preserve"> Agreement</w:t>
      </w:r>
    </w:p>
    <w:p w14:paraId="7847674F" w14:textId="1E3AE691" w:rsidR="007B4C4D" w:rsidRPr="00A7164B" w:rsidRDefault="007B4C4D" w:rsidP="008C5A48">
      <w:pPr>
        <w:rPr>
          <w:rFonts w:cs="Times New Roman"/>
          <w:sz w:val="19"/>
          <w:szCs w:val="19"/>
        </w:rPr>
      </w:pPr>
      <w:r w:rsidRPr="00A7164B">
        <w:rPr>
          <w:rFonts w:cs="Times New Roman"/>
          <w:b/>
          <w:sz w:val="19"/>
          <w:szCs w:val="19"/>
        </w:rPr>
        <w:t>BGB</w:t>
      </w:r>
      <w:r w:rsidRPr="00A7164B">
        <w:rPr>
          <w:rFonts w:cs="Times New Roman"/>
          <w:sz w:val="19"/>
          <w:szCs w:val="19"/>
        </w:rPr>
        <w:t>  Bürgerliches Gesetzbuch</w:t>
      </w:r>
    </w:p>
    <w:p w14:paraId="54AC054B" w14:textId="36F29510" w:rsidR="008A1E85" w:rsidRPr="00846EBC" w:rsidRDefault="008A1E85" w:rsidP="008C5A48">
      <w:pPr>
        <w:rPr>
          <w:rFonts w:cs="Times New Roman"/>
          <w:sz w:val="19"/>
          <w:szCs w:val="19"/>
        </w:rPr>
      </w:pPr>
      <w:r w:rsidRPr="00846EBC">
        <w:rPr>
          <w:rFonts w:cs="Times New Roman"/>
          <w:b/>
          <w:sz w:val="19"/>
          <w:szCs w:val="19"/>
        </w:rPr>
        <w:t>Börsennotierte Gesellschaft</w:t>
      </w:r>
      <w:r w:rsidRPr="00846EBC">
        <w:rPr>
          <w:rFonts w:cs="Times New Roman"/>
          <w:sz w:val="19"/>
          <w:szCs w:val="19"/>
        </w:rPr>
        <w:t xml:space="preserve">  → </w:t>
      </w:r>
      <w:proofErr w:type="spellStart"/>
      <w:r w:rsidRPr="00846EBC">
        <w:rPr>
          <w:rFonts w:cs="Times New Roman"/>
          <w:sz w:val="19"/>
          <w:szCs w:val="19"/>
        </w:rPr>
        <w:t>Listed</w:t>
      </w:r>
      <w:proofErr w:type="spellEnd"/>
      <w:r w:rsidRPr="00846EBC">
        <w:rPr>
          <w:rFonts w:cs="Times New Roman"/>
          <w:sz w:val="19"/>
          <w:szCs w:val="19"/>
        </w:rPr>
        <w:t xml:space="preserve"> </w:t>
      </w:r>
      <w:proofErr w:type="spellStart"/>
      <w:r w:rsidRPr="00846EBC">
        <w:rPr>
          <w:rFonts w:cs="Times New Roman"/>
          <w:sz w:val="19"/>
          <w:szCs w:val="19"/>
        </w:rPr>
        <w:t>company</w:t>
      </w:r>
      <w:proofErr w:type="spellEnd"/>
    </w:p>
    <w:p w14:paraId="000FAA0C" w14:textId="2CE7B1C1" w:rsidR="004079ED" w:rsidRPr="00F9205E" w:rsidRDefault="004079ED" w:rsidP="008C5A48">
      <w:pPr>
        <w:rPr>
          <w:rFonts w:cs="Times New Roman"/>
          <w:sz w:val="19"/>
          <w:szCs w:val="19"/>
        </w:rPr>
      </w:pPr>
      <w:r w:rsidRPr="00F9205E">
        <w:rPr>
          <w:rFonts w:cs="Times New Roman"/>
          <w:b/>
          <w:sz w:val="19"/>
          <w:szCs w:val="19"/>
        </w:rPr>
        <w:t>BörsG</w:t>
      </w:r>
      <w:r w:rsidRPr="00F9205E">
        <w:rPr>
          <w:rFonts w:cs="Times New Roman"/>
          <w:sz w:val="19"/>
          <w:szCs w:val="19"/>
        </w:rPr>
        <w:t>  Börsengesetz</w:t>
      </w:r>
    </w:p>
    <w:p w14:paraId="4F9B05D7" w14:textId="20EB1B11" w:rsidR="00130388" w:rsidRPr="00F9205E" w:rsidRDefault="00130388" w:rsidP="008C5A48">
      <w:pPr>
        <w:rPr>
          <w:rFonts w:cs="Times New Roman"/>
          <w:sz w:val="19"/>
          <w:szCs w:val="19"/>
        </w:rPr>
      </w:pPr>
      <w:proofErr w:type="spellStart"/>
      <w:r w:rsidRPr="00F9205E">
        <w:rPr>
          <w:rFonts w:cs="Times New Roman"/>
          <w:b/>
          <w:sz w:val="19"/>
          <w:szCs w:val="19"/>
        </w:rPr>
        <w:t>BörsO</w:t>
      </w:r>
      <w:proofErr w:type="spellEnd"/>
      <w:r w:rsidRPr="00F9205E">
        <w:rPr>
          <w:rFonts w:cs="Times New Roman"/>
          <w:sz w:val="19"/>
          <w:szCs w:val="19"/>
        </w:rPr>
        <w:t>  Börsenordnung</w:t>
      </w:r>
      <w:r w:rsidR="00AB4F9F" w:rsidRPr="00F9205E">
        <w:rPr>
          <w:rFonts w:cs="Times New Roman"/>
          <w:sz w:val="19"/>
          <w:szCs w:val="19"/>
        </w:rPr>
        <w:t xml:space="preserve">, </w:t>
      </w:r>
      <w:proofErr w:type="spellStart"/>
      <w:r w:rsidR="00AB4F9F" w:rsidRPr="00F9205E">
        <w:rPr>
          <w:rFonts w:cs="Times New Roman"/>
          <w:sz w:val="19"/>
          <w:szCs w:val="19"/>
        </w:rPr>
        <w:t>see</w:t>
      </w:r>
      <w:proofErr w:type="spellEnd"/>
      <w:r w:rsidR="00AB4F9F" w:rsidRPr="00F9205E">
        <w:rPr>
          <w:rFonts w:cs="Times New Roman"/>
          <w:sz w:val="19"/>
          <w:szCs w:val="19"/>
        </w:rPr>
        <w:t xml:space="preserve"> § 16 BörsG</w:t>
      </w:r>
    </w:p>
    <w:p w14:paraId="39676CD6" w14:textId="2469D15A" w:rsidR="00130388" w:rsidRPr="00F9205E" w:rsidRDefault="00130388" w:rsidP="008C5A48">
      <w:pPr>
        <w:rPr>
          <w:rFonts w:cs="Times New Roman"/>
          <w:sz w:val="19"/>
          <w:szCs w:val="19"/>
        </w:rPr>
      </w:pPr>
      <w:r w:rsidRPr="00F9205E">
        <w:rPr>
          <w:rFonts w:cs="Times New Roman"/>
          <w:b/>
          <w:sz w:val="19"/>
          <w:szCs w:val="19"/>
        </w:rPr>
        <w:t>BörsZulV</w:t>
      </w:r>
      <w:r w:rsidRPr="00F9205E">
        <w:rPr>
          <w:rFonts w:cs="Times New Roman"/>
          <w:sz w:val="19"/>
          <w:szCs w:val="19"/>
        </w:rPr>
        <w:t>  Börsenzulassungsverordnung</w:t>
      </w:r>
    </w:p>
    <w:p w14:paraId="6CB949E4" w14:textId="56ED9545" w:rsidR="003A0F8A" w:rsidRPr="00846EBC" w:rsidRDefault="003A0F8A" w:rsidP="008C5A48">
      <w:pPr>
        <w:rPr>
          <w:rFonts w:cs="Times New Roman"/>
          <w:sz w:val="19"/>
          <w:szCs w:val="19"/>
          <w:lang w:val="en-US"/>
        </w:rPr>
      </w:pPr>
      <w:r w:rsidRPr="00846EBC">
        <w:rPr>
          <w:rFonts w:cs="Times New Roman"/>
          <w:b/>
          <w:sz w:val="19"/>
          <w:szCs w:val="19"/>
          <w:lang w:val="en-US"/>
        </w:rPr>
        <w:t>Bonds</w:t>
      </w:r>
      <w:r w:rsidRPr="00846EBC">
        <w:rPr>
          <w:rFonts w:cs="Times New Roman"/>
          <w:sz w:val="19"/>
          <w:szCs w:val="19"/>
          <w:lang w:val="en-US"/>
        </w:rPr>
        <w:t xml:space="preserve">  Refers to debt instruments that qualify as → </w:t>
      </w:r>
      <w:r w:rsidR="00840B01" w:rsidRPr="00846EBC">
        <w:rPr>
          <w:rFonts w:cs="Times New Roman"/>
          <w:sz w:val="19"/>
          <w:szCs w:val="19"/>
          <w:lang w:val="en-US"/>
        </w:rPr>
        <w:t xml:space="preserve">transferable </w:t>
      </w:r>
      <w:r w:rsidRPr="00846EBC">
        <w:rPr>
          <w:rFonts w:cs="Times New Roman"/>
          <w:sz w:val="19"/>
          <w:szCs w:val="19"/>
          <w:lang w:val="en-US"/>
        </w:rPr>
        <w:t>securities</w:t>
      </w:r>
    </w:p>
    <w:p w14:paraId="5FF54810" w14:textId="72C4E69D" w:rsidR="00BD3458" w:rsidRPr="00BD3458" w:rsidRDefault="00BD3458" w:rsidP="008C5A48">
      <w:pPr>
        <w:rPr>
          <w:rFonts w:cs="Times New Roman"/>
          <w:sz w:val="19"/>
          <w:szCs w:val="19"/>
          <w:lang w:val="en-US"/>
        </w:rPr>
      </w:pPr>
      <w:r w:rsidRPr="00BD3458">
        <w:rPr>
          <w:rFonts w:cs="Times New Roman"/>
          <w:b/>
          <w:sz w:val="19"/>
          <w:szCs w:val="19"/>
          <w:lang w:val="en-US"/>
        </w:rPr>
        <w:t>Capital Markets Union</w:t>
      </w:r>
      <w:r w:rsidRPr="00BD3458">
        <w:rPr>
          <w:rFonts w:cs="Times New Roman"/>
          <w:sz w:val="19"/>
          <w:szCs w:val="19"/>
          <w:lang w:val="en-US"/>
        </w:rPr>
        <w:t>  The capital markets union (CMU) is a plan to create a single market for capital.</w:t>
      </w:r>
      <w:r>
        <w:rPr>
          <w:rFonts w:cs="Times New Roman"/>
          <w:sz w:val="19"/>
          <w:szCs w:val="19"/>
          <w:lang w:val="en-US"/>
        </w:rPr>
        <w:t xml:space="preserve"> See para. </w:t>
      </w:r>
      <w:r>
        <w:rPr>
          <w:rFonts w:cs="Times New Roman"/>
          <w:sz w:val="19"/>
          <w:szCs w:val="19"/>
          <w:lang w:val="en-US"/>
        </w:rPr>
        <w:fldChar w:fldCharType="begin"/>
      </w:r>
      <w:r>
        <w:rPr>
          <w:rFonts w:cs="Times New Roman"/>
          <w:sz w:val="19"/>
          <w:szCs w:val="19"/>
          <w:lang w:val="en-US"/>
        </w:rPr>
        <w:instrText xml:space="preserve"> REF _Ref163751344 \r \h </w:instrText>
      </w:r>
      <w:r>
        <w:rPr>
          <w:rFonts w:cs="Times New Roman"/>
          <w:sz w:val="19"/>
          <w:szCs w:val="19"/>
          <w:lang w:val="en-US"/>
        </w:rPr>
      </w:r>
      <w:r>
        <w:rPr>
          <w:rFonts w:cs="Times New Roman"/>
          <w:sz w:val="19"/>
          <w:szCs w:val="19"/>
          <w:lang w:val="en-US"/>
        </w:rPr>
        <w:fldChar w:fldCharType="separate"/>
      </w:r>
      <w:r w:rsidR="00D56145">
        <w:rPr>
          <w:rFonts w:cs="Times New Roman"/>
          <w:sz w:val="19"/>
          <w:szCs w:val="19"/>
          <w:lang w:val="en-US"/>
        </w:rPr>
        <w:t>28</w:t>
      </w:r>
      <w:r>
        <w:rPr>
          <w:rFonts w:cs="Times New Roman"/>
          <w:sz w:val="19"/>
          <w:szCs w:val="19"/>
          <w:lang w:val="en-US"/>
        </w:rPr>
        <w:fldChar w:fldCharType="end"/>
      </w:r>
    </w:p>
    <w:p w14:paraId="414C1789" w14:textId="10C3D41E" w:rsidR="00843052" w:rsidRPr="002121A4" w:rsidRDefault="00843052" w:rsidP="008C5A48">
      <w:pPr>
        <w:rPr>
          <w:rFonts w:cs="Times New Roman"/>
          <w:sz w:val="19"/>
          <w:szCs w:val="19"/>
          <w:lang w:val="en-GB"/>
        </w:rPr>
      </w:pPr>
      <w:r w:rsidRPr="002121A4">
        <w:rPr>
          <w:rFonts w:cs="Times New Roman"/>
          <w:b/>
          <w:sz w:val="19"/>
          <w:szCs w:val="19"/>
          <w:lang w:val="en-GB"/>
        </w:rPr>
        <w:t>Capital Requirements Directive</w:t>
      </w:r>
      <w:r w:rsidRPr="002121A4">
        <w:rPr>
          <w:rFonts w:cs="Times New Roman"/>
          <w:sz w:val="19"/>
          <w:szCs w:val="19"/>
          <w:lang w:val="en-GB"/>
        </w:rPr>
        <w:t xml:space="preserve">  → CRD IV </w:t>
      </w:r>
    </w:p>
    <w:p w14:paraId="1E7F4375" w14:textId="4203F99B" w:rsidR="00843052" w:rsidRPr="002121A4" w:rsidRDefault="00843052" w:rsidP="008C5A48">
      <w:pPr>
        <w:rPr>
          <w:rFonts w:cs="Times New Roman"/>
          <w:sz w:val="19"/>
          <w:szCs w:val="19"/>
          <w:lang w:val="en-GB"/>
        </w:rPr>
      </w:pPr>
      <w:r w:rsidRPr="002121A4">
        <w:rPr>
          <w:rFonts w:cs="Times New Roman"/>
          <w:b/>
          <w:sz w:val="19"/>
          <w:szCs w:val="19"/>
          <w:lang w:val="en-GB"/>
        </w:rPr>
        <w:t>Capital Requirements Regulation</w:t>
      </w:r>
      <w:r w:rsidRPr="002121A4">
        <w:rPr>
          <w:rFonts w:cs="Times New Roman"/>
          <w:sz w:val="19"/>
          <w:szCs w:val="19"/>
          <w:lang w:val="en-GB"/>
        </w:rPr>
        <w:t>  → CRR</w:t>
      </w:r>
    </w:p>
    <w:p w14:paraId="2D8B93F0" w14:textId="277F068F" w:rsidR="003C7532" w:rsidRPr="002121A4" w:rsidRDefault="003C7532" w:rsidP="008C5A48">
      <w:pPr>
        <w:rPr>
          <w:rFonts w:cs="Times New Roman"/>
          <w:sz w:val="19"/>
          <w:szCs w:val="19"/>
          <w:lang w:val="en-GB"/>
        </w:rPr>
      </w:pPr>
      <w:r w:rsidRPr="002121A4">
        <w:rPr>
          <w:rFonts w:cs="Times New Roman"/>
          <w:b/>
          <w:sz w:val="19"/>
          <w:szCs w:val="19"/>
          <w:lang w:val="en-GB"/>
        </w:rPr>
        <w:t>CCP</w:t>
      </w:r>
      <w:r w:rsidRPr="002121A4">
        <w:rPr>
          <w:rFonts w:cs="Times New Roman"/>
          <w:sz w:val="19"/>
          <w:szCs w:val="19"/>
          <w:lang w:val="en-GB"/>
        </w:rPr>
        <w:t>  Central counterparty, Facilitates capital market transactions through → clearing</w:t>
      </w:r>
      <w:r w:rsidR="00046CD3" w:rsidRPr="002121A4">
        <w:rPr>
          <w:rFonts w:cs="Times New Roman"/>
          <w:sz w:val="19"/>
          <w:szCs w:val="19"/>
          <w:lang w:val="en-GB"/>
        </w:rPr>
        <w:t>. Example: Eurex Clearing AG</w:t>
      </w:r>
    </w:p>
    <w:p w14:paraId="60A4E5A2" w14:textId="26E73C78" w:rsidR="00221AA8" w:rsidRPr="002121A4" w:rsidRDefault="00221AA8" w:rsidP="00221AA8">
      <w:pPr>
        <w:jc w:val="left"/>
        <w:rPr>
          <w:rFonts w:cs="Times New Roman"/>
          <w:b/>
          <w:sz w:val="19"/>
          <w:szCs w:val="19"/>
          <w:lang w:val="en-GB"/>
        </w:rPr>
      </w:pPr>
      <w:r w:rsidRPr="002121A4">
        <w:rPr>
          <w:rFonts w:cs="Times New Roman"/>
          <w:b/>
          <w:sz w:val="19"/>
          <w:szCs w:val="19"/>
          <w:lang w:val="en-GB"/>
        </w:rPr>
        <w:t>Central counterparty  </w:t>
      </w:r>
      <w:r w:rsidR="003C7532" w:rsidRPr="002121A4">
        <w:rPr>
          <w:rFonts w:cs="Times New Roman"/>
          <w:sz w:val="19"/>
          <w:szCs w:val="19"/>
          <w:lang w:val="en-GB"/>
        </w:rPr>
        <w:t>→ CCP</w:t>
      </w:r>
      <w:r w:rsidRPr="002121A4">
        <w:rPr>
          <w:rFonts w:cs="Times New Roman"/>
          <w:b/>
          <w:sz w:val="19"/>
          <w:szCs w:val="19"/>
          <w:lang w:val="en-GB"/>
        </w:rPr>
        <w:t xml:space="preserve"> </w:t>
      </w:r>
    </w:p>
    <w:p w14:paraId="10078078" w14:textId="7941A382" w:rsidR="004F4A6B" w:rsidRPr="002121A4" w:rsidRDefault="004F4A6B" w:rsidP="00221AA8">
      <w:pPr>
        <w:jc w:val="left"/>
        <w:rPr>
          <w:rFonts w:cs="Times New Roman"/>
          <w:b/>
          <w:sz w:val="19"/>
          <w:szCs w:val="19"/>
          <w:lang w:val="en-GB"/>
        </w:rPr>
      </w:pPr>
      <w:r w:rsidRPr="002121A4">
        <w:rPr>
          <w:rFonts w:cs="Times New Roman"/>
          <w:b/>
          <w:sz w:val="19"/>
          <w:szCs w:val="19"/>
          <w:lang w:val="en-GB"/>
        </w:rPr>
        <w:t xml:space="preserve">Central Securities Depository </w:t>
      </w:r>
      <w:r w:rsidRPr="002121A4">
        <w:rPr>
          <w:rFonts w:cs="Times New Roman"/>
          <w:sz w:val="19"/>
          <w:szCs w:val="19"/>
          <w:lang w:val="en-GB"/>
        </w:rPr>
        <w:t>→ CSD</w:t>
      </w:r>
    </w:p>
    <w:p w14:paraId="1B534D3B" w14:textId="4BBE5A8E" w:rsidR="00D50018" w:rsidRPr="002121A4" w:rsidRDefault="00D50018" w:rsidP="00221AA8">
      <w:pPr>
        <w:jc w:val="left"/>
        <w:rPr>
          <w:sz w:val="19"/>
          <w:szCs w:val="19"/>
          <w:lang w:val="en-GB"/>
        </w:rPr>
      </w:pPr>
      <w:r w:rsidRPr="002121A4">
        <w:rPr>
          <w:rFonts w:cs="Times New Roman"/>
          <w:b/>
          <w:sz w:val="19"/>
          <w:szCs w:val="19"/>
          <w:lang w:val="en-GB"/>
        </w:rPr>
        <w:t>Central Securities Depositories Regulation</w:t>
      </w:r>
      <w:r w:rsidR="00221AA8" w:rsidRPr="002121A4">
        <w:rPr>
          <w:rFonts w:cs="Times New Roman"/>
          <w:sz w:val="19"/>
          <w:szCs w:val="19"/>
          <w:lang w:val="en-GB"/>
        </w:rPr>
        <w:t xml:space="preserve"> </w:t>
      </w:r>
      <w:r w:rsidRPr="002121A4">
        <w:rPr>
          <w:rFonts w:cs="Times New Roman"/>
          <w:sz w:val="19"/>
          <w:szCs w:val="19"/>
          <w:lang w:val="en-GB"/>
        </w:rPr>
        <w:t>→</w:t>
      </w:r>
      <w:r w:rsidR="00221AA8" w:rsidRPr="002121A4">
        <w:rPr>
          <w:rFonts w:cs="Times New Roman"/>
          <w:sz w:val="19"/>
          <w:szCs w:val="19"/>
          <w:lang w:val="en-GB"/>
        </w:rPr>
        <w:t> </w:t>
      </w:r>
      <w:r w:rsidRPr="002121A4">
        <w:rPr>
          <w:rFonts w:cs="Times New Roman"/>
          <w:sz w:val="19"/>
          <w:szCs w:val="19"/>
          <w:lang w:val="en-GB"/>
        </w:rPr>
        <w:t>CSDR</w:t>
      </w:r>
    </w:p>
    <w:p w14:paraId="7A28264E" w14:textId="231B6298" w:rsidR="004D02DC" w:rsidRPr="002121A4" w:rsidRDefault="004D02DC" w:rsidP="00C07743">
      <w:pPr>
        <w:jc w:val="left"/>
        <w:rPr>
          <w:sz w:val="19"/>
          <w:szCs w:val="19"/>
          <w:lang w:val="en-GB"/>
        </w:rPr>
      </w:pPr>
      <w:r w:rsidRPr="002121A4">
        <w:rPr>
          <w:b/>
          <w:sz w:val="19"/>
          <w:szCs w:val="19"/>
          <w:lang w:val="en-GB"/>
        </w:rPr>
        <w:t>CESR</w:t>
      </w:r>
      <w:r w:rsidR="00C07743" w:rsidRPr="002121A4">
        <w:rPr>
          <w:sz w:val="19"/>
          <w:szCs w:val="19"/>
          <w:lang w:val="en-GB"/>
        </w:rPr>
        <w:t>  </w:t>
      </w:r>
      <w:r w:rsidRPr="002121A4">
        <w:rPr>
          <w:sz w:val="19"/>
          <w:szCs w:val="19"/>
          <w:lang w:val="en-GB"/>
        </w:rPr>
        <w:t>Committee of European Securities Regulators</w:t>
      </w:r>
      <w:r w:rsidR="000C3892" w:rsidRPr="002121A4">
        <w:rPr>
          <w:sz w:val="19"/>
          <w:szCs w:val="19"/>
          <w:lang w:val="en-GB"/>
        </w:rPr>
        <w:t xml:space="preserve">, the body preceding </w:t>
      </w:r>
      <w:r w:rsidR="00B64BF3" w:rsidRPr="002121A4">
        <w:rPr>
          <w:rFonts w:cs="Times New Roman"/>
          <w:sz w:val="19"/>
          <w:szCs w:val="19"/>
          <w:lang w:val="en-GB"/>
        </w:rPr>
        <w:t>→ </w:t>
      </w:r>
      <w:r w:rsidR="000C3892" w:rsidRPr="002121A4">
        <w:rPr>
          <w:sz w:val="19"/>
          <w:szCs w:val="19"/>
          <w:lang w:val="en-GB"/>
        </w:rPr>
        <w:t>ESMA</w:t>
      </w:r>
    </w:p>
    <w:p w14:paraId="7BD043BE" w14:textId="05BD92A1" w:rsidR="00EF6E70" w:rsidRPr="002121A4" w:rsidRDefault="00EF6E70" w:rsidP="008C5A48">
      <w:pPr>
        <w:rPr>
          <w:sz w:val="19"/>
          <w:szCs w:val="19"/>
          <w:lang w:val="en-GB"/>
        </w:rPr>
      </w:pPr>
      <w:r w:rsidRPr="002121A4">
        <w:rPr>
          <w:b/>
          <w:sz w:val="19"/>
          <w:szCs w:val="19"/>
          <w:lang w:val="en-GB"/>
        </w:rPr>
        <w:t>CLD</w:t>
      </w:r>
      <w:r w:rsidRPr="002121A4">
        <w:rPr>
          <w:sz w:val="19"/>
          <w:szCs w:val="19"/>
          <w:lang w:val="en-GB"/>
        </w:rPr>
        <w:t>  Directive (EU) 2017/1132 of 14 June 2017 relating to certain aspects of company law (codification)</w:t>
      </w:r>
    </w:p>
    <w:p w14:paraId="41704CD4" w14:textId="73845AF8" w:rsidR="00DC064B" w:rsidRPr="002121A4" w:rsidRDefault="00DC064B" w:rsidP="008C5A48">
      <w:pPr>
        <w:rPr>
          <w:sz w:val="19"/>
          <w:szCs w:val="19"/>
          <w:lang w:val="en-GB"/>
        </w:rPr>
      </w:pPr>
      <w:r w:rsidRPr="002121A4">
        <w:rPr>
          <w:b/>
          <w:sz w:val="19"/>
          <w:szCs w:val="19"/>
          <w:lang w:val="en-GB"/>
        </w:rPr>
        <w:t>Clearing</w:t>
      </w:r>
      <w:r w:rsidRPr="002121A4">
        <w:rPr>
          <w:sz w:val="19"/>
          <w:szCs w:val="19"/>
          <w:lang w:val="en-GB"/>
        </w:rPr>
        <w:t>  </w:t>
      </w:r>
      <w:r w:rsidR="003C7532" w:rsidRPr="002121A4">
        <w:rPr>
          <w:sz w:val="19"/>
          <w:szCs w:val="19"/>
          <w:lang w:val="en-GB"/>
        </w:rPr>
        <w:t>P</w:t>
      </w:r>
      <w:r w:rsidRPr="002121A4">
        <w:rPr>
          <w:sz w:val="19"/>
          <w:szCs w:val="19"/>
          <w:lang w:val="en-GB"/>
        </w:rPr>
        <w:t xml:space="preserve">rocess by which transactions in </w:t>
      </w:r>
      <w:r w:rsidRPr="002121A4">
        <w:rPr>
          <w:rFonts w:cs="Times New Roman"/>
          <w:sz w:val="19"/>
          <w:szCs w:val="19"/>
          <w:lang w:val="en-GB"/>
        </w:rPr>
        <w:t xml:space="preserve">→ </w:t>
      </w:r>
      <w:r w:rsidRPr="002121A4">
        <w:rPr>
          <w:sz w:val="19"/>
          <w:szCs w:val="19"/>
          <w:lang w:val="en-GB"/>
        </w:rPr>
        <w:t xml:space="preserve">financial instruments are </w:t>
      </w:r>
      <w:r w:rsidR="003C7532" w:rsidRPr="002121A4">
        <w:rPr>
          <w:sz w:val="19"/>
          <w:szCs w:val="19"/>
          <w:lang w:val="en-GB"/>
        </w:rPr>
        <w:t xml:space="preserve">netted between the members of a </w:t>
      </w:r>
      <w:r w:rsidR="00840B01" w:rsidRPr="002121A4">
        <w:rPr>
          <w:rFonts w:cs="Times New Roman"/>
          <w:sz w:val="19"/>
          <w:szCs w:val="19"/>
          <w:lang w:val="en-GB"/>
        </w:rPr>
        <w:t xml:space="preserve">→ </w:t>
      </w:r>
      <w:r w:rsidR="00C8424F" w:rsidRPr="002121A4">
        <w:rPr>
          <w:sz w:val="19"/>
          <w:szCs w:val="19"/>
          <w:lang w:val="en-GB"/>
        </w:rPr>
        <w:t xml:space="preserve">CCP </w:t>
      </w:r>
      <w:r w:rsidR="003C7532" w:rsidRPr="002121A4">
        <w:rPr>
          <w:sz w:val="19"/>
          <w:szCs w:val="19"/>
          <w:lang w:val="en-GB"/>
        </w:rPr>
        <w:t>clearing house</w:t>
      </w:r>
    </w:p>
    <w:p w14:paraId="6F4510CE" w14:textId="7891EDE8" w:rsidR="0060242C" w:rsidRPr="002121A4" w:rsidRDefault="0060242C" w:rsidP="008C5A48">
      <w:pPr>
        <w:rPr>
          <w:sz w:val="19"/>
          <w:szCs w:val="19"/>
          <w:lang w:val="en-GB"/>
        </w:rPr>
      </w:pPr>
      <w:r w:rsidRPr="002121A4">
        <w:rPr>
          <w:b/>
          <w:sz w:val="19"/>
          <w:szCs w:val="19"/>
          <w:lang w:val="en-GB"/>
        </w:rPr>
        <w:t>Closed periods</w:t>
      </w:r>
      <w:r w:rsidRPr="002121A4">
        <w:rPr>
          <w:sz w:val="19"/>
          <w:szCs w:val="19"/>
          <w:lang w:val="en-GB"/>
        </w:rPr>
        <w:t xml:space="preserve">  A period preceding disclosure of financial information during which senior management of an issuer is prohibited from dealing in </w:t>
      </w:r>
      <w:r w:rsidR="006F5A9B" w:rsidRPr="002121A4">
        <w:rPr>
          <w:rFonts w:cs="Times New Roman"/>
          <w:sz w:val="19"/>
          <w:szCs w:val="19"/>
          <w:lang w:val="en-GB"/>
        </w:rPr>
        <w:t xml:space="preserve">→ financial </w:t>
      </w:r>
      <w:r w:rsidR="00826495" w:rsidRPr="002121A4">
        <w:rPr>
          <w:sz w:val="19"/>
          <w:szCs w:val="19"/>
          <w:lang w:val="en-GB"/>
        </w:rPr>
        <w:t>instruments relating to an issuer</w:t>
      </w:r>
      <w:r w:rsidRPr="002121A4">
        <w:rPr>
          <w:sz w:val="19"/>
          <w:szCs w:val="19"/>
          <w:lang w:val="en-GB"/>
        </w:rPr>
        <w:t>, see para. </w:t>
      </w:r>
      <w:r w:rsidRPr="002121A4">
        <w:rPr>
          <w:sz w:val="19"/>
          <w:szCs w:val="19"/>
          <w:lang w:val="en-GB"/>
        </w:rPr>
        <w:fldChar w:fldCharType="begin"/>
      </w:r>
      <w:r w:rsidRPr="002121A4">
        <w:rPr>
          <w:sz w:val="19"/>
          <w:szCs w:val="19"/>
          <w:lang w:val="en-GB"/>
        </w:rPr>
        <w:instrText xml:space="preserve"> PAGEREF _Ref130850542 \h </w:instrText>
      </w:r>
      <w:r w:rsidRPr="002121A4">
        <w:rPr>
          <w:sz w:val="19"/>
          <w:szCs w:val="19"/>
          <w:lang w:val="en-GB"/>
        </w:rPr>
      </w:r>
      <w:r w:rsidRPr="002121A4">
        <w:rPr>
          <w:sz w:val="19"/>
          <w:szCs w:val="19"/>
          <w:lang w:val="en-GB"/>
        </w:rPr>
        <w:fldChar w:fldCharType="separate"/>
      </w:r>
      <w:r w:rsidR="00D56145">
        <w:rPr>
          <w:noProof/>
          <w:sz w:val="19"/>
          <w:szCs w:val="19"/>
          <w:lang w:val="en-GB"/>
        </w:rPr>
        <w:t>52</w:t>
      </w:r>
      <w:r w:rsidRPr="002121A4">
        <w:rPr>
          <w:sz w:val="19"/>
          <w:szCs w:val="19"/>
          <w:lang w:val="en-GB"/>
        </w:rPr>
        <w:fldChar w:fldCharType="end"/>
      </w:r>
    </w:p>
    <w:p w14:paraId="0C14C18D" w14:textId="2AA67CE4" w:rsidR="006037F3" w:rsidRPr="002121A4" w:rsidRDefault="006037F3" w:rsidP="008C5A48">
      <w:pPr>
        <w:rPr>
          <w:sz w:val="19"/>
          <w:szCs w:val="19"/>
          <w:lang w:val="en-GB"/>
        </w:rPr>
      </w:pPr>
      <w:r w:rsidRPr="002121A4">
        <w:rPr>
          <w:b/>
          <w:sz w:val="19"/>
          <w:szCs w:val="19"/>
          <w:lang w:val="en-GB"/>
        </w:rPr>
        <w:t>Common stock</w:t>
      </w:r>
      <w:r w:rsidRPr="002121A4">
        <w:rPr>
          <w:sz w:val="19"/>
          <w:szCs w:val="19"/>
          <w:lang w:val="en-GB"/>
        </w:rPr>
        <w:t xml:space="preserve">  Refers to ordinary shares with statutory dividend and voting rights (also see </w:t>
      </w:r>
      <w:r w:rsidRPr="002121A4">
        <w:rPr>
          <w:rFonts w:cs="Times New Roman"/>
          <w:sz w:val="19"/>
          <w:szCs w:val="19"/>
          <w:lang w:val="en-GB"/>
        </w:rPr>
        <w:t>→ preferred stock)</w:t>
      </w:r>
    </w:p>
    <w:p w14:paraId="77C84B67" w14:textId="47C3169B" w:rsidR="00EF6E70" w:rsidRPr="002121A4" w:rsidRDefault="00EF6E70" w:rsidP="008C5A48">
      <w:pPr>
        <w:rPr>
          <w:rFonts w:cs="Times New Roman"/>
          <w:sz w:val="19"/>
          <w:szCs w:val="19"/>
          <w:lang w:val="en-GB"/>
        </w:rPr>
      </w:pPr>
      <w:r w:rsidRPr="002121A4">
        <w:rPr>
          <w:b/>
          <w:sz w:val="19"/>
          <w:szCs w:val="19"/>
          <w:lang w:val="en-GB"/>
        </w:rPr>
        <w:t>Company Law Directive </w:t>
      </w:r>
      <w:r w:rsidRPr="002121A4">
        <w:rPr>
          <w:sz w:val="19"/>
          <w:szCs w:val="19"/>
          <w:lang w:val="en-GB"/>
        </w:rPr>
        <w:t> </w:t>
      </w:r>
      <w:r w:rsidRPr="002121A4">
        <w:rPr>
          <w:rFonts w:cs="Times New Roman"/>
          <w:sz w:val="19"/>
          <w:szCs w:val="19"/>
          <w:lang w:val="en-GB"/>
        </w:rPr>
        <w:t>→ CLD</w:t>
      </w:r>
    </w:p>
    <w:p w14:paraId="22470A18" w14:textId="49ADEBEF" w:rsidR="007C3039" w:rsidRPr="002121A4" w:rsidRDefault="007C3039" w:rsidP="008C5A48">
      <w:pPr>
        <w:rPr>
          <w:rFonts w:cs="Times New Roman"/>
          <w:sz w:val="19"/>
          <w:szCs w:val="19"/>
          <w:lang w:val="en-GB"/>
        </w:rPr>
      </w:pPr>
      <w:r w:rsidRPr="002121A4">
        <w:rPr>
          <w:rFonts w:cs="Times New Roman"/>
          <w:b/>
          <w:sz w:val="19"/>
          <w:szCs w:val="19"/>
          <w:lang w:val="en-GB"/>
        </w:rPr>
        <w:t>Cornering</w:t>
      </w:r>
      <w:r w:rsidRPr="002121A4">
        <w:rPr>
          <w:rFonts w:cs="Times New Roman"/>
          <w:sz w:val="19"/>
          <w:szCs w:val="19"/>
          <w:lang w:val="en-GB"/>
        </w:rPr>
        <w:t>  A specific type of market manipulation through abuse of a dominant position, see para. </w:t>
      </w:r>
      <w:r w:rsidRPr="002121A4">
        <w:rPr>
          <w:rFonts w:cs="Times New Roman"/>
          <w:sz w:val="19"/>
          <w:szCs w:val="19"/>
          <w:lang w:val="en-GB"/>
        </w:rPr>
        <w:fldChar w:fldCharType="begin"/>
      </w:r>
      <w:r w:rsidRPr="002121A4">
        <w:rPr>
          <w:rFonts w:cs="Times New Roman"/>
          <w:sz w:val="19"/>
          <w:szCs w:val="19"/>
          <w:lang w:val="en-GB"/>
        </w:rPr>
        <w:instrText xml:space="preserve"> REF _Ref129768894 \r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sz w:val="19"/>
          <w:szCs w:val="19"/>
          <w:lang w:val="en-GB"/>
        </w:rPr>
        <w:t>119</w:t>
      </w:r>
      <w:r w:rsidRPr="002121A4">
        <w:rPr>
          <w:rFonts w:cs="Times New Roman"/>
          <w:sz w:val="19"/>
          <w:szCs w:val="19"/>
          <w:lang w:val="en-GB"/>
        </w:rPr>
        <w:fldChar w:fldCharType="end"/>
      </w:r>
    </w:p>
    <w:p w14:paraId="5C9E7AC3" w14:textId="7044A7E9" w:rsidR="00BC43EF" w:rsidRPr="002121A4" w:rsidRDefault="00BC43EF" w:rsidP="008C5A48">
      <w:pPr>
        <w:rPr>
          <w:rFonts w:cs="Times New Roman"/>
          <w:sz w:val="19"/>
          <w:szCs w:val="19"/>
          <w:lang w:val="en-GB"/>
        </w:rPr>
      </w:pPr>
      <w:r w:rsidRPr="002121A4">
        <w:rPr>
          <w:rFonts w:cs="Times New Roman"/>
          <w:b/>
          <w:sz w:val="19"/>
          <w:szCs w:val="19"/>
          <w:lang w:val="en-GB"/>
        </w:rPr>
        <w:t>Corporate Sustainability Reporting Directive</w:t>
      </w:r>
      <w:r w:rsidR="00CA05A6" w:rsidRPr="002121A4">
        <w:rPr>
          <w:rFonts w:cs="Times New Roman"/>
          <w:b/>
          <w:sz w:val="19"/>
          <w:szCs w:val="19"/>
          <w:lang w:val="en-GB"/>
        </w:rPr>
        <w:t xml:space="preserve"> </w:t>
      </w:r>
      <w:r w:rsidRPr="002121A4">
        <w:rPr>
          <w:rFonts w:cs="Times New Roman"/>
          <w:sz w:val="19"/>
          <w:szCs w:val="19"/>
          <w:lang w:val="en-GB"/>
        </w:rPr>
        <w:t>→</w:t>
      </w:r>
      <w:r w:rsidR="00CA05A6" w:rsidRPr="002121A4">
        <w:rPr>
          <w:rFonts w:cs="Times New Roman"/>
          <w:sz w:val="19"/>
          <w:szCs w:val="19"/>
          <w:lang w:val="en-GB"/>
        </w:rPr>
        <w:t> </w:t>
      </w:r>
      <w:r w:rsidRPr="002121A4">
        <w:rPr>
          <w:rFonts w:cs="Times New Roman"/>
          <w:sz w:val="19"/>
          <w:szCs w:val="19"/>
          <w:lang w:val="en-GB"/>
        </w:rPr>
        <w:t>CSRD</w:t>
      </w:r>
    </w:p>
    <w:p w14:paraId="5808CE3D" w14:textId="230CC723" w:rsidR="002F46C6" w:rsidRPr="002121A4" w:rsidRDefault="002F46C6" w:rsidP="008C5A48">
      <w:pPr>
        <w:rPr>
          <w:rFonts w:cs="Times New Roman"/>
          <w:sz w:val="19"/>
          <w:szCs w:val="19"/>
          <w:lang w:val="en-GB"/>
        </w:rPr>
      </w:pPr>
      <w:r w:rsidRPr="002121A4">
        <w:rPr>
          <w:rFonts w:cs="Times New Roman"/>
          <w:b/>
          <w:sz w:val="19"/>
          <w:szCs w:val="19"/>
          <w:lang w:val="en-GB"/>
        </w:rPr>
        <w:t>Correlation table</w:t>
      </w:r>
      <w:r w:rsidRPr="002121A4">
        <w:rPr>
          <w:rFonts w:cs="Times New Roman"/>
          <w:sz w:val="19"/>
          <w:szCs w:val="19"/>
          <w:lang w:val="en-GB"/>
        </w:rPr>
        <w:t xml:space="preserve">  A tool used by the EU legislator to update references to legislative texts that are repealed, </w:t>
      </w:r>
      <w:r w:rsidR="00BE742D">
        <w:rPr>
          <w:rFonts w:cs="Times New Roman"/>
          <w:sz w:val="19"/>
          <w:szCs w:val="19"/>
          <w:lang w:val="en-GB"/>
        </w:rPr>
        <w:t>e.g., the correlation table in MiFID II in relation to references to MiFID I provisions.</w:t>
      </w:r>
      <w:r w:rsidRPr="002121A4">
        <w:rPr>
          <w:rFonts w:cs="Times New Roman"/>
          <w:sz w:val="19"/>
          <w:szCs w:val="19"/>
          <w:lang w:val="en-GB"/>
        </w:rPr>
        <w:t xml:space="preserve"> </w:t>
      </w:r>
    </w:p>
    <w:p w14:paraId="278070EC" w14:textId="6498C2D4" w:rsidR="003B0C87" w:rsidRPr="002121A4" w:rsidRDefault="003B0C87" w:rsidP="008C5A48">
      <w:pPr>
        <w:rPr>
          <w:sz w:val="19"/>
          <w:szCs w:val="19"/>
          <w:lang w:val="en-GB"/>
        </w:rPr>
      </w:pPr>
      <w:r w:rsidRPr="002121A4">
        <w:rPr>
          <w:rFonts w:cs="Times New Roman"/>
          <w:b/>
          <w:sz w:val="19"/>
          <w:szCs w:val="19"/>
          <w:lang w:val="en-GB"/>
        </w:rPr>
        <w:t>Counterparty</w:t>
      </w:r>
      <w:r w:rsidRPr="002121A4">
        <w:rPr>
          <w:rFonts w:cs="Times New Roman"/>
          <w:sz w:val="19"/>
          <w:szCs w:val="19"/>
          <w:lang w:val="en-GB"/>
        </w:rPr>
        <w:t xml:space="preserve"> → Eligible </w:t>
      </w:r>
      <w:proofErr w:type="spellStart"/>
      <w:r w:rsidRPr="002121A4">
        <w:rPr>
          <w:rFonts w:cs="Times New Roman"/>
          <w:sz w:val="19"/>
          <w:szCs w:val="19"/>
          <w:lang w:val="en-GB"/>
        </w:rPr>
        <w:t>counterprty</w:t>
      </w:r>
      <w:proofErr w:type="spellEnd"/>
    </w:p>
    <w:p w14:paraId="1E0D783D" w14:textId="2E4D03BE" w:rsidR="00BB111E" w:rsidRPr="002121A4" w:rsidRDefault="00BB111E" w:rsidP="008C5A48">
      <w:pPr>
        <w:rPr>
          <w:sz w:val="19"/>
          <w:szCs w:val="19"/>
          <w:lang w:val="en-GB"/>
        </w:rPr>
      </w:pPr>
      <w:r w:rsidRPr="002121A4">
        <w:rPr>
          <w:b/>
          <w:sz w:val="19"/>
          <w:szCs w:val="19"/>
          <w:lang w:val="en-GB"/>
        </w:rPr>
        <w:t>CRA Regulation</w:t>
      </w:r>
      <w:r w:rsidRPr="002121A4">
        <w:rPr>
          <w:sz w:val="19"/>
          <w:szCs w:val="19"/>
          <w:lang w:val="en-GB"/>
        </w:rPr>
        <w:t>  </w:t>
      </w:r>
      <w:proofErr w:type="spellStart"/>
      <w:r w:rsidRPr="002121A4">
        <w:rPr>
          <w:sz w:val="19"/>
          <w:szCs w:val="19"/>
          <w:lang w:val="en-GB"/>
        </w:rPr>
        <w:t>Regulation</w:t>
      </w:r>
      <w:proofErr w:type="spellEnd"/>
      <w:r w:rsidRPr="002121A4">
        <w:rPr>
          <w:sz w:val="19"/>
          <w:szCs w:val="19"/>
          <w:lang w:val="en-GB"/>
        </w:rPr>
        <w:t xml:space="preserve"> (EU) No 462/2013 of 21</w:t>
      </w:r>
      <w:r w:rsidR="00277F36" w:rsidRPr="002121A4">
        <w:rPr>
          <w:sz w:val="19"/>
          <w:szCs w:val="19"/>
          <w:lang w:val="en-GB"/>
        </w:rPr>
        <w:t> </w:t>
      </w:r>
      <w:r w:rsidRPr="002121A4">
        <w:rPr>
          <w:sz w:val="19"/>
          <w:szCs w:val="19"/>
          <w:lang w:val="en-GB"/>
        </w:rPr>
        <w:t>May 2013 on credit rating agencies</w:t>
      </w:r>
    </w:p>
    <w:p w14:paraId="5B956C2F" w14:textId="16A29EF8" w:rsidR="0010448A" w:rsidRPr="002121A4" w:rsidRDefault="0010448A" w:rsidP="0010448A">
      <w:pPr>
        <w:rPr>
          <w:sz w:val="19"/>
          <w:szCs w:val="19"/>
          <w:lang w:val="en-GB"/>
        </w:rPr>
      </w:pPr>
      <w:r w:rsidRPr="002121A4">
        <w:rPr>
          <w:b/>
          <w:caps/>
          <w:sz w:val="19"/>
          <w:szCs w:val="19"/>
          <w:lang w:val="en-GB"/>
        </w:rPr>
        <w:t>CRD IV</w:t>
      </w:r>
      <w:r w:rsidRPr="002121A4">
        <w:rPr>
          <w:sz w:val="19"/>
          <w:szCs w:val="19"/>
          <w:lang w:val="en-GB"/>
        </w:rPr>
        <w:t>  Directive 2013/36/EU of 26 June 2013 on access to the activity of credit institutions and the prudential supervision of credit institutions and investment firms</w:t>
      </w:r>
      <w:r w:rsidR="00474744" w:rsidRPr="002121A4">
        <w:rPr>
          <w:sz w:val="19"/>
          <w:szCs w:val="19"/>
          <w:lang w:val="en-GB"/>
        </w:rPr>
        <w:t>, also referred to as Capital Requirements Directive</w:t>
      </w:r>
    </w:p>
    <w:p w14:paraId="77B940F2" w14:textId="095FF764" w:rsidR="00135CC1" w:rsidRPr="002121A4" w:rsidRDefault="00135CC1" w:rsidP="0010448A">
      <w:pPr>
        <w:rPr>
          <w:sz w:val="19"/>
          <w:szCs w:val="19"/>
          <w:lang w:val="en-GB"/>
        </w:rPr>
      </w:pPr>
      <w:r w:rsidRPr="002121A4">
        <w:rPr>
          <w:b/>
          <w:sz w:val="19"/>
          <w:szCs w:val="19"/>
          <w:lang w:val="en-GB"/>
        </w:rPr>
        <w:t>Credit Rating</w:t>
      </w:r>
      <w:r w:rsidRPr="002121A4">
        <w:rPr>
          <w:sz w:val="19"/>
          <w:szCs w:val="19"/>
          <w:lang w:val="en-GB"/>
        </w:rPr>
        <w:t>  An opinion on the creditworthiness of an issuer</w:t>
      </w:r>
    </w:p>
    <w:p w14:paraId="2B43A9F9" w14:textId="69EE0BF2" w:rsidR="00D25128" w:rsidRPr="002121A4" w:rsidRDefault="00D25128" w:rsidP="008C5A48">
      <w:pPr>
        <w:rPr>
          <w:rFonts w:cs="Times New Roman"/>
          <w:sz w:val="19"/>
          <w:szCs w:val="19"/>
          <w:lang w:val="en-GB"/>
        </w:rPr>
      </w:pPr>
      <w:r w:rsidRPr="002121A4">
        <w:rPr>
          <w:b/>
          <w:sz w:val="19"/>
          <w:szCs w:val="19"/>
          <w:lang w:val="en-GB"/>
        </w:rPr>
        <w:t>Credit Rating Agencies Regulation</w:t>
      </w:r>
      <w:r w:rsidRPr="002121A4">
        <w:rPr>
          <w:sz w:val="19"/>
          <w:szCs w:val="19"/>
          <w:lang w:val="en-GB"/>
        </w:rPr>
        <w:t>  </w:t>
      </w:r>
      <w:r w:rsidRPr="002121A4">
        <w:rPr>
          <w:rFonts w:cs="Times New Roman"/>
          <w:sz w:val="19"/>
          <w:szCs w:val="19"/>
          <w:lang w:val="en-GB"/>
        </w:rPr>
        <w:t>→ CRA Regulation</w:t>
      </w:r>
    </w:p>
    <w:p w14:paraId="6C4D2238" w14:textId="4A752AF2" w:rsidR="00843052" w:rsidRPr="002121A4" w:rsidRDefault="00843052" w:rsidP="00843052">
      <w:pPr>
        <w:rPr>
          <w:rFonts w:cs="Times New Roman"/>
          <w:sz w:val="19"/>
          <w:szCs w:val="19"/>
          <w:lang w:val="en-GB"/>
        </w:rPr>
      </w:pPr>
      <w:r w:rsidRPr="002121A4">
        <w:rPr>
          <w:rFonts w:cs="Times New Roman"/>
          <w:b/>
          <w:sz w:val="19"/>
          <w:szCs w:val="19"/>
          <w:lang w:val="en-GB"/>
        </w:rPr>
        <w:lastRenderedPageBreak/>
        <w:t>CRR</w:t>
      </w:r>
      <w:r w:rsidRPr="002121A4">
        <w:rPr>
          <w:rFonts w:cs="Times New Roman"/>
          <w:sz w:val="19"/>
          <w:szCs w:val="19"/>
          <w:lang w:val="en-GB"/>
        </w:rPr>
        <w:t>  Regulation (EU) No 575/2013 of 26 June 2013 on prudential requirements for credit institutions and investment firms</w:t>
      </w:r>
      <w:r w:rsidR="001F557A" w:rsidRPr="002121A4">
        <w:rPr>
          <w:rFonts w:cs="Times New Roman"/>
          <w:sz w:val="19"/>
          <w:szCs w:val="19"/>
          <w:lang w:val="en-GB"/>
        </w:rPr>
        <w:t>, also referred to as Capital Requirements Regulation</w:t>
      </w:r>
    </w:p>
    <w:p w14:paraId="47FB9418" w14:textId="46D54C5B" w:rsidR="006445C9" w:rsidRPr="002121A4" w:rsidRDefault="006445C9" w:rsidP="00843052">
      <w:pPr>
        <w:rPr>
          <w:rFonts w:cs="Times New Roman"/>
          <w:sz w:val="19"/>
          <w:szCs w:val="19"/>
          <w:lang w:val="en-GB"/>
        </w:rPr>
      </w:pPr>
      <w:r w:rsidRPr="002121A4">
        <w:rPr>
          <w:rFonts w:cs="Times New Roman"/>
          <w:b/>
          <w:sz w:val="19"/>
          <w:szCs w:val="19"/>
          <w:lang w:val="en-GB"/>
        </w:rPr>
        <w:t>CSD</w:t>
      </w:r>
      <w:r w:rsidRPr="002121A4">
        <w:rPr>
          <w:rFonts w:cs="Times New Roman"/>
          <w:sz w:val="19"/>
          <w:szCs w:val="19"/>
          <w:lang w:val="en-GB"/>
        </w:rPr>
        <w:t>  Central securities depository, keeps global certificates in custody on behalf of its clients, e.g., Clearstream Banking AG</w:t>
      </w:r>
      <w:r w:rsidR="0054053E" w:rsidRPr="002121A4">
        <w:rPr>
          <w:rFonts w:cs="Times New Roman"/>
          <w:sz w:val="19"/>
          <w:szCs w:val="19"/>
          <w:lang w:val="en-GB"/>
        </w:rPr>
        <w:t>. Arranges, together with → CCPs, for settlement of capital market transactions.</w:t>
      </w:r>
    </w:p>
    <w:p w14:paraId="49D095D7" w14:textId="6A573561" w:rsidR="003B4D78" w:rsidRPr="002121A4" w:rsidRDefault="003B4D78" w:rsidP="00843052">
      <w:pPr>
        <w:rPr>
          <w:rFonts w:cs="Times New Roman"/>
          <w:sz w:val="19"/>
          <w:szCs w:val="19"/>
          <w:lang w:val="en-GB"/>
        </w:rPr>
      </w:pPr>
      <w:r w:rsidRPr="002121A4">
        <w:rPr>
          <w:rFonts w:cs="Times New Roman"/>
          <w:b/>
          <w:sz w:val="19"/>
          <w:szCs w:val="19"/>
          <w:lang w:val="en-GB"/>
        </w:rPr>
        <w:t>CSDR</w:t>
      </w:r>
      <w:r w:rsidRPr="002121A4">
        <w:rPr>
          <w:rFonts w:cs="Times New Roman"/>
          <w:sz w:val="19"/>
          <w:szCs w:val="19"/>
          <w:lang w:val="en-GB"/>
        </w:rPr>
        <w:t>  Regulation (EU) No 909/2014 of 23 July 2014 on improving securities settlement in the European Union and on central securities depositories</w:t>
      </w:r>
    </w:p>
    <w:p w14:paraId="58D876C0" w14:textId="34EC8378" w:rsidR="00BC43EF" w:rsidRPr="002121A4" w:rsidRDefault="00BC43EF" w:rsidP="008C5A48">
      <w:pPr>
        <w:rPr>
          <w:rFonts w:cs="Times New Roman"/>
          <w:sz w:val="19"/>
          <w:szCs w:val="19"/>
          <w:lang w:val="en-GB"/>
        </w:rPr>
      </w:pPr>
      <w:r w:rsidRPr="002121A4">
        <w:rPr>
          <w:rFonts w:cs="Times New Roman"/>
          <w:b/>
          <w:sz w:val="19"/>
          <w:szCs w:val="19"/>
          <w:lang w:val="en-GB"/>
        </w:rPr>
        <w:t>CSRD</w:t>
      </w:r>
      <w:r w:rsidRPr="002121A4">
        <w:rPr>
          <w:rFonts w:cs="Times New Roman"/>
          <w:sz w:val="19"/>
          <w:szCs w:val="19"/>
          <w:lang w:val="en-GB"/>
        </w:rPr>
        <w:t>  Directive (EU) 2022/2464 of 14 December 2022 amending Regulation (EU) No 537/2014, Directive 2004/109/EC, Directive 2006/43/EC and Directive 2013/34/EU, as regards corporate sustainability reporting</w:t>
      </w:r>
    </w:p>
    <w:p w14:paraId="707C5235" w14:textId="610D2F19" w:rsidR="003A0F8A" w:rsidRPr="002121A4" w:rsidRDefault="003A0F8A" w:rsidP="008C5A48">
      <w:pPr>
        <w:rPr>
          <w:rFonts w:cs="Times New Roman"/>
          <w:sz w:val="19"/>
          <w:szCs w:val="19"/>
          <w:lang w:val="en-GB"/>
        </w:rPr>
      </w:pPr>
      <w:r w:rsidRPr="002121A4">
        <w:rPr>
          <w:rFonts w:cs="Times New Roman"/>
          <w:b/>
          <w:sz w:val="19"/>
          <w:szCs w:val="19"/>
          <w:lang w:val="en-GB"/>
        </w:rPr>
        <w:t>Debt</w:t>
      </w:r>
      <w:r w:rsidRPr="002121A4">
        <w:rPr>
          <w:rFonts w:cs="Times New Roman"/>
          <w:sz w:val="19"/>
          <w:szCs w:val="19"/>
          <w:lang w:val="en-GB"/>
        </w:rPr>
        <w:t>  Refers to money that is borrowed, e.g., under a loan or a bond. Cf. → equity.</w:t>
      </w:r>
    </w:p>
    <w:p w14:paraId="3010FA83" w14:textId="4B8B08D7" w:rsidR="002F46C6" w:rsidRPr="002121A4" w:rsidRDefault="002F46C6" w:rsidP="008C5A48">
      <w:pPr>
        <w:rPr>
          <w:rFonts w:cs="Times New Roman"/>
          <w:sz w:val="19"/>
          <w:szCs w:val="19"/>
          <w:lang w:val="en-GB"/>
        </w:rPr>
      </w:pPr>
      <w:r w:rsidRPr="002121A4">
        <w:rPr>
          <w:rFonts w:cs="Times New Roman"/>
          <w:b/>
          <w:sz w:val="19"/>
          <w:szCs w:val="19"/>
          <w:lang w:val="en-GB"/>
        </w:rPr>
        <w:t>Delisting</w:t>
      </w:r>
      <w:r w:rsidRPr="002121A4">
        <w:rPr>
          <w:rFonts w:cs="Times New Roman"/>
          <w:sz w:val="19"/>
          <w:szCs w:val="19"/>
          <w:lang w:val="en-GB"/>
        </w:rPr>
        <w:t>  Removal of a → financial instrument from admission to trading on a regulated market or an MTF, see para. </w:t>
      </w:r>
      <w:r w:rsidRPr="002121A4">
        <w:rPr>
          <w:rFonts w:cs="Times New Roman"/>
          <w:sz w:val="19"/>
          <w:szCs w:val="19"/>
          <w:lang w:val="en-GB"/>
        </w:rPr>
        <w:fldChar w:fldCharType="begin"/>
      </w:r>
      <w:r w:rsidRPr="002121A4">
        <w:rPr>
          <w:rFonts w:cs="Times New Roman"/>
          <w:sz w:val="19"/>
          <w:szCs w:val="19"/>
          <w:lang w:val="en-GB"/>
        </w:rPr>
        <w:instrText xml:space="preserve"> REF _Ref129776117 \r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sz w:val="19"/>
          <w:szCs w:val="19"/>
          <w:lang w:val="en-GB"/>
        </w:rPr>
        <w:t>190</w:t>
      </w:r>
      <w:r w:rsidRPr="002121A4">
        <w:rPr>
          <w:rFonts w:cs="Times New Roman"/>
          <w:sz w:val="19"/>
          <w:szCs w:val="19"/>
          <w:lang w:val="en-GB"/>
        </w:rPr>
        <w:fldChar w:fldCharType="end"/>
      </w:r>
    </w:p>
    <w:p w14:paraId="3104805A" w14:textId="1B1B8893" w:rsidR="003C250D" w:rsidRPr="002121A4" w:rsidRDefault="003C250D" w:rsidP="008C5A48">
      <w:pPr>
        <w:rPr>
          <w:rFonts w:cs="Times New Roman"/>
          <w:sz w:val="19"/>
          <w:szCs w:val="19"/>
          <w:lang w:val="en-GB"/>
        </w:rPr>
      </w:pPr>
      <w:r w:rsidRPr="002121A4">
        <w:rPr>
          <w:rFonts w:cs="Times New Roman"/>
          <w:b/>
          <w:sz w:val="19"/>
          <w:szCs w:val="19"/>
          <w:lang w:val="en-GB"/>
        </w:rPr>
        <w:t>Denomination</w:t>
      </w:r>
      <w:r w:rsidRPr="002121A4">
        <w:rPr>
          <w:rFonts w:cs="Times New Roman"/>
          <w:sz w:val="19"/>
          <w:szCs w:val="19"/>
          <w:lang w:val="en-GB"/>
        </w:rPr>
        <w:t>  Face value or nominal value of one unit of a series of fungible securities, see para. </w:t>
      </w:r>
      <w:r w:rsidRPr="002121A4">
        <w:rPr>
          <w:rFonts w:cs="Times New Roman"/>
          <w:sz w:val="19"/>
          <w:szCs w:val="19"/>
          <w:lang w:val="en-GB"/>
        </w:rPr>
        <w:fldChar w:fldCharType="begin"/>
      </w:r>
      <w:r w:rsidRPr="002121A4">
        <w:rPr>
          <w:rFonts w:cs="Times New Roman"/>
          <w:sz w:val="19"/>
          <w:szCs w:val="19"/>
          <w:lang w:val="en-GB"/>
        </w:rPr>
        <w:instrText xml:space="preserve"> PAGEREF _Ref130830685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noProof/>
          <w:sz w:val="19"/>
          <w:szCs w:val="19"/>
          <w:lang w:val="en-GB"/>
        </w:rPr>
        <w:t>32</w:t>
      </w:r>
      <w:r w:rsidRPr="002121A4">
        <w:rPr>
          <w:rFonts w:cs="Times New Roman"/>
          <w:sz w:val="19"/>
          <w:szCs w:val="19"/>
          <w:lang w:val="en-GB"/>
        </w:rPr>
        <w:fldChar w:fldCharType="end"/>
      </w:r>
    </w:p>
    <w:p w14:paraId="76B024D4" w14:textId="12E67C5B" w:rsidR="00766171" w:rsidRPr="002121A4" w:rsidRDefault="00766171" w:rsidP="008C5A48">
      <w:pPr>
        <w:rPr>
          <w:rFonts w:cs="Times New Roman"/>
          <w:b/>
          <w:sz w:val="19"/>
          <w:szCs w:val="19"/>
          <w:lang w:val="en-GB"/>
        </w:rPr>
      </w:pPr>
      <w:r w:rsidRPr="002121A4">
        <w:rPr>
          <w:rFonts w:cs="Times New Roman"/>
          <w:b/>
          <w:sz w:val="19"/>
          <w:szCs w:val="19"/>
          <w:lang w:val="en-GB"/>
        </w:rPr>
        <w:t xml:space="preserve">Derivative </w:t>
      </w:r>
      <w:r w:rsidRPr="002121A4">
        <w:rPr>
          <w:rFonts w:cs="Times New Roman"/>
          <w:sz w:val="19"/>
          <w:szCs w:val="19"/>
          <w:lang w:val="en-GB"/>
        </w:rPr>
        <w:t xml:space="preserve">A type of → financial instrument, e.g. futures, options, and swaps  </w:t>
      </w:r>
    </w:p>
    <w:p w14:paraId="30507D87" w14:textId="36A992A8" w:rsidR="00766171" w:rsidRPr="002121A4" w:rsidRDefault="00766171" w:rsidP="00766171">
      <w:pPr>
        <w:rPr>
          <w:rFonts w:cs="Times New Roman"/>
          <w:sz w:val="19"/>
          <w:szCs w:val="19"/>
          <w:lang w:val="en-GB"/>
        </w:rPr>
      </w:pPr>
      <w:r w:rsidRPr="002121A4">
        <w:rPr>
          <w:rFonts w:cs="Times New Roman"/>
          <w:b/>
          <w:sz w:val="19"/>
          <w:szCs w:val="19"/>
          <w:lang w:val="en-GB"/>
        </w:rPr>
        <w:t xml:space="preserve">Deutscher </w:t>
      </w:r>
      <w:proofErr w:type="spellStart"/>
      <w:r w:rsidRPr="002121A4">
        <w:rPr>
          <w:rFonts w:cs="Times New Roman"/>
          <w:b/>
          <w:sz w:val="19"/>
          <w:szCs w:val="19"/>
          <w:lang w:val="en-GB"/>
        </w:rPr>
        <w:t>Rahmenvertrag</w:t>
      </w:r>
      <w:proofErr w:type="spellEnd"/>
      <w:r w:rsidRPr="002121A4">
        <w:rPr>
          <w:rFonts w:cs="Times New Roman"/>
          <w:sz w:val="19"/>
          <w:szCs w:val="19"/>
          <w:lang w:val="en-GB"/>
        </w:rPr>
        <w:t>  </w:t>
      </w:r>
      <w:r w:rsidRPr="002121A4">
        <w:rPr>
          <w:sz w:val="19"/>
          <w:szCs w:val="19"/>
          <w:lang w:val="en-GB"/>
        </w:rPr>
        <w:t xml:space="preserve">A framework agreement for </w:t>
      </w:r>
      <w:r w:rsidRPr="002121A4">
        <w:rPr>
          <w:rFonts w:cs="Times New Roman"/>
          <w:sz w:val="19"/>
          <w:szCs w:val="19"/>
          <w:lang w:val="en-GB"/>
        </w:rPr>
        <w:t xml:space="preserve">→ </w:t>
      </w:r>
      <w:r w:rsidRPr="002121A4">
        <w:rPr>
          <w:sz w:val="19"/>
          <w:szCs w:val="19"/>
          <w:lang w:val="en-GB"/>
        </w:rPr>
        <w:t>derivative contracts, see para.</w:t>
      </w:r>
      <w:r w:rsidR="00A221E1">
        <w:rPr>
          <w:sz w:val="19"/>
          <w:szCs w:val="19"/>
          <w:lang w:val="en-GB"/>
        </w:rPr>
        <w:t> </w:t>
      </w:r>
      <w:r w:rsidR="00A221E1">
        <w:rPr>
          <w:sz w:val="19"/>
          <w:szCs w:val="19"/>
          <w:lang w:val="en-GB"/>
        </w:rPr>
        <w:fldChar w:fldCharType="begin"/>
      </w:r>
      <w:r w:rsidR="00A221E1">
        <w:rPr>
          <w:sz w:val="19"/>
          <w:szCs w:val="19"/>
          <w:lang w:val="en-GB"/>
        </w:rPr>
        <w:instrText xml:space="preserve"> REF _Ref194577788 \r \h </w:instrText>
      </w:r>
      <w:r w:rsidR="00A221E1">
        <w:rPr>
          <w:sz w:val="19"/>
          <w:szCs w:val="19"/>
          <w:lang w:val="en-GB"/>
        </w:rPr>
      </w:r>
      <w:r w:rsidR="00A221E1">
        <w:rPr>
          <w:sz w:val="19"/>
          <w:szCs w:val="19"/>
          <w:lang w:val="en-GB"/>
        </w:rPr>
        <w:fldChar w:fldCharType="separate"/>
      </w:r>
      <w:r w:rsidR="00D56145">
        <w:rPr>
          <w:sz w:val="19"/>
          <w:szCs w:val="19"/>
          <w:lang w:val="en-GB"/>
        </w:rPr>
        <w:t>45</w:t>
      </w:r>
      <w:r w:rsidR="00A221E1">
        <w:rPr>
          <w:sz w:val="19"/>
          <w:szCs w:val="19"/>
          <w:lang w:val="en-GB"/>
        </w:rPr>
        <w:fldChar w:fldCharType="end"/>
      </w:r>
      <w:r w:rsidR="001C65D2">
        <w:rPr>
          <w:sz w:val="19"/>
          <w:szCs w:val="19"/>
          <w:lang w:val="en-GB"/>
        </w:rPr>
        <w:t>.</w:t>
      </w:r>
    </w:p>
    <w:p w14:paraId="0EBE879F" w14:textId="1CEEE767" w:rsidR="00526315" w:rsidRPr="002121A4" w:rsidRDefault="00526315" w:rsidP="008C5A48">
      <w:pPr>
        <w:rPr>
          <w:rFonts w:cs="Times New Roman"/>
          <w:sz w:val="19"/>
          <w:szCs w:val="19"/>
          <w:lang w:val="en-GB"/>
        </w:rPr>
      </w:pPr>
      <w:r w:rsidRPr="002121A4">
        <w:rPr>
          <w:rFonts w:cs="Times New Roman"/>
          <w:b/>
          <w:sz w:val="19"/>
          <w:szCs w:val="19"/>
          <w:lang w:val="en-GB"/>
        </w:rPr>
        <w:t>Digital securities  </w:t>
      </w:r>
      <w:r w:rsidRPr="002121A4">
        <w:rPr>
          <w:rFonts w:cs="Times New Roman"/>
          <w:sz w:val="19"/>
          <w:szCs w:val="19"/>
          <w:lang w:val="en-GB"/>
        </w:rPr>
        <w:t>A term referring to</w:t>
      </w:r>
      <w:r w:rsidRPr="002121A4">
        <w:rPr>
          <w:rFonts w:cs="Times New Roman"/>
          <w:b/>
          <w:sz w:val="19"/>
          <w:szCs w:val="19"/>
          <w:lang w:val="en-GB"/>
        </w:rPr>
        <w:t xml:space="preserve"> </w:t>
      </w:r>
      <w:r w:rsidRPr="002121A4">
        <w:rPr>
          <w:rFonts w:cs="Times New Roman"/>
          <w:sz w:val="19"/>
          <w:szCs w:val="19"/>
          <w:lang w:val="en-GB"/>
        </w:rPr>
        <w:t>→ Securities that are not certificated through paper certificates</w:t>
      </w:r>
    </w:p>
    <w:p w14:paraId="14301C48" w14:textId="140086FE" w:rsidR="00826495" w:rsidRPr="002121A4" w:rsidRDefault="00826495" w:rsidP="008C5A48">
      <w:pPr>
        <w:rPr>
          <w:b/>
          <w:sz w:val="19"/>
          <w:szCs w:val="19"/>
          <w:lang w:val="en-GB"/>
        </w:rPr>
      </w:pPr>
      <w:r w:rsidRPr="002121A4">
        <w:rPr>
          <w:rFonts w:cs="Times New Roman"/>
          <w:b/>
          <w:sz w:val="19"/>
          <w:szCs w:val="19"/>
          <w:lang w:val="en-GB"/>
        </w:rPr>
        <w:t>Director’s dealings</w:t>
      </w:r>
      <w:r w:rsidRPr="002121A4">
        <w:rPr>
          <w:rFonts w:cs="Times New Roman"/>
          <w:sz w:val="19"/>
          <w:szCs w:val="19"/>
          <w:lang w:val="en-GB"/>
        </w:rPr>
        <w:t>  a synonym for → managers transactions</w:t>
      </w:r>
    </w:p>
    <w:p w14:paraId="3968B097" w14:textId="4F853383" w:rsidR="009B4B9F" w:rsidRPr="002121A4" w:rsidRDefault="009B4B9F" w:rsidP="008C5A48">
      <w:pPr>
        <w:rPr>
          <w:sz w:val="19"/>
          <w:szCs w:val="19"/>
          <w:lang w:val="en-GB"/>
        </w:rPr>
      </w:pPr>
      <w:r w:rsidRPr="002121A4">
        <w:rPr>
          <w:b/>
          <w:sz w:val="19"/>
          <w:szCs w:val="19"/>
          <w:lang w:val="en-GB"/>
        </w:rPr>
        <w:t>EBA</w:t>
      </w:r>
      <w:r w:rsidRPr="002121A4">
        <w:rPr>
          <w:sz w:val="19"/>
          <w:szCs w:val="19"/>
          <w:lang w:val="en-GB"/>
        </w:rPr>
        <w:t>  European Banking Authority</w:t>
      </w:r>
    </w:p>
    <w:p w14:paraId="44160E31" w14:textId="75DD390A" w:rsidR="00FE3A57" w:rsidRPr="002121A4" w:rsidRDefault="00FE3A57" w:rsidP="008C5A48">
      <w:pPr>
        <w:rPr>
          <w:sz w:val="19"/>
          <w:szCs w:val="19"/>
          <w:lang w:val="en-GB"/>
        </w:rPr>
      </w:pPr>
      <w:r w:rsidRPr="002121A4">
        <w:rPr>
          <w:b/>
          <w:sz w:val="19"/>
          <w:szCs w:val="19"/>
          <w:lang w:val="en-GB"/>
        </w:rPr>
        <w:t>ECJ </w:t>
      </w:r>
      <w:r w:rsidRPr="002121A4">
        <w:rPr>
          <w:sz w:val="19"/>
          <w:szCs w:val="19"/>
          <w:lang w:val="en-GB"/>
        </w:rPr>
        <w:t> European Court of Justice</w:t>
      </w:r>
    </w:p>
    <w:p w14:paraId="42E22A1F" w14:textId="7774114D" w:rsidR="00152442" w:rsidRPr="002121A4" w:rsidRDefault="00152442" w:rsidP="008C5A48">
      <w:pPr>
        <w:rPr>
          <w:sz w:val="19"/>
          <w:szCs w:val="19"/>
          <w:lang w:val="en-GB"/>
        </w:rPr>
      </w:pPr>
      <w:r w:rsidRPr="002121A4">
        <w:rPr>
          <w:b/>
          <w:sz w:val="19"/>
          <w:szCs w:val="19"/>
          <w:lang w:val="en-GB"/>
        </w:rPr>
        <w:t>EEA</w:t>
      </w:r>
      <w:r w:rsidRPr="002121A4">
        <w:rPr>
          <w:sz w:val="19"/>
          <w:szCs w:val="19"/>
          <w:lang w:val="en-GB"/>
        </w:rPr>
        <w:t>  European Economic Area</w:t>
      </w:r>
    </w:p>
    <w:p w14:paraId="3AC8AAAA" w14:textId="002BC023" w:rsidR="00FB66BF" w:rsidRPr="002121A4" w:rsidRDefault="00FB66BF" w:rsidP="008C5A48">
      <w:pPr>
        <w:rPr>
          <w:sz w:val="19"/>
          <w:szCs w:val="19"/>
          <w:lang w:val="en-GB"/>
        </w:rPr>
      </w:pPr>
      <w:r w:rsidRPr="002121A4">
        <w:rPr>
          <w:b/>
          <w:sz w:val="19"/>
          <w:szCs w:val="19"/>
          <w:lang w:val="en-GB"/>
        </w:rPr>
        <w:t>EFTA</w:t>
      </w:r>
      <w:r w:rsidRPr="002121A4">
        <w:rPr>
          <w:sz w:val="19"/>
          <w:szCs w:val="19"/>
          <w:lang w:val="en-GB"/>
        </w:rPr>
        <w:t>  European Free Trade Association</w:t>
      </w:r>
    </w:p>
    <w:p w14:paraId="663D910E" w14:textId="6F6F6E11" w:rsidR="00152442" w:rsidRPr="002121A4" w:rsidRDefault="00152442" w:rsidP="008C5A48">
      <w:pPr>
        <w:rPr>
          <w:sz w:val="19"/>
          <w:szCs w:val="19"/>
          <w:lang w:val="en-GB"/>
        </w:rPr>
      </w:pPr>
      <w:r w:rsidRPr="002121A4">
        <w:rPr>
          <w:b/>
          <w:sz w:val="19"/>
          <w:szCs w:val="19"/>
          <w:lang w:val="en-GB"/>
        </w:rPr>
        <w:t>EFTA Court</w:t>
      </w:r>
      <w:r w:rsidR="00FB66BF" w:rsidRPr="002121A4">
        <w:rPr>
          <w:sz w:val="19"/>
          <w:szCs w:val="19"/>
          <w:lang w:val="en-GB"/>
        </w:rPr>
        <w:t>  J</w:t>
      </w:r>
      <w:r w:rsidRPr="002121A4">
        <w:rPr>
          <w:sz w:val="19"/>
          <w:szCs w:val="19"/>
          <w:lang w:val="en-GB"/>
        </w:rPr>
        <w:t xml:space="preserve">udicial function within the </w:t>
      </w:r>
      <w:r w:rsidR="00FB66BF" w:rsidRPr="002121A4">
        <w:rPr>
          <w:rFonts w:cs="Times New Roman"/>
          <w:sz w:val="19"/>
          <w:szCs w:val="19"/>
          <w:lang w:val="en-GB"/>
        </w:rPr>
        <w:t>→ </w:t>
      </w:r>
      <w:r w:rsidRPr="002121A4">
        <w:rPr>
          <w:sz w:val="19"/>
          <w:szCs w:val="19"/>
          <w:lang w:val="en-GB"/>
        </w:rPr>
        <w:t>EFTA system, interpret</w:t>
      </w:r>
      <w:r w:rsidR="00FB66BF" w:rsidRPr="002121A4">
        <w:rPr>
          <w:sz w:val="19"/>
          <w:szCs w:val="19"/>
          <w:lang w:val="en-GB"/>
        </w:rPr>
        <w:t>s</w:t>
      </w:r>
      <w:r w:rsidRPr="002121A4">
        <w:rPr>
          <w:sz w:val="19"/>
          <w:szCs w:val="19"/>
          <w:lang w:val="en-GB"/>
        </w:rPr>
        <w:t xml:space="preserve"> Agreement on the </w:t>
      </w:r>
      <w:r w:rsidRPr="002121A4">
        <w:rPr>
          <w:rFonts w:cs="Times New Roman"/>
          <w:sz w:val="19"/>
          <w:szCs w:val="19"/>
          <w:lang w:val="en-GB"/>
        </w:rPr>
        <w:t xml:space="preserve">→ </w:t>
      </w:r>
      <w:r w:rsidRPr="002121A4">
        <w:rPr>
          <w:sz w:val="19"/>
          <w:szCs w:val="19"/>
          <w:lang w:val="en-GB"/>
        </w:rPr>
        <w:t>EEA with regard to the EFTA States party to the Agreement</w:t>
      </w:r>
    </w:p>
    <w:p w14:paraId="23A4E91C" w14:textId="25C280B3" w:rsidR="003A0F8A" w:rsidRPr="002121A4" w:rsidRDefault="003A0F8A" w:rsidP="008C5A48">
      <w:pPr>
        <w:rPr>
          <w:sz w:val="19"/>
          <w:szCs w:val="19"/>
          <w:lang w:val="en-GB"/>
        </w:rPr>
      </w:pPr>
      <w:proofErr w:type="spellStart"/>
      <w:r w:rsidRPr="002121A4">
        <w:rPr>
          <w:b/>
          <w:sz w:val="19"/>
          <w:szCs w:val="19"/>
          <w:lang w:val="en-GB"/>
        </w:rPr>
        <w:t>Eigenkapital</w:t>
      </w:r>
      <w:proofErr w:type="spellEnd"/>
      <w:r w:rsidRPr="002121A4">
        <w:rPr>
          <w:sz w:val="19"/>
          <w:szCs w:val="19"/>
          <w:lang w:val="en-GB"/>
        </w:rPr>
        <w:t>  </w:t>
      </w:r>
      <w:r w:rsidRPr="002121A4">
        <w:rPr>
          <w:rFonts w:cs="Times New Roman"/>
          <w:sz w:val="19"/>
          <w:szCs w:val="19"/>
          <w:lang w:val="en-GB"/>
        </w:rPr>
        <w:t>→ equity</w:t>
      </w:r>
    </w:p>
    <w:p w14:paraId="05C4133A" w14:textId="20C35A10" w:rsidR="009B4B9F" w:rsidRPr="002121A4" w:rsidRDefault="009B4B9F" w:rsidP="008C5A48">
      <w:pPr>
        <w:rPr>
          <w:sz w:val="19"/>
          <w:szCs w:val="19"/>
          <w:lang w:val="en-GB"/>
        </w:rPr>
      </w:pPr>
      <w:r w:rsidRPr="002121A4">
        <w:rPr>
          <w:b/>
          <w:sz w:val="19"/>
          <w:szCs w:val="19"/>
          <w:lang w:val="en-GB"/>
        </w:rPr>
        <w:t>EIOPA</w:t>
      </w:r>
      <w:r w:rsidRPr="002121A4">
        <w:rPr>
          <w:sz w:val="19"/>
          <w:szCs w:val="19"/>
          <w:lang w:val="en-GB"/>
        </w:rPr>
        <w:t>  European Insurance and Occupational Pension Funds Authority</w:t>
      </w:r>
    </w:p>
    <w:p w14:paraId="0162E66B" w14:textId="23E1CE71" w:rsidR="006A3998" w:rsidRPr="002121A4" w:rsidRDefault="006A3998" w:rsidP="008C5A48">
      <w:pPr>
        <w:rPr>
          <w:sz w:val="19"/>
          <w:szCs w:val="19"/>
          <w:lang w:val="en-GB"/>
        </w:rPr>
      </w:pPr>
      <w:r w:rsidRPr="002121A4">
        <w:rPr>
          <w:b/>
          <w:sz w:val="19"/>
          <w:szCs w:val="19"/>
          <w:lang w:val="en-GB"/>
        </w:rPr>
        <w:t xml:space="preserve">Eligible </w:t>
      </w:r>
      <w:r w:rsidR="002307F7" w:rsidRPr="002121A4">
        <w:rPr>
          <w:b/>
          <w:sz w:val="19"/>
          <w:szCs w:val="19"/>
          <w:lang w:val="en-GB"/>
        </w:rPr>
        <w:t>c</w:t>
      </w:r>
      <w:r w:rsidRPr="002121A4">
        <w:rPr>
          <w:b/>
          <w:sz w:val="19"/>
          <w:szCs w:val="19"/>
          <w:lang w:val="en-GB"/>
        </w:rPr>
        <w:t>ounterparty</w:t>
      </w:r>
      <w:r w:rsidRPr="002121A4">
        <w:rPr>
          <w:sz w:val="19"/>
          <w:szCs w:val="19"/>
          <w:lang w:val="en-GB"/>
        </w:rPr>
        <w:t xml:space="preserve">  A category of clients under </w:t>
      </w:r>
      <w:r w:rsidRPr="002121A4">
        <w:rPr>
          <w:rFonts w:cs="Times New Roman"/>
          <w:sz w:val="19"/>
          <w:szCs w:val="19"/>
          <w:lang w:val="en-GB"/>
        </w:rPr>
        <w:t>→</w:t>
      </w:r>
      <w:r w:rsidR="007B1222" w:rsidRPr="002121A4">
        <w:rPr>
          <w:sz w:val="19"/>
          <w:szCs w:val="19"/>
          <w:lang w:val="en-GB"/>
        </w:rPr>
        <w:t> </w:t>
      </w:r>
      <w:r w:rsidRPr="002121A4">
        <w:rPr>
          <w:sz w:val="19"/>
          <w:szCs w:val="19"/>
          <w:lang w:val="en-GB"/>
        </w:rPr>
        <w:t>MiFID II, see para. </w:t>
      </w:r>
      <w:r w:rsidRPr="002121A4">
        <w:rPr>
          <w:sz w:val="19"/>
          <w:szCs w:val="19"/>
          <w:lang w:val="en-GB"/>
        </w:rPr>
        <w:fldChar w:fldCharType="begin"/>
      </w:r>
      <w:r w:rsidRPr="002121A4">
        <w:rPr>
          <w:sz w:val="19"/>
          <w:szCs w:val="19"/>
          <w:lang w:val="en-GB"/>
        </w:rPr>
        <w:instrText xml:space="preserve"> REF _Ref130829903 \r \h </w:instrText>
      </w:r>
      <w:r w:rsidRPr="002121A4">
        <w:rPr>
          <w:sz w:val="19"/>
          <w:szCs w:val="19"/>
          <w:lang w:val="en-GB"/>
        </w:rPr>
      </w:r>
      <w:r w:rsidRPr="002121A4">
        <w:rPr>
          <w:sz w:val="19"/>
          <w:szCs w:val="19"/>
          <w:lang w:val="en-GB"/>
        </w:rPr>
        <w:fldChar w:fldCharType="separate"/>
      </w:r>
      <w:r w:rsidR="00D56145">
        <w:rPr>
          <w:sz w:val="19"/>
          <w:szCs w:val="19"/>
          <w:lang w:val="en-GB"/>
        </w:rPr>
        <w:t>63</w:t>
      </w:r>
      <w:r w:rsidRPr="002121A4">
        <w:rPr>
          <w:sz w:val="19"/>
          <w:szCs w:val="19"/>
          <w:lang w:val="en-GB"/>
        </w:rPr>
        <w:fldChar w:fldCharType="end"/>
      </w:r>
    </w:p>
    <w:p w14:paraId="04FFA3A2" w14:textId="0D23BFC8" w:rsidR="008C7E61" w:rsidRPr="002121A4" w:rsidRDefault="008C7E61" w:rsidP="008C5A48">
      <w:pPr>
        <w:rPr>
          <w:sz w:val="19"/>
          <w:szCs w:val="19"/>
          <w:lang w:val="en-GB"/>
        </w:rPr>
      </w:pPr>
      <w:r w:rsidRPr="002121A4">
        <w:rPr>
          <w:b/>
          <w:sz w:val="19"/>
          <w:szCs w:val="19"/>
          <w:lang w:val="en-GB"/>
        </w:rPr>
        <w:t>EMIR</w:t>
      </w:r>
      <w:r w:rsidR="00DE438C" w:rsidRPr="002121A4">
        <w:rPr>
          <w:sz w:val="19"/>
          <w:szCs w:val="19"/>
          <w:lang w:val="en-GB"/>
        </w:rPr>
        <w:t>  Regulation (EU) No 648/2012 of 4 July 2012 on OTC derivatives, central counterparties and trade repositories</w:t>
      </w:r>
    </w:p>
    <w:p w14:paraId="2F811547" w14:textId="6E770308" w:rsidR="00336C5B" w:rsidRPr="002121A4" w:rsidRDefault="00336C5B" w:rsidP="008C5A48">
      <w:pPr>
        <w:rPr>
          <w:rFonts w:cs="Times New Roman"/>
          <w:sz w:val="19"/>
          <w:szCs w:val="19"/>
          <w:lang w:val="en-GB"/>
        </w:rPr>
      </w:pPr>
      <w:proofErr w:type="spellStart"/>
      <w:r w:rsidRPr="002121A4">
        <w:rPr>
          <w:b/>
          <w:sz w:val="19"/>
          <w:szCs w:val="19"/>
          <w:lang w:val="en-GB"/>
        </w:rPr>
        <w:t>Emittentenleitfaden</w:t>
      </w:r>
      <w:proofErr w:type="spellEnd"/>
      <w:r w:rsidRPr="002121A4">
        <w:rPr>
          <w:sz w:val="19"/>
          <w:szCs w:val="19"/>
          <w:lang w:val="en-GB"/>
        </w:rPr>
        <w:t xml:space="preserve">  Regulatory guidance on capital market law issued by </w:t>
      </w:r>
      <w:r w:rsidRPr="002121A4">
        <w:rPr>
          <w:rFonts w:cs="Times New Roman"/>
          <w:sz w:val="19"/>
          <w:szCs w:val="19"/>
          <w:lang w:val="en-GB"/>
        </w:rPr>
        <w:t>→ BaFin</w:t>
      </w:r>
      <w:r w:rsidR="00341691" w:rsidRPr="002121A4">
        <w:rPr>
          <w:rFonts w:cs="Times New Roman"/>
          <w:sz w:val="19"/>
          <w:szCs w:val="19"/>
          <w:lang w:val="en-GB"/>
        </w:rPr>
        <w:t>, see para. </w:t>
      </w:r>
      <w:r w:rsidR="00A81164" w:rsidRPr="002121A4">
        <w:rPr>
          <w:rFonts w:cs="Times New Roman"/>
          <w:sz w:val="19"/>
          <w:szCs w:val="19"/>
          <w:lang w:val="en-GB"/>
        </w:rPr>
        <w:fldChar w:fldCharType="begin"/>
      </w:r>
      <w:r w:rsidR="00A81164" w:rsidRPr="002121A4">
        <w:rPr>
          <w:rFonts w:cs="Times New Roman"/>
          <w:sz w:val="19"/>
          <w:szCs w:val="19"/>
          <w:lang w:val="en-GB"/>
        </w:rPr>
        <w:instrText xml:space="preserve"> REF _Ref132308042 \r \h </w:instrText>
      </w:r>
      <w:r w:rsidR="00A81164" w:rsidRPr="002121A4">
        <w:rPr>
          <w:rFonts w:cs="Times New Roman"/>
          <w:sz w:val="19"/>
          <w:szCs w:val="19"/>
          <w:lang w:val="en-GB"/>
        </w:rPr>
      </w:r>
      <w:r w:rsidR="00A81164" w:rsidRPr="002121A4">
        <w:rPr>
          <w:rFonts w:cs="Times New Roman"/>
          <w:sz w:val="19"/>
          <w:szCs w:val="19"/>
          <w:lang w:val="en-GB"/>
        </w:rPr>
        <w:fldChar w:fldCharType="separate"/>
      </w:r>
      <w:r w:rsidR="00D56145">
        <w:rPr>
          <w:rFonts w:cs="Times New Roman"/>
          <w:sz w:val="19"/>
          <w:szCs w:val="19"/>
          <w:lang w:val="en-GB"/>
        </w:rPr>
        <w:t>25</w:t>
      </w:r>
      <w:r w:rsidR="00A81164" w:rsidRPr="002121A4">
        <w:rPr>
          <w:rFonts w:cs="Times New Roman"/>
          <w:sz w:val="19"/>
          <w:szCs w:val="19"/>
          <w:lang w:val="en-GB"/>
        </w:rPr>
        <w:fldChar w:fldCharType="end"/>
      </w:r>
      <w:r w:rsidR="00A81164" w:rsidRPr="002121A4">
        <w:rPr>
          <w:rFonts w:cs="Times New Roman"/>
          <w:sz w:val="19"/>
          <w:szCs w:val="19"/>
          <w:lang w:val="en-GB"/>
        </w:rPr>
        <w:t xml:space="preserve"> </w:t>
      </w:r>
    </w:p>
    <w:p w14:paraId="6807E091" w14:textId="2ACED6E4" w:rsidR="003A0F8A" w:rsidRPr="002121A4" w:rsidRDefault="003A0F8A" w:rsidP="008C5A48">
      <w:pPr>
        <w:rPr>
          <w:rFonts w:cs="Times New Roman"/>
          <w:sz w:val="19"/>
          <w:szCs w:val="19"/>
          <w:lang w:val="en-GB"/>
        </w:rPr>
      </w:pPr>
      <w:r w:rsidRPr="002121A4">
        <w:rPr>
          <w:rFonts w:cs="Times New Roman"/>
          <w:b/>
          <w:sz w:val="20"/>
          <w:lang w:val="en-GB"/>
        </w:rPr>
        <w:t>Equity</w:t>
      </w:r>
      <w:r w:rsidRPr="002121A4">
        <w:rPr>
          <w:rFonts w:cs="Times New Roman"/>
          <w:sz w:val="19"/>
          <w:szCs w:val="19"/>
          <w:lang w:val="en-GB"/>
        </w:rPr>
        <w:t xml:space="preserve">  Refers to </w:t>
      </w:r>
      <w:r w:rsidR="00840B01" w:rsidRPr="002121A4">
        <w:rPr>
          <w:rFonts w:cs="Times New Roman"/>
          <w:sz w:val="19"/>
          <w:szCs w:val="19"/>
          <w:lang w:val="en-GB"/>
        </w:rPr>
        <w:t>funding obtained through issuing shares</w:t>
      </w:r>
      <w:r w:rsidRPr="002121A4">
        <w:rPr>
          <w:rFonts w:cs="Times New Roman"/>
          <w:sz w:val="19"/>
          <w:szCs w:val="19"/>
          <w:lang w:val="en-GB"/>
        </w:rPr>
        <w:t xml:space="preserve"> (as opposed to funding provided by → debt)</w:t>
      </w:r>
      <w:r w:rsidR="00E26408" w:rsidRPr="002121A4">
        <w:rPr>
          <w:rFonts w:cs="Times New Roman"/>
          <w:sz w:val="19"/>
          <w:szCs w:val="19"/>
          <w:lang w:val="en-GB"/>
        </w:rPr>
        <w:t>, and in the context of a balance sheet, to assets minus liabilities</w:t>
      </w:r>
      <w:r w:rsidRPr="002121A4">
        <w:rPr>
          <w:rFonts w:cs="Times New Roman"/>
          <w:sz w:val="19"/>
          <w:szCs w:val="19"/>
          <w:lang w:val="en-GB"/>
        </w:rPr>
        <w:t xml:space="preserve"> </w:t>
      </w:r>
    </w:p>
    <w:p w14:paraId="454AC6A7" w14:textId="3AB789C7" w:rsidR="00DB4CDA" w:rsidRDefault="00DB4CDA" w:rsidP="008C5A48">
      <w:pPr>
        <w:rPr>
          <w:rFonts w:cs="Times New Roman"/>
          <w:sz w:val="19"/>
          <w:szCs w:val="19"/>
          <w:lang w:val="en-GB"/>
        </w:rPr>
      </w:pPr>
      <w:r w:rsidRPr="002121A4">
        <w:rPr>
          <w:rFonts w:cs="Times New Roman"/>
          <w:b/>
          <w:sz w:val="19"/>
          <w:szCs w:val="19"/>
          <w:lang w:val="en-GB"/>
        </w:rPr>
        <w:t>Equivalence and effectiveness</w:t>
      </w:r>
      <w:r w:rsidRPr="002121A4">
        <w:rPr>
          <w:rFonts w:cs="Times New Roman"/>
          <w:sz w:val="19"/>
          <w:szCs w:val="19"/>
          <w:lang w:val="en-GB"/>
        </w:rPr>
        <w:t>  → Principle of equivalence and effectiveness</w:t>
      </w:r>
    </w:p>
    <w:p w14:paraId="4E0660DC" w14:textId="5E1B2105" w:rsidR="00DB0D74" w:rsidRPr="00DB0D74" w:rsidRDefault="00DB0D74" w:rsidP="008C5A48">
      <w:pPr>
        <w:rPr>
          <w:rFonts w:cs="Times New Roman"/>
          <w:sz w:val="19"/>
          <w:szCs w:val="19"/>
          <w:lang w:val="en-US"/>
        </w:rPr>
      </w:pPr>
      <w:r w:rsidRPr="00DB0D74">
        <w:rPr>
          <w:rFonts w:cs="Times New Roman"/>
          <w:b/>
          <w:sz w:val="19"/>
          <w:szCs w:val="19"/>
          <w:lang w:val="en-US"/>
        </w:rPr>
        <w:t>ESAP </w:t>
      </w:r>
      <w:r>
        <w:rPr>
          <w:rFonts w:cs="Times New Roman"/>
          <w:sz w:val="19"/>
          <w:szCs w:val="19"/>
          <w:lang w:val="en-US"/>
        </w:rPr>
        <w:t> </w:t>
      </w:r>
      <w:r w:rsidRPr="00DB0D74">
        <w:rPr>
          <w:rFonts w:cs="Times New Roman"/>
          <w:sz w:val="19"/>
          <w:szCs w:val="19"/>
          <w:lang w:val="en-US"/>
        </w:rPr>
        <w:t xml:space="preserve">European Single Access Point, a </w:t>
      </w:r>
      <w:proofErr w:type="spellStart"/>
      <w:r>
        <w:rPr>
          <w:rFonts w:cs="Times New Roman"/>
          <w:sz w:val="19"/>
          <w:szCs w:val="19"/>
          <w:lang w:val="en-US"/>
        </w:rPr>
        <w:t>centralised</w:t>
      </w:r>
      <w:proofErr w:type="spellEnd"/>
      <w:r>
        <w:rPr>
          <w:rFonts w:cs="Times New Roman"/>
          <w:sz w:val="19"/>
          <w:szCs w:val="19"/>
          <w:lang w:val="en-US"/>
        </w:rPr>
        <w:t xml:space="preserve"> repository for regulated financial information, see para. </w:t>
      </w:r>
      <w:r>
        <w:rPr>
          <w:rFonts w:cs="Times New Roman"/>
          <w:sz w:val="19"/>
          <w:szCs w:val="19"/>
          <w:lang w:val="en-US"/>
        </w:rPr>
        <w:fldChar w:fldCharType="begin"/>
      </w:r>
      <w:r>
        <w:rPr>
          <w:rFonts w:cs="Times New Roman"/>
          <w:sz w:val="19"/>
          <w:szCs w:val="19"/>
          <w:lang w:val="en-US"/>
        </w:rPr>
        <w:instrText xml:space="preserve"> REF _Ref163751344 \r \h </w:instrText>
      </w:r>
      <w:r>
        <w:rPr>
          <w:rFonts w:cs="Times New Roman"/>
          <w:sz w:val="19"/>
          <w:szCs w:val="19"/>
          <w:lang w:val="en-US"/>
        </w:rPr>
      </w:r>
      <w:r>
        <w:rPr>
          <w:rFonts w:cs="Times New Roman"/>
          <w:sz w:val="19"/>
          <w:szCs w:val="19"/>
          <w:lang w:val="en-US"/>
        </w:rPr>
        <w:fldChar w:fldCharType="separate"/>
      </w:r>
      <w:r w:rsidR="00D56145">
        <w:rPr>
          <w:rFonts w:cs="Times New Roman"/>
          <w:sz w:val="19"/>
          <w:szCs w:val="19"/>
          <w:lang w:val="en-US"/>
        </w:rPr>
        <w:t>28</w:t>
      </w:r>
      <w:r>
        <w:rPr>
          <w:rFonts w:cs="Times New Roman"/>
          <w:sz w:val="19"/>
          <w:szCs w:val="19"/>
          <w:lang w:val="en-US"/>
        </w:rPr>
        <w:fldChar w:fldCharType="end"/>
      </w:r>
    </w:p>
    <w:p w14:paraId="17092BD0" w14:textId="32E57EDA" w:rsidR="001A6199" w:rsidRPr="002121A4" w:rsidRDefault="001A6199" w:rsidP="008C5A48">
      <w:pPr>
        <w:rPr>
          <w:sz w:val="19"/>
          <w:szCs w:val="19"/>
          <w:lang w:val="en-GB"/>
        </w:rPr>
      </w:pPr>
      <w:r w:rsidRPr="002121A4">
        <w:rPr>
          <w:rFonts w:cs="Times New Roman"/>
          <w:b/>
          <w:sz w:val="19"/>
          <w:szCs w:val="19"/>
          <w:lang w:val="en-GB"/>
        </w:rPr>
        <w:t>ESEF</w:t>
      </w:r>
      <w:r w:rsidRPr="002121A4">
        <w:rPr>
          <w:rFonts w:cs="Times New Roman"/>
          <w:sz w:val="19"/>
          <w:szCs w:val="19"/>
          <w:lang w:val="en-GB"/>
        </w:rPr>
        <w:t>  European Single Electronic Format, a financial reporting format under the → TD</w:t>
      </w:r>
    </w:p>
    <w:p w14:paraId="291CF196" w14:textId="434A0025" w:rsidR="008C5A48" w:rsidRPr="002121A4" w:rsidRDefault="008C5A48" w:rsidP="008C5A48">
      <w:pPr>
        <w:rPr>
          <w:sz w:val="19"/>
          <w:szCs w:val="19"/>
          <w:lang w:val="en-GB"/>
        </w:rPr>
      </w:pPr>
      <w:r w:rsidRPr="002121A4">
        <w:rPr>
          <w:b/>
          <w:sz w:val="19"/>
          <w:szCs w:val="19"/>
          <w:lang w:val="en-GB"/>
        </w:rPr>
        <w:t>ESFS</w:t>
      </w:r>
      <w:r w:rsidR="00FA1CA3" w:rsidRPr="002121A4">
        <w:rPr>
          <w:sz w:val="19"/>
          <w:szCs w:val="19"/>
          <w:lang w:val="en-GB"/>
        </w:rPr>
        <w:t> European System of Financial Stability</w:t>
      </w:r>
    </w:p>
    <w:p w14:paraId="0D9882CE" w14:textId="099B4603" w:rsidR="000C3892" w:rsidRPr="002121A4" w:rsidRDefault="000C3892" w:rsidP="008C5A48">
      <w:pPr>
        <w:rPr>
          <w:sz w:val="19"/>
          <w:szCs w:val="19"/>
          <w:lang w:val="en-GB"/>
        </w:rPr>
      </w:pPr>
      <w:r w:rsidRPr="002121A4">
        <w:rPr>
          <w:b/>
          <w:sz w:val="19"/>
          <w:szCs w:val="19"/>
          <w:lang w:val="en-GB"/>
        </w:rPr>
        <w:t>ESA</w:t>
      </w:r>
      <w:r w:rsidR="00284DC0" w:rsidRPr="002121A4">
        <w:rPr>
          <w:sz w:val="19"/>
          <w:szCs w:val="19"/>
          <w:lang w:val="en-GB"/>
        </w:rPr>
        <w:t>  </w:t>
      </w:r>
      <w:r w:rsidRPr="002121A4">
        <w:rPr>
          <w:sz w:val="19"/>
          <w:szCs w:val="19"/>
          <w:lang w:val="en-GB"/>
        </w:rPr>
        <w:t xml:space="preserve">European Supervisory Authority, one of </w:t>
      </w:r>
      <w:r w:rsidR="00246431" w:rsidRPr="002121A4">
        <w:rPr>
          <w:rFonts w:cs="Times New Roman"/>
          <w:sz w:val="19"/>
          <w:szCs w:val="19"/>
          <w:lang w:val="en-GB"/>
        </w:rPr>
        <w:t>→</w:t>
      </w:r>
      <w:r w:rsidR="007B1222" w:rsidRPr="002121A4">
        <w:rPr>
          <w:sz w:val="19"/>
          <w:szCs w:val="19"/>
          <w:lang w:val="en-GB"/>
        </w:rPr>
        <w:t> </w:t>
      </w:r>
      <w:r w:rsidRPr="002121A4">
        <w:rPr>
          <w:sz w:val="19"/>
          <w:szCs w:val="19"/>
          <w:lang w:val="en-GB"/>
        </w:rPr>
        <w:t xml:space="preserve">EBA, </w:t>
      </w:r>
      <w:r w:rsidR="00246431" w:rsidRPr="002121A4">
        <w:rPr>
          <w:rFonts w:cs="Times New Roman"/>
          <w:sz w:val="19"/>
          <w:szCs w:val="19"/>
          <w:lang w:val="en-GB"/>
        </w:rPr>
        <w:t>→</w:t>
      </w:r>
      <w:r w:rsidR="00246431" w:rsidRPr="002121A4">
        <w:rPr>
          <w:sz w:val="19"/>
          <w:szCs w:val="19"/>
          <w:lang w:val="en-GB"/>
        </w:rPr>
        <w:t xml:space="preserve"> </w:t>
      </w:r>
      <w:r w:rsidRPr="002121A4">
        <w:rPr>
          <w:sz w:val="19"/>
          <w:szCs w:val="19"/>
          <w:lang w:val="en-GB"/>
        </w:rPr>
        <w:t xml:space="preserve">EIOPA, and </w:t>
      </w:r>
      <w:r w:rsidR="00246431" w:rsidRPr="002121A4">
        <w:rPr>
          <w:rFonts w:cs="Times New Roman"/>
          <w:sz w:val="19"/>
          <w:szCs w:val="19"/>
          <w:lang w:val="en-GB"/>
        </w:rPr>
        <w:t>→</w:t>
      </w:r>
      <w:r w:rsidR="00246431" w:rsidRPr="002121A4">
        <w:rPr>
          <w:sz w:val="19"/>
          <w:szCs w:val="19"/>
          <w:lang w:val="en-GB"/>
        </w:rPr>
        <w:t xml:space="preserve"> </w:t>
      </w:r>
      <w:r w:rsidRPr="002121A4">
        <w:rPr>
          <w:sz w:val="19"/>
          <w:szCs w:val="19"/>
          <w:lang w:val="en-GB"/>
        </w:rPr>
        <w:t>ESMA</w:t>
      </w:r>
    </w:p>
    <w:p w14:paraId="115ED16F" w14:textId="0213E78E" w:rsidR="00CB4311" w:rsidRPr="002121A4" w:rsidRDefault="00CB4311" w:rsidP="008C5A48">
      <w:pPr>
        <w:rPr>
          <w:sz w:val="19"/>
          <w:szCs w:val="19"/>
          <w:lang w:val="en-GB"/>
        </w:rPr>
      </w:pPr>
      <w:r w:rsidRPr="002121A4">
        <w:rPr>
          <w:b/>
          <w:sz w:val="19"/>
          <w:szCs w:val="19"/>
          <w:lang w:val="en-GB"/>
        </w:rPr>
        <w:t>ESG Rating Activities Regulation</w:t>
      </w:r>
      <w:r w:rsidRPr="002121A4">
        <w:rPr>
          <w:sz w:val="19"/>
          <w:szCs w:val="19"/>
          <w:lang w:val="en-GB"/>
        </w:rPr>
        <w:t>  A proposal to regulate activities of ESG Rating Agencies, see para. </w:t>
      </w:r>
      <w:r w:rsidRPr="002121A4">
        <w:rPr>
          <w:sz w:val="19"/>
          <w:szCs w:val="19"/>
          <w:lang w:val="en-GB"/>
        </w:rPr>
        <w:fldChar w:fldCharType="begin"/>
      </w:r>
      <w:r w:rsidRPr="002121A4">
        <w:rPr>
          <w:sz w:val="19"/>
          <w:szCs w:val="19"/>
          <w:lang w:val="en-GB"/>
        </w:rPr>
        <w:instrText xml:space="preserve"> REF _Ref163140243 \r \h </w:instrText>
      </w:r>
      <w:r w:rsidRPr="002121A4">
        <w:rPr>
          <w:sz w:val="19"/>
          <w:szCs w:val="19"/>
          <w:lang w:val="en-GB"/>
        </w:rPr>
      </w:r>
      <w:r w:rsidRPr="002121A4">
        <w:rPr>
          <w:sz w:val="19"/>
          <w:szCs w:val="19"/>
          <w:lang w:val="en-GB"/>
        </w:rPr>
        <w:fldChar w:fldCharType="separate"/>
      </w:r>
      <w:r w:rsidR="00D56145">
        <w:rPr>
          <w:sz w:val="19"/>
          <w:szCs w:val="19"/>
          <w:lang w:val="en-GB"/>
        </w:rPr>
        <w:t>28</w:t>
      </w:r>
      <w:r w:rsidRPr="002121A4">
        <w:rPr>
          <w:sz w:val="19"/>
          <w:szCs w:val="19"/>
          <w:lang w:val="en-GB"/>
        </w:rPr>
        <w:fldChar w:fldCharType="end"/>
      </w:r>
      <w:r w:rsidRPr="002121A4">
        <w:rPr>
          <w:sz w:val="19"/>
          <w:szCs w:val="19"/>
          <w:lang w:val="en-GB"/>
        </w:rPr>
        <w:t>   </w:t>
      </w:r>
    </w:p>
    <w:p w14:paraId="2221267E" w14:textId="3D511B99" w:rsidR="008C5A48" w:rsidRPr="002121A4" w:rsidRDefault="008C5A48" w:rsidP="008C5A48">
      <w:pPr>
        <w:rPr>
          <w:sz w:val="19"/>
          <w:szCs w:val="19"/>
          <w:lang w:val="en-GB"/>
        </w:rPr>
      </w:pPr>
      <w:r w:rsidRPr="002121A4">
        <w:rPr>
          <w:b/>
          <w:sz w:val="19"/>
          <w:szCs w:val="19"/>
          <w:lang w:val="en-GB"/>
        </w:rPr>
        <w:t>ESMA</w:t>
      </w:r>
      <w:r w:rsidR="00246431" w:rsidRPr="002121A4">
        <w:rPr>
          <w:sz w:val="19"/>
          <w:szCs w:val="19"/>
          <w:lang w:val="en-GB"/>
        </w:rPr>
        <w:t>  </w:t>
      </w:r>
      <w:r w:rsidR="000C3892" w:rsidRPr="002121A4">
        <w:rPr>
          <w:sz w:val="19"/>
          <w:szCs w:val="19"/>
          <w:lang w:val="en-GB"/>
        </w:rPr>
        <w:t>European Securities and Markets Authority, one of the ESAs</w:t>
      </w:r>
    </w:p>
    <w:p w14:paraId="6B9C8CC1" w14:textId="5E46C580" w:rsidR="00D90558" w:rsidRPr="002121A4" w:rsidRDefault="00D90558" w:rsidP="008C5A48">
      <w:pPr>
        <w:rPr>
          <w:sz w:val="19"/>
          <w:szCs w:val="19"/>
          <w:lang w:val="en-GB"/>
        </w:rPr>
      </w:pPr>
      <w:r w:rsidRPr="002121A4">
        <w:rPr>
          <w:b/>
          <w:sz w:val="19"/>
          <w:szCs w:val="19"/>
          <w:lang w:val="en-GB"/>
        </w:rPr>
        <w:t>EU</w:t>
      </w:r>
      <w:r w:rsidRPr="002121A4">
        <w:rPr>
          <w:sz w:val="19"/>
          <w:szCs w:val="19"/>
          <w:lang w:val="en-GB"/>
        </w:rPr>
        <w:t>  European Union</w:t>
      </w:r>
    </w:p>
    <w:p w14:paraId="61862893" w14:textId="2CE63039" w:rsidR="001E59EE" w:rsidRPr="002121A4" w:rsidRDefault="001E59EE" w:rsidP="003330E2">
      <w:pPr>
        <w:rPr>
          <w:sz w:val="19"/>
          <w:szCs w:val="19"/>
          <w:lang w:val="en-GB"/>
        </w:rPr>
      </w:pPr>
      <w:r w:rsidRPr="002121A4">
        <w:rPr>
          <w:b/>
          <w:sz w:val="19"/>
          <w:szCs w:val="19"/>
          <w:lang w:val="en-GB"/>
        </w:rPr>
        <w:t>EU Listing Act</w:t>
      </w:r>
      <w:r w:rsidRPr="002121A4">
        <w:rPr>
          <w:sz w:val="19"/>
          <w:szCs w:val="19"/>
          <w:lang w:val="en-GB"/>
        </w:rPr>
        <w:t>  </w:t>
      </w:r>
      <w:r w:rsidR="00315AC8">
        <w:rPr>
          <w:sz w:val="19"/>
          <w:szCs w:val="19"/>
          <w:lang w:val="en-GB"/>
        </w:rPr>
        <w:t xml:space="preserve">The EU </w:t>
      </w:r>
      <w:r w:rsidR="00315AC8" w:rsidRPr="00315AC8">
        <w:rPr>
          <w:sz w:val="19"/>
          <w:szCs w:val="19"/>
          <w:lang w:val="en-GB"/>
        </w:rPr>
        <w:t xml:space="preserve">Listing Act is a package of measures meant to review the </w:t>
      </w:r>
      <w:r w:rsidR="00315AC8">
        <w:rPr>
          <w:sz w:val="19"/>
          <w:szCs w:val="19"/>
          <w:lang w:val="en-GB"/>
        </w:rPr>
        <w:t>PR</w:t>
      </w:r>
      <w:r w:rsidR="00315AC8" w:rsidRPr="00315AC8">
        <w:rPr>
          <w:sz w:val="19"/>
          <w:szCs w:val="19"/>
          <w:lang w:val="en-GB"/>
        </w:rPr>
        <w:t xml:space="preserve">, </w:t>
      </w:r>
      <w:r w:rsidR="00315AC8">
        <w:rPr>
          <w:sz w:val="19"/>
          <w:szCs w:val="19"/>
          <w:lang w:val="en-GB"/>
        </w:rPr>
        <w:t>MAR</w:t>
      </w:r>
      <w:r w:rsidR="00315AC8" w:rsidRPr="00315AC8">
        <w:rPr>
          <w:sz w:val="19"/>
          <w:szCs w:val="19"/>
          <w:lang w:val="en-GB"/>
        </w:rPr>
        <w:t xml:space="preserve">, </w:t>
      </w:r>
      <w:proofErr w:type="spellStart"/>
      <w:r w:rsidR="00315AC8" w:rsidRPr="00315AC8">
        <w:rPr>
          <w:sz w:val="19"/>
          <w:szCs w:val="19"/>
          <w:lang w:val="en-GB"/>
        </w:rPr>
        <w:t>MiFIR</w:t>
      </w:r>
      <w:proofErr w:type="spellEnd"/>
      <w:r w:rsidR="00315AC8">
        <w:rPr>
          <w:sz w:val="19"/>
          <w:szCs w:val="19"/>
          <w:lang w:val="en-GB"/>
        </w:rPr>
        <w:t xml:space="preserve"> and </w:t>
      </w:r>
      <w:r w:rsidR="00315AC8" w:rsidRPr="00315AC8">
        <w:rPr>
          <w:sz w:val="19"/>
          <w:szCs w:val="19"/>
          <w:lang w:val="en-GB"/>
        </w:rPr>
        <w:t>MiFID II</w:t>
      </w:r>
      <w:r w:rsidR="00315AC8">
        <w:rPr>
          <w:sz w:val="19"/>
          <w:szCs w:val="19"/>
          <w:lang w:val="en-GB"/>
        </w:rPr>
        <w:t xml:space="preserve">. </w:t>
      </w:r>
      <w:r w:rsidR="00315AC8" w:rsidRPr="00503463">
        <w:rPr>
          <w:sz w:val="19"/>
          <w:szCs w:val="19"/>
          <w:lang w:val="en-GB"/>
        </w:rPr>
        <w:t xml:space="preserve">It comprises Regulation (EU) 2024/2809, Directive (EU) 2024/2810, and Directive (EU) 2024/2811. Cf. </w:t>
      </w:r>
      <w:r w:rsidR="003330E2" w:rsidRPr="00503463">
        <w:rPr>
          <w:sz w:val="19"/>
          <w:szCs w:val="19"/>
          <w:lang w:val="en-GB"/>
        </w:rPr>
        <w:t xml:space="preserve"> para. </w:t>
      </w:r>
      <w:r w:rsidR="003330E2" w:rsidRPr="002121A4">
        <w:rPr>
          <w:sz w:val="19"/>
          <w:szCs w:val="19"/>
          <w:lang w:val="en-GB"/>
        </w:rPr>
        <w:fldChar w:fldCharType="begin"/>
      </w:r>
      <w:r w:rsidR="003330E2" w:rsidRPr="00503463">
        <w:rPr>
          <w:sz w:val="19"/>
          <w:szCs w:val="19"/>
          <w:lang w:val="en-GB"/>
        </w:rPr>
        <w:instrText xml:space="preserve"> REF _Ref163140243 \r \h </w:instrText>
      </w:r>
      <w:r w:rsidR="003330E2" w:rsidRPr="002121A4">
        <w:rPr>
          <w:sz w:val="19"/>
          <w:szCs w:val="19"/>
          <w:lang w:val="en-GB"/>
        </w:rPr>
      </w:r>
      <w:r w:rsidR="003330E2" w:rsidRPr="002121A4">
        <w:rPr>
          <w:sz w:val="19"/>
          <w:szCs w:val="19"/>
          <w:lang w:val="en-GB"/>
        </w:rPr>
        <w:fldChar w:fldCharType="separate"/>
      </w:r>
      <w:r w:rsidR="00D56145" w:rsidRPr="00E051D5">
        <w:rPr>
          <w:sz w:val="19"/>
          <w:szCs w:val="19"/>
          <w:lang w:val="en-GB"/>
        </w:rPr>
        <w:t>28</w:t>
      </w:r>
      <w:r w:rsidR="003330E2" w:rsidRPr="002121A4">
        <w:rPr>
          <w:sz w:val="19"/>
          <w:szCs w:val="19"/>
          <w:lang w:val="en-GB"/>
        </w:rPr>
        <w:fldChar w:fldCharType="end"/>
      </w:r>
      <w:r w:rsidR="00315AC8">
        <w:rPr>
          <w:sz w:val="19"/>
          <w:szCs w:val="19"/>
          <w:lang w:val="en-GB"/>
        </w:rPr>
        <w:t>.</w:t>
      </w:r>
    </w:p>
    <w:p w14:paraId="5C13A122" w14:textId="083A5A49" w:rsidR="0028034D" w:rsidRPr="002121A4" w:rsidRDefault="0028034D" w:rsidP="008C5A48">
      <w:pPr>
        <w:rPr>
          <w:sz w:val="19"/>
          <w:szCs w:val="19"/>
          <w:lang w:val="en-GB"/>
        </w:rPr>
      </w:pPr>
      <w:r w:rsidRPr="002121A4">
        <w:rPr>
          <w:b/>
          <w:sz w:val="19"/>
          <w:szCs w:val="19"/>
          <w:lang w:val="en-GB"/>
        </w:rPr>
        <w:t>Eurex</w:t>
      </w:r>
      <w:r w:rsidRPr="002121A4">
        <w:rPr>
          <w:sz w:val="19"/>
          <w:szCs w:val="19"/>
          <w:lang w:val="en-GB"/>
        </w:rPr>
        <w:t>  A regulated market for derivative contracts</w:t>
      </w:r>
    </w:p>
    <w:p w14:paraId="0564D990" w14:textId="5F4CA251" w:rsidR="009672C7" w:rsidRPr="002121A4" w:rsidRDefault="009672C7" w:rsidP="008C5A48">
      <w:pPr>
        <w:rPr>
          <w:sz w:val="19"/>
          <w:szCs w:val="19"/>
          <w:lang w:val="en-GB"/>
        </w:rPr>
      </w:pPr>
      <w:r w:rsidRPr="002121A4">
        <w:rPr>
          <w:b/>
          <w:sz w:val="19"/>
          <w:szCs w:val="19"/>
          <w:lang w:val="en-GB"/>
        </w:rPr>
        <w:t>European Market Infrastructure Regulation</w:t>
      </w:r>
      <w:r w:rsidRPr="002121A4">
        <w:rPr>
          <w:sz w:val="19"/>
          <w:szCs w:val="19"/>
          <w:lang w:val="en-GB"/>
        </w:rPr>
        <w:t>  </w:t>
      </w:r>
      <w:r w:rsidRPr="002121A4">
        <w:rPr>
          <w:rFonts w:cs="Times New Roman"/>
          <w:sz w:val="19"/>
          <w:szCs w:val="19"/>
          <w:lang w:val="en-GB"/>
        </w:rPr>
        <w:t>→ EMIR</w:t>
      </w:r>
    </w:p>
    <w:p w14:paraId="0E16446F" w14:textId="45183934" w:rsidR="00DB0D74" w:rsidRDefault="00DB0D74" w:rsidP="008C5A48">
      <w:pPr>
        <w:rPr>
          <w:b/>
          <w:sz w:val="19"/>
          <w:szCs w:val="19"/>
          <w:lang w:val="en-GB"/>
        </w:rPr>
      </w:pPr>
      <w:r>
        <w:rPr>
          <w:b/>
          <w:sz w:val="19"/>
          <w:szCs w:val="19"/>
          <w:lang w:val="en-GB"/>
        </w:rPr>
        <w:t>European Single Access Point  </w:t>
      </w:r>
      <w:r w:rsidRPr="002121A4">
        <w:rPr>
          <w:rFonts w:cs="Times New Roman"/>
          <w:sz w:val="19"/>
          <w:szCs w:val="19"/>
          <w:lang w:val="en-GB"/>
        </w:rPr>
        <w:t>→ ES</w:t>
      </w:r>
      <w:r>
        <w:rPr>
          <w:rFonts w:cs="Times New Roman"/>
          <w:sz w:val="19"/>
          <w:szCs w:val="19"/>
          <w:lang w:val="en-GB"/>
        </w:rPr>
        <w:t>AP</w:t>
      </w:r>
    </w:p>
    <w:p w14:paraId="1EDC945D" w14:textId="0F461167" w:rsidR="001A6199" w:rsidRPr="002121A4" w:rsidRDefault="001A6199" w:rsidP="008C5A48">
      <w:pPr>
        <w:rPr>
          <w:rFonts w:cs="Times New Roman"/>
          <w:sz w:val="19"/>
          <w:szCs w:val="19"/>
          <w:lang w:val="en-GB"/>
        </w:rPr>
      </w:pPr>
      <w:r w:rsidRPr="002121A4">
        <w:rPr>
          <w:b/>
          <w:sz w:val="19"/>
          <w:szCs w:val="19"/>
          <w:lang w:val="en-GB"/>
        </w:rPr>
        <w:t>European Single Electronic Format</w:t>
      </w:r>
      <w:r w:rsidRPr="002121A4">
        <w:rPr>
          <w:sz w:val="19"/>
          <w:szCs w:val="19"/>
          <w:lang w:val="en-GB"/>
        </w:rPr>
        <w:t>  </w:t>
      </w:r>
      <w:r w:rsidRPr="002121A4">
        <w:rPr>
          <w:rFonts w:cs="Times New Roman"/>
          <w:sz w:val="19"/>
          <w:szCs w:val="19"/>
          <w:lang w:val="en-GB"/>
        </w:rPr>
        <w:t>→ ESEF</w:t>
      </w:r>
    </w:p>
    <w:p w14:paraId="40E911D4" w14:textId="2706E8BE" w:rsidR="001A6199" w:rsidRPr="002121A4" w:rsidRDefault="001A6199" w:rsidP="008C5A48">
      <w:pPr>
        <w:rPr>
          <w:rFonts w:cs="Times New Roman"/>
          <w:sz w:val="19"/>
          <w:szCs w:val="19"/>
          <w:lang w:val="en-GB"/>
        </w:rPr>
      </w:pPr>
      <w:r w:rsidRPr="002121A4">
        <w:rPr>
          <w:rFonts w:cs="Times New Roman"/>
          <w:b/>
          <w:sz w:val="19"/>
          <w:szCs w:val="19"/>
          <w:lang w:val="en-GB"/>
        </w:rPr>
        <w:t>European Supervisory Authority</w:t>
      </w:r>
      <w:r w:rsidRPr="002121A4">
        <w:rPr>
          <w:rFonts w:cs="Times New Roman"/>
          <w:sz w:val="19"/>
          <w:szCs w:val="19"/>
          <w:lang w:val="en-GB"/>
        </w:rPr>
        <w:t>  → ESA</w:t>
      </w:r>
    </w:p>
    <w:p w14:paraId="4F1B7ADE" w14:textId="6CCE0654" w:rsidR="001A6199" w:rsidRPr="002121A4" w:rsidRDefault="001A6199" w:rsidP="008C5A48">
      <w:pPr>
        <w:rPr>
          <w:sz w:val="19"/>
          <w:szCs w:val="19"/>
          <w:lang w:val="en-GB"/>
        </w:rPr>
      </w:pPr>
      <w:r w:rsidRPr="002121A4">
        <w:rPr>
          <w:rFonts w:cs="Times New Roman"/>
          <w:b/>
          <w:sz w:val="19"/>
          <w:szCs w:val="19"/>
          <w:lang w:val="en-GB"/>
        </w:rPr>
        <w:t>European System of Financial Stability</w:t>
      </w:r>
      <w:r w:rsidRPr="002121A4">
        <w:rPr>
          <w:rFonts w:cs="Times New Roman"/>
          <w:sz w:val="19"/>
          <w:szCs w:val="19"/>
          <w:lang w:val="en-GB"/>
        </w:rPr>
        <w:t xml:space="preserve"> → ESFS</w:t>
      </w:r>
    </w:p>
    <w:p w14:paraId="13595DAA" w14:textId="42DE6D1A" w:rsidR="007B4C4D" w:rsidRPr="00F9205E" w:rsidRDefault="007B4C4D" w:rsidP="008C5A48">
      <w:pPr>
        <w:rPr>
          <w:sz w:val="19"/>
          <w:szCs w:val="19"/>
        </w:rPr>
      </w:pPr>
      <w:r w:rsidRPr="00F9205E">
        <w:rPr>
          <w:b/>
          <w:sz w:val="19"/>
          <w:szCs w:val="19"/>
        </w:rPr>
        <w:t>eWpG</w:t>
      </w:r>
      <w:r w:rsidRPr="00F9205E">
        <w:rPr>
          <w:sz w:val="19"/>
          <w:szCs w:val="19"/>
        </w:rPr>
        <w:t>  Gesetz zur Einführung von elektronischen Wertpapieren</w:t>
      </w:r>
    </w:p>
    <w:p w14:paraId="3743E538" w14:textId="164F99A0" w:rsidR="008C5A48" w:rsidRPr="002121A4" w:rsidRDefault="008C5A48" w:rsidP="008C5A48">
      <w:pPr>
        <w:rPr>
          <w:sz w:val="19"/>
          <w:szCs w:val="19"/>
          <w:lang w:val="en-GB"/>
        </w:rPr>
      </w:pPr>
      <w:r w:rsidRPr="002121A4">
        <w:rPr>
          <w:b/>
          <w:sz w:val="19"/>
          <w:szCs w:val="19"/>
          <w:lang w:val="en-GB"/>
        </w:rPr>
        <w:t>Financial instrument</w:t>
      </w:r>
      <w:r w:rsidR="00C808D9" w:rsidRPr="002121A4">
        <w:rPr>
          <w:b/>
          <w:sz w:val="19"/>
          <w:szCs w:val="19"/>
          <w:lang w:val="en-GB"/>
        </w:rPr>
        <w:t>  </w:t>
      </w:r>
      <w:r w:rsidR="00301130" w:rsidRPr="002121A4">
        <w:rPr>
          <w:sz w:val="19"/>
          <w:szCs w:val="19"/>
          <w:lang w:val="en-GB"/>
        </w:rPr>
        <w:t xml:space="preserve">A capital market product, including </w:t>
      </w:r>
      <w:r w:rsidR="00301130" w:rsidRPr="002121A4">
        <w:rPr>
          <w:rFonts w:cs="Times New Roman"/>
          <w:sz w:val="19"/>
          <w:szCs w:val="19"/>
          <w:lang w:val="en-GB"/>
        </w:rPr>
        <w:t>→</w:t>
      </w:r>
      <w:r w:rsidR="00F7405C" w:rsidRPr="002121A4">
        <w:rPr>
          <w:rFonts w:cs="Times New Roman"/>
          <w:sz w:val="19"/>
          <w:szCs w:val="19"/>
          <w:lang w:val="en-GB"/>
        </w:rPr>
        <w:t xml:space="preserve"> </w:t>
      </w:r>
      <w:r w:rsidR="00301130" w:rsidRPr="002121A4">
        <w:rPr>
          <w:sz w:val="19"/>
          <w:szCs w:val="19"/>
          <w:lang w:val="en-GB"/>
        </w:rPr>
        <w:t>tr</w:t>
      </w:r>
      <w:r w:rsidR="007E6A56" w:rsidRPr="002121A4">
        <w:rPr>
          <w:sz w:val="19"/>
          <w:szCs w:val="19"/>
          <w:lang w:val="en-GB"/>
        </w:rPr>
        <w:t>a</w:t>
      </w:r>
      <w:r w:rsidR="009C26C2" w:rsidRPr="002121A4">
        <w:rPr>
          <w:sz w:val="19"/>
          <w:szCs w:val="19"/>
          <w:lang w:val="en-GB"/>
        </w:rPr>
        <w:t>nsferable</w:t>
      </w:r>
      <w:r w:rsidR="00301130" w:rsidRPr="002121A4">
        <w:rPr>
          <w:sz w:val="19"/>
          <w:szCs w:val="19"/>
          <w:lang w:val="en-GB"/>
        </w:rPr>
        <w:t xml:space="preserve"> securities</w:t>
      </w:r>
    </w:p>
    <w:p w14:paraId="5D9CD7C1" w14:textId="1E10B162" w:rsidR="00EE07FD" w:rsidRPr="002121A4" w:rsidRDefault="00EE07FD" w:rsidP="008C5A48">
      <w:pPr>
        <w:rPr>
          <w:sz w:val="19"/>
          <w:szCs w:val="19"/>
          <w:lang w:val="en-GB"/>
        </w:rPr>
      </w:pPr>
      <w:r w:rsidRPr="002121A4">
        <w:rPr>
          <w:b/>
          <w:sz w:val="19"/>
          <w:szCs w:val="19"/>
          <w:lang w:val="en-GB"/>
        </w:rPr>
        <w:t>FIRDS</w:t>
      </w:r>
      <w:r w:rsidRPr="002121A4">
        <w:rPr>
          <w:sz w:val="19"/>
          <w:szCs w:val="19"/>
          <w:lang w:val="en-GB"/>
        </w:rPr>
        <w:t>  Financial Instrument Reference Data System, a database with information on financial instruments traded in the EU, see para. </w:t>
      </w:r>
      <w:r w:rsidR="005C765C" w:rsidRPr="002121A4">
        <w:rPr>
          <w:sz w:val="19"/>
          <w:szCs w:val="19"/>
          <w:lang w:val="en-GB"/>
        </w:rPr>
        <w:fldChar w:fldCharType="begin"/>
      </w:r>
      <w:r w:rsidR="005C765C" w:rsidRPr="002121A4">
        <w:rPr>
          <w:sz w:val="19"/>
          <w:szCs w:val="19"/>
          <w:lang w:val="en-GB"/>
        </w:rPr>
        <w:instrText xml:space="preserve"> REF _Ref129767176 \r \h </w:instrText>
      </w:r>
      <w:r w:rsidR="005C765C" w:rsidRPr="002121A4">
        <w:rPr>
          <w:sz w:val="19"/>
          <w:szCs w:val="19"/>
          <w:lang w:val="en-GB"/>
        </w:rPr>
      </w:r>
      <w:r w:rsidR="005C765C" w:rsidRPr="002121A4">
        <w:rPr>
          <w:sz w:val="19"/>
          <w:szCs w:val="19"/>
          <w:lang w:val="en-GB"/>
        </w:rPr>
        <w:fldChar w:fldCharType="separate"/>
      </w:r>
      <w:r w:rsidR="00D56145">
        <w:rPr>
          <w:sz w:val="19"/>
          <w:szCs w:val="19"/>
          <w:lang w:val="en-GB"/>
        </w:rPr>
        <w:t>102</w:t>
      </w:r>
      <w:r w:rsidR="005C765C" w:rsidRPr="002121A4">
        <w:rPr>
          <w:sz w:val="19"/>
          <w:szCs w:val="19"/>
          <w:lang w:val="en-GB"/>
        </w:rPr>
        <w:fldChar w:fldCharType="end"/>
      </w:r>
    </w:p>
    <w:p w14:paraId="138105FF" w14:textId="52964BEC" w:rsidR="003A0F8A" w:rsidRPr="002121A4" w:rsidRDefault="003A0F8A" w:rsidP="008C5A48">
      <w:pPr>
        <w:rPr>
          <w:sz w:val="19"/>
          <w:szCs w:val="19"/>
          <w:lang w:val="en-GB"/>
        </w:rPr>
      </w:pPr>
      <w:r w:rsidRPr="002121A4">
        <w:rPr>
          <w:b/>
          <w:sz w:val="19"/>
          <w:szCs w:val="19"/>
          <w:lang w:val="en-GB"/>
        </w:rPr>
        <w:lastRenderedPageBreak/>
        <w:t>Fixed income</w:t>
      </w:r>
      <w:r w:rsidRPr="002121A4">
        <w:rPr>
          <w:sz w:val="19"/>
          <w:szCs w:val="19"/>
          <w:lang w:val="en-GB"/>
        </w:rPr>
        <w:t xml:space="preserve">  Refers to </w:t>
      </w:r>
      <w:r w:rsidRPr="002121A4">
        <w:rPr>
          <w:rFonts w:cs="Times New Roman"/>
          <w:sz w:val="19"/>
          <w:szCs w:val="19"/>
          <w:lang w:val="en-GB"/>
        </w:rPr>
        <w:t xml:space="preserve">→ </w:t>
      </w:r>
      <w:r w:rsidRPr="002121A4">
        <w:rPr>
          <w:sz w:val="19"/>
          <w:szCs w:val="19"/>
          <w:lang w:val="en-GB"/>
        </w:rPr>
        <w:t xml:space="preserve">debt instruments (as opposed to </w:t>
      </w:r>
      <w:r w:rsidRPr="002121A4">
        <w:rPr>
          <w:rFonts w:cs="Times New Roman"/>
          <w:sz w:val="19"/>
          <w:szCs w:val="19"/>
          <w:lang w:val="en-GB"/>
        </w:rPr>
        <w:t>→ equity instruments)</w:t>
      </w:r>
    </w:p>
    <w:p w14:paraId="365BE6C2" w14:textId="629CE809" w:rsidR="007E6A56" w:rsidRPr="00F9205E" w:rsidRDefault="007E6A56" w:rsidP="008C5A48">
      <w:pPr>
        <w:rPr>
          <w:rFonts w:cs="Times New Roman"/>
          <w:sz w:val="19"/>
          <w:szCs w:val="19"/>
        </w:rPr>
      </w:pPr>
      <w:r w:rsidRPr="00F9205E">
        <w:rPr>
          <w:b/>
          <w:sz w:val="19"/>
          <w:szCs w:val="19"/>
        </w:rPr>
        <w:t>Frankfurter Wertpapierbörse</w:t>
      </w:r>
      <w:r w:rsidRPr="00F9205E">
        <w:rPr>
          <w:sz w:val="19"/>
          <w:szCs w:val="19"/>
        </w:rPr>
        <w:t>  </w:t>
      </w:r>
      <w:r w:rsidRPr="00F9205E">
        <w:rPr>
          <w:rFonts w:cs="Times New Roman"/>
          <w:sz w:val="19"/>
          <w:szCs w:val="19"/>
        </w:rPr>
        <w:t>→ FWB</w:t>
      </w:r>
    </w:p>
    <w:p w14:paraId="387E9509" w14:textId="31D01BDC" w:rsidR="00BA089B" w:rsidRPr="00F9205E" w:rsidRDefault="00BA089B" w:rsidP="008C5A48">
      <w:pPr>
        <w:rPr>
          <w:rFonts w:cs="Times New Roman"/>
          <w:sz w:val="19"/>
          <w:szCs w:val="19"/>
        </w:rPr>
      </w:pPr>
      <w:r w:rsidRPr="00F9205E">
        <w:rPr>
          <w:rFonts w:cs="Times New Roman"/>
          <w:b/>
          <w:sz w:val="19"/>
          <w:szCs w:val="19"/>
        </w:rPr>
        <w:t>Freiverkehr</w:t>
      </w:r>
      <w:r w:rsidRPr="00F9205E">
        <w:rPr>
          <w:rFonts w:cs="Times New Roman"/>
          <w:sz w:val="19"/>
          <w:szCs w:val="19"/>
        </w:rPr>
        <w:t xml:space="preserve">  A type </w:t>
      </w:r>
      <w:proofErr w:type="spellStart"/>
      <w:r w:rsidRPr="00F9205E">
        <w:rPr>
          <w:rFonts w:cs="Times New Roman"/>
          <w:sz w:val="19"/>
          <w:szCs w:val="19"/>
        </w:rPr>
        <w:t>of</w:t>
      </w:r>
      <w:proofErr w:type="spellEnd"/>
      <w:r w:rsidRPr="00F9205E">
        <w:rPr>
          <w:rFonts w:cs="Times New Roman"/>
          <w:sz w:val="19"/>
          <w:szCs w:val="19"/>
        </w:rPr>
        <w:t xml:space="preserve"> MTFs </w:t>
      </w:r>
      <w:proofErr w:type="spellStart"/>
      <w:r w:rsidRPr="00F9205E">
        <w:rPr>
          <w:rFonts w:cs="Times New Roman"/>
          <w:sz w:val="19"/>
          <w:szCs w:val="19"/>
        </w:rPr>
        <w:t>under</w:t>
      </w:r>
      <w:proofErr w:type="spellEnd"/>
      <w:r w:rsidRPr="00F9205E">
        <w:rPr>
          <w:rFonts w:cs="Times New Roman"/>
          <w:sz w:val="19"/>
          <w:szCs w:val="19"/>
        </w:rPr>
        <w:t xml:space="preserve"> § 48 BörsG</w:t>
      </w:r>
    </w:p>
    <w:p w14:paraId="17C98FAE" w14:textId="0B46D1FD" w:rsidR="003A0F8A" w:rsidRPr="002121A4" w:rsidRDefault="003A0F8A" w:rsidP="008C5A48">
      <w:pPr>
        <w:rPr>
          <w:rFonts w:cs="Times New Roman"/>
          <w:sz w:val="19"/>
          <w:szCs w:val="19"/>
          <w:lang w:val="en-GB"/>
        </w:rPr>
      </w:pPr>
      <w:proofErr w:type="spellStart"/>
      <w:r w:rsidRPr="002121A4">
        <w:rPr>
          <w:rFonts w:cs="Times New Roman"/>
          <w:b/>
          <w:sz w:val="19"/>
          <w:szCs w:val="19"/>
          <w:lang w:val="en-GB"/>
        </w:rPr>
        <w:t>Fremdkapital</w:t>
      </w:r>
      <w:proofErr w:type="spellEnd"/>
      <w:r w:rsidRPr="002121A4">
        <w:rPr>
          <w:rFonts w:cs="Times New Roman"/>
          <w:sz w:val="19"/>
          <w:szCs w:val="19"/>
          <w:lang w:val="en-GB"/>
        </w:rPr>
        <w:t>  → debt</w:t>
      </w:r>
    </w:p>
    <w:p w14:paraId="36F290AE" w14:textId="4553C7B9" w:rsidR="00810CD5" w:rsidRPr="002121A4" w:rsidRDefault="00810CD5" w:rsidP="008C5A48">
      <w:pPr>
        <w:rPr>
          <w:rFonts w:cs="Times New Roman"/>
          <w:sz w:val="19"/>
          <w:szCs w:val="19"/>
          <w:lang w:val="en-GB"/>
        </w:rPr>
      </w:pPr>
      <w:r w:rsidRPr="002121A4">
        <w:rPr>
          <w:rFonts w:cs="Times New Roman"/>
          <w:b/>
          <w:sz w:val="19"/>
          <w:szCs w:val="19"/>
          <w:lang w:val="en-GB"/>
        </w:rPr>
        <w:t>Future</w:t>
      </w:r>
      <w:r w:rsidRPr="002121A4">
        <w:rPr>
          <w:rFonts w:cs="Times New Roman"/>
          <w:sz w:val="19"/>
          <w:szCs w:val="19"/>
          <w:lang w:val="en-GB"/>
        </w:rPr>
        <w:t>  A type of → derivative contract under which delivery is agreed at a future date for a fixed price</w:t>
      </w:r>
      <w:r w:rsidR="00422B5F" w:rsidRPr="002121A4">
        <w:rPr>
          <w:rFonts w:cs="Times New Roman"/>
          <w:sz w:val="19"/>
          <w:szCs w:val="19"/>
          <w:lang w:val="en-GB"/>
        </w:rPr>
        <w:t>; also see → spot transaction</w:t>
      </w:r>
    </w:p>
    <w:p w14:paraId="13D214FE" w14:textId="45B71AA0" w:rsidR="007E6A56" w:rsidRPr="00503463" w:rsidRDefault="007E6A56" w:rsidP="008C5A48">
      <w:pPr>
        <w:rPr>
          <w:rFonts w:cs="Times New Roman"/>
          <w:sz w:val="19"/>
          <w:szCs w:val="19"/>
        </w:rPr>
      </w:pPr>
      <w:r w:rsidRPr="00503463">
        <w:rPr>
          <w:rFonts w:cs="Times New Roman"/>
          <w:b/>
          <w:sz w:val="19"/>
          <w:szCs w:val="19"/>
        </w:rPr>
        <w:t>FWB</w:t>
      </w:r>
      <w:r w:rsidRPr="00503463">
        <w:rPr>
          <w:rFonts w:cs="Times New Roman"/>
          <w:sz w:val="19"/>
          <w:szCs w:val="19"/>
        </w:rPr>
        <w:t xml:space="preserve">  Frankfurter Wertpapierbörse, a </w:t>
      </w:r>
      <w:proofErr w:type="spellStart"/>
      <w:r w:rsidRPr="00503463">
        <w:rPr>
          <w:rFonts w:cs="Times New Roman"/>
          <w:sz w:val="19"/>
          <w:szCs w:val="19"/>
        </w:rPr>
        <w:t>regulated</w:t>
      </w:r>
      <w:proofErr w:type="spellEnd"/>
      <w:r w:rsidRPr="00503463">
        <w:rPr>
          <w:rFonts w:cs="Times New Roman"/>
          <w:sz w:val="19"/>
          <w:szCs w:val="19"/>
        </w:rPr>
        <w:t xml:space="preserve"> </w:t>
      </w:r>
      <w:proofErr w:type="spellStart"/>
      <w:r w:rsidRPr="00503463">
        <w:rPr>
          <w:rFonts w:cs="Times New Roman"/>
          <w:sz w:val="19"/>
          <w:szCs w:val="19"/>
        </w:rPr>
        <w:t>market</w:t>
      </w:r>
      <w:proofErr w:type="spellEnd"/>
      <w:r w:rsidRPr="00503463">
        <w:rPr>
          <w:rFonts w:cs="Times New Roman"/>
          <w:sz w:val="19"/>
          <w:szCs w:val="19"/>
        </w:rPr>
        <w:t xml:space="preserve"> </w:t>
      </w:r>
      <w:proofErr w:type="spellStart"/>
      <w:r w:rsidRPr="00503463">
        <w:rPr>
          <w:rFonts w:cs="Times New Roman"/>
          <w:sz w:val="19"/>
          <w:szCs w:val="19"/>
        </w:rPr>
        <w:t>operated</w:t>
      </w:r>
      <w:proofErr w:type="spellEnd"/>
      <w:r w:rsidRPr="00503463">
        <w:rPr>
          <w:rFonts w:cs="Times New Roman"/>
          <w:sz w:val="19"/>
          <w:szCs w:val="19"/>
        </w:rPr>
        <w:t xml:space="preserve"> </w:t>
      </w:r>
      <w:proofErr w:type="spellStart"/>
      <w:r w:rsidRPr="00503463">
        <w:rPr>
          <w:rFonts w:cs="Times New Roman"/>
          <w:sz w:val="19"/>
          <w:szCs w:val="19"/>
        </w:rPr>
        <w:t>by</w:t>
      </w:r>
      <w:proofErr w:type="spellEnd"/>
      <w:r w:rsidRPr="00503463">
        <w:rPr>
          <w:rFonts w:cs="Times New Roman"/>
          <w:sz w:val="19"/>
          <w:szCs w:val="19"/>
        </w:rPr>
        <w:t xml:space="preserve"> Deutsche Börse AG</w:t>
      </w:r>
    </w:p>
    <w:p w14:paraId="1C855746" w14:textId="1DF4167A" w:rsidR="005C1E3A" w:rsidRPr="002121A4" w:rsidRDefault="005C1E3A" w:rsidP="008C5A48">
      <w:pPr>
        <w:rPr>
          <w:b/>
          <w:sz w:val="19"/>
          <w:szCs w:val="19"/>
          <w:lang w:val="en-GB"/>
        </w:rPr>
      </w:pPr>
      <w:r w:rsidRPr="002121A4">
        <w:rPr>
          <w:rFonts w:cs="Times New Roman"/>
          <w:b/>
          <w:sz w:val="19"/>
          <w:szCs w:val="19"/>
          <w:lang w:val="en-GB"/>
        </w:rPr>
        <w:t>Global certificate  </w:t>
      </w:r>
      <w:r w:rsidRPr="002121A4">
        <w:rPr>
          <w:rFonts w:cs="Times New Roman"/>
          <w:sz w:val="19"/>
          <w:szCs w:val="19"/>
          <w:lang w:val="en-GB"/>
        </w:rPr>
        <w:t>Certification of transferable securities in one single certificate held by → CSDs on behalf of all individual investors</w:t>
      </w:r>
      <w:r w:rsidRPr="002121A4">
        <w:rPr>
          <w:rFonts w:cs="Times New Roman"/>
          <w:b/>
          <w:sz w:val="19"/>
          <w:szCs w:val="19"/>
          <w:lang w:val="en-GB"/>
        </w:rPr>
        <w:t xml:space="preserve"> </w:t>
      </w:r>
    </w:p>
    <w:p w14:paraId="6F025929" w14:textId="030F2ED6" w:rsidR="007E286E" w:rsidRDefault="007E286E" w:rsidP="008C5A48">
      <w:pPr>
        <w:rPr>
          <w:sz w:val="19"/>
          <w:szCs w:val="19"/>
          <w:lang w:val="en-GB"/>
        </w:rPr>
      </w:pPr>
      <w:proofErr w:type="spellStart"/>
      <w:r w:rsidRPr="002121A4">
        <w:rPr>
          <w:b/>
          <w:sz w:val="19"/>
          <w:szCs w:val="19"/>
          <w:lang w:val="en-GB"/>
        </w:rPr>
        <w:t>Goldplating</w:t>
      </w:r>
      <w:proofErr w:type="spellEnd"/>
      <w:r w:rsidRPr="002121A4">
        <w:rPr>
          <w:sz w:val="19"/>
          <w:szCs w:val="19"/>
          <w:lang w:val="en-GB"/>
        </w:rPr>
        <w:t>  </w:t>
      </w:r>
      <w:r w:rsidR="002F46C6" w:rsidRPr="002121A4">
        <w:rPr>
          <w:sz w:val="19"/>
          <w:szCs w:val="19"/>
          <w:lang w:val="en-GB"/>
        </w:rPr>
        <w:t>C</w:t>
      </w:r>
      <w:r w:rsidRPr="002121A4">
        <w:rPr>
          <w:sz w:val="19"/>
          <w:szCs w:val="19"/>
          <w:lang w:val="en-GB"/>
        </w:rPr>
        <w:t>olloquial term describing excess implementation of EU directives in domestic law, see para. </w:t>
      </w:r>
      <w:r w:rsidRPr="002121A4">
        <w:rPr>
          <w:sz w:val="19"/>
          <w:szCs w:val="19"/>
          <w:lang w:val="en-GB"/>
        </w:rPr>
        <w:fldChar w:fldCharType="begin"/>
      </w:r>
      <w:r w:rsidRPr="002121A4">
        <w:rPr>
          <w:sz w:val="19"/>
          <w:szCs w:val="19"/>
          <w:lang w:val="en-GB"/>
        </w:rPr>
        <w:instrText xml:space="preserve"> REF _Ref129771839 \r \h </w:instrText>
      </w:r>
      <w:r w:rsidRPr="002121A4">
        <w:rPr>
          <w:sz w:val="19"/>
          <w:szCs w:val="19"/>
          <w:lang w:val="en-GB"/>
        </w:rPr>
      </w:r>
      <w:r w:rsidRPr="002121A4">
        <w:rPr>
          <w:sz w:val="19"/>
          <w:szCs w:val="19"/>
          <w:lang w:val="en-GB"/>
        </w:rPr>
        <w:fldChar w:fldCharType="separate"/>
      </w:r>
      <w:r w:rsidR="00D56145">
        <w:rPr>
          <w:sz w:val="19"/>
          <w:szCs w:val="19"/>
          <w:lang w:val="en-GB"/>
        </w:rPr>
        <w:t>149</w:t>
      </w:r>
      <w:r w:rsidRPr="002121A4">
        <w:rPr>
          <w:sz w:val="19"/>
          <w:szCs w:val="19"/>
          <w:lang w:val="en-GB"/>
        </w:rPr>
        <w:fldChar w:fldCharType="end"/>
      </w:r>
    </w:p>
    <w:p w14:paraId="062CA7DE" w14:textId="4C8E9D00" w:rsidR="00D338C5" w:rsidRPr="002121A4" w:rsidRDefault="00182C94" w:rsidP="008C5A48">
      <w:pPr>
        <w:rPr>
          <w:sz w:val="19"/>
          <w:szCs w:val="19"/>
          <w:lang w:val="en-GB"/>
        </w:rPr>
      </w:pPr>
      <w:r>
        <w:rPr>
          <w:b/>
          <w:sz w:val="19"/>
          <w:szCs w:val="19"/>
          <w:lang w:val="en-GB"/>
        </w:rPr>
        <w:t xml:space="preserve">European </w:t>
      </w:r>
      <w:r w:rsidR="00D338C5" w:rsidRPr="00D338C5">
        <w:rPr>
          <w:b/>
          <w:sz w:val="19"/>
          <w:szCs w:val="19"/>
          <w:lang w:val="en-GB"/>
        </w:rPr>
        <w:t>Green Bonds Standard Regulation</w:t>
      </w:r>
      <w:r w:rsidR="00D338C5">
        <w:rPr>
          <w:sz w:val="19"/>
          <w:szCs w:val="19"/>
          <w:lang w:val="en-GB"/>
        </w:rPr>
        <w:t>  </w:t>
      </w:r>
      <w:proofErr w:type="spellStart"/>
      <w:r w:rsidR="00D338C5">
        <w:rPr>
          <w:sz w:val="19"/>
          <w:szCs w:val="19"/>
          <w:lang w:val="en-GB"/>
        </w:rPr>
        <w:t>Regulation</w:t>
      </w:r>
      <w:proofErr w:type="spellEnd"/>
      <w:r w:rsidR="00D338C5">
        <w:rPr>
          <w:sz w:val="19"/>
          <w:szCs w:val="19"/>
          <w:lang w:val="en-GB"/>
        </w:rPr>
        <w:t xml:space="preserve"> (EU) 2023/2631</w:t>
      </w:r>
      <w:r>
        <w:rPr>
          <w:sz w:val="19"/>
          <w:szCs w:val="19"/>
          <w:lang w:val="en-GB"/>
        </w:rPr>
        <w:t xml:space="preserve">, laying </w:t>
      </w:r>
      <w:r w:rsidRPr="00182C94">
        <w:rPr>
          <w:sz w:val="19"/>
          <w:szCs w:val="19"/>
          <w:lang w:val="en-GB"/>
        </w:rPr>
        <w:t xml:space="preserve">down uniform requirements for </w:t>
      </w:r>
      <w:r>
        <w:rPr>
          <w:sz w:val="19"/>
          <w:szCs w:val="19"/>
          <w:lang w:val="en-GB"/>
        </w:rPr>
        <w:t xml:space="preserve">the </w:t>
      </w:r>
      <w:r w:rsidRPr="00182C94">
        <w:rPr>
          <w:sz w:val="19"/>
          <w:szCs w:val="19"/>
          <w:lang w:val="en-GB"/>
        </w:rPr>
        <w:t xml:space="preserve">use </w:t>
      </w:r>
      <w:r>
        <w:rPr>
          <w:sz w:val="19"/>
          <w:szCs w:val="19"/>
          <w:lang w:val="en-GB"/>
        </w:rPr>
        <w:t xml:space="preserve">of </w:t>
      </w:r>
      <w:r w:rsidRPr="00182C94">
        <w:rPr>
          <w:sz w:val="19"/>
          <w:szCs w:val="19"/>
          <w:lang w:val="en-GB"/>
        </w:rPr>
        <w:t>the designation ‘European Green Bond</w:t>
      </w:r>
      <w:r w:rsidR="001424AA">
        <w:rPr>
          <w:sz w:val="19"/>
          <w:szCs w:val="19"/>
          <w:lang w:val="en-GB"/>
        </w:rPr>
        <w:t>’</w:t>
      </w:r>
    </w:p>
    <w:p w14:paraId="2C5547DD" w14:textId="3FB1BD79" w:rsidR="00DC4407" w:rsidRPr="002121A4" w:rsidRDefault="00DC4407" w:rsidP="008C5A48">
      <w:pPr>
        <w:rPr>
          <w:sz w:val="19"/>
          <w:szCs w:val="19"/>
          <w:lang w:val="en-GB"/>
        </w:rPr>
      </w:pPr>
      <w:r w:rsidRPr="002121A4">
        <w:rPr>
          <w:b/>
          <w:sz w:val="19"/>
          <w:szCs w:val="19"/>
          <w:lang w:val="en-GB"/>
        </w:rPr>
        <w:t>IFD</w:t>
      </w:r>
      <w:r w:rsidR="00524C56" w:rsidRPr="002121A4">
        <w:rPr>
          <w:sz w:val="19"/>
          <w:szCs w:val="19"/>
          <w:lang w:val="en-GB"/>
        </w:rPr>
        <w:t>  Directive (EU) 2019/2034 of 27 November 2019 on the prudential supervision of investment firms</w:t>
      </w:r>
    </w:p>
    <w:p w14:paraId="452DF71A" w14:textId="23A76518" w:rsidR="00252669" w:rsidRPr="002121A4" w:rsidRDefault="00252669" w:rsidP="00D665BA">
      <w:pPr>
        <w:rPr>
          <w:sz w:val="19"/>
          <w:szCs w:val="19"/>
          <w:lang w:val="en-GB"/>
        </w:rPr>
      </w:pPr>
      <w:r w:rsidRPr="002121A4">
        <w:rPr>
          <w:b/>
          <w:sz w:val="19"/>
          <w:szCs w:val="19"/>
          <w:lang w:val="en-GB"/>
        </w:rPr>
        <w:t>IFR</w:t>
      </w:r>
      <w:r w:rsidR="00D665BA" w:rsidRPr="002121A4">
        <w:rPr>
          <w:sz w:val="19"/>
          <w:szCs w:val="19"/>
          <w:lang w:val="en-GB"/>
        </w:rPr>
        <w:t>  Regulation (EU) 2019/2033 of 27 November 2019 on the prudential requirements of investment firms</w:t>
      </w:r>
    </w:p>
    <w:p w14:paraId="67DE02E3" w14:textId="0D2D33E1" w:rsidR="009E6C57" w:rsidRPr="002121A4" w:rsidRDefault="009E6C57" w:rsidP="00D665BA">
      <w:pPr>
        <w:rPr>
          <w:sz w:val="19"/>
          <w:szCs w:val="19"/>
          <w:lang w:val="en-GB"/>
        </w:rPr>
      </w:pPr>
      <w:r w:rsidRPr="002121A4">
        <w:rPr>
          <w:b/>
          <w:sz w:val="19"/>
          <w:szCs w:val="19"/>
          <w:lang w:val="en-GB"/>
        </w:rPr>
        <w:t>Implementing technical standard</w:t>
      </w:r>
      <w:r w:rsidRPr="002121A4">
        <w:rPr>
          <w:sz w:val="19"/>
          <w:szCs w:val="19"/>
          <w:lang w:val="en-GB"/>
        </w:rPr>
        <w:t>  A type of EU capital markets legislation, see para. </w:t>
      </w:r>
      <w:r w:rsidRPr="002121A4">
        <w:rPr>
          <w:sz w:val="19"/>
          <w:szCs w:val="19"/>
          <w:lang w:val="en-GB"/>
        </w:rPr>
        <w:fldChar w:fldCharType="begin"/>
      </w:r>
      <w:r w:rsidRPr="002121A4">
        <w:rPr>
          <w:sz w:val="19"/>
          <w:szCs w:val="19"/>
          <w:lang w:val="en-GB"/>
        </w:rPr>
        <w:instrText xml:space="preserve"> REF _Ref130849130 \r \h </w:instrText>
      </w:r>
      <w:r w:rsidRPr="002121A4">
        <w:rPr>
          <w:sz w:val="19"/>
          <w:szCs w:val="19"/>
          <w:lang w:val="en-GB"/>
        </w:rPr>
      </w:r>
      <w:r w:rsidRPr="002121A4">
        <w:rPr>
          <w:sz w:val="19"/>
          <w:szCs w:val="19"/>
          <w:lang w:val="en-GB"/>
        </w:rPr>
        <w:fldChar w:fldCharType="separate"/>
      </w:r>
      <w:r w:rsidR="00D56145">
        <w:rPr>
          <w:sz w:val="19"/>
          <w:szCs w:val="19"/>
          <w:lang w:val="en-GB"/>
        </w:rPr>
        <w:t>22</w:t>
      </w:r>
      <w:r w:rsidRPr="002121A4">
        <w:rPr>
          <w:sz w:val="19"/>
          <w:szCs w:val="19"/>
          <w:lang w:val="en-GB"/>
        </w:rPr>
        <w:fldChar w:fldCharType="end"/>
      </w:r>
    </w:p>
    <w:p w14:paraId="5BF16F4D" w14:textId="5A2458D6" w:rsidR="00AA46D7" w:rsidRPr="002121A4" w:rsidRDefault="00AA46D7" w:rsidP="008C5A48">
      <w:pPr>
        <w:rPr>
          <w:sz w:val="19"/>
          <w:szCs w:val="19"/>
          <w:lang w:val="en-GB"/>
        </w:rPr>
      </w:pPr>
      <w:r w:rsidRPr="002121A4">
        <w:rPr>
          <w:b/>
          <w:sz w:val="19"/>
          <w:szCs w:val="19"/>
          <w:lang w:val="en-GB"/>
        </w:rPr>
        <w:t>Initial public offering</w:t>
      </w:r>
      <w:r w:rsidRPr="002121A4">
        <w:rPr>
          <w:sz w:val="19"/>
          <w:szCs w:val="19"/>
          <w:lang w:val="en-GB"/>
        </w:rPr>
        <w:t>  </w:t>
      </w:r>
      <w:r w:rsidRPr="002121A4">
        <w:rPr>
          <w:rFonts w:cs="Times New Roman"/>
          <w:sz w:val="19"/>
          <w:szCs w:val="19"/>
          <w:lang w:val="en-GB"/>
        </w:rPr>
        <w:t xml:space="preserve">→ </w:t>
      </w:r>
      <w:r w:rsidRPr="002121A4">
        <w:rPr>
          <w:sz w:val="19"/>
          <w:szCs w:val="19"/>
          <w:lang w:val="en-GB"/>
        </w:rPr>
        <w:t>IPO</w:t>
      </w:r>
    </w:p>
    <w:p w14:paraId="41665C67" w14:textId="56219D6A" w:rsidR="00A360AF" w:rsidRPr="002121A4" w:rsidRDefault="00A360AF" w:rsidP="008C5A48">
      <w:pPr>
        <w:rPr>
          <w:sz w:val="19"/>
          <w:szCs w:val="19"/>
          <w:lang w:val="en-GB"/>
        </w:rPr>
      </w:pPr>
      <w:r w:rsidRPr="002121A4">
        <w:rPr>
          <w:b/>
          <w:sz w:val="19"/>
          <w:szCs w:val="19"/>
          <w:lang w:val="en-GB"/>
        </w:rPr>
        <w:t>Inside information</w:t>
      </w:r>
      <w:r w:rsidR="00F7405C" w:rsidRPr="002121A4">
        <w:rPr>
          <w:b/>
          <w:sz w:val="19"/>
          <w:szCs w:val="19"/>
          <w:lang w:val="en-GB"/>
        </w:rPr>
        <w:t>  </w:t>
      </w:r>
      <w:r w:rsidR="00F7405C" w:rsidRPr="002121A4">
        <w:rPr>
          <w:sz w:val="19"/>
          <w:szCs w:val="19"/>
          <w:lang w:val="en-GB"/>
        </w:rPr>
        <w:t>Non-public information of a precise nature and relating to an issuer or a financial instrument that would have a significant effect on the prices of an instrument if it became known</w:t>
      </w:r>
    </w:p>
    <w:p w14:paraId="62A0D9F3" w14:textId="1A721CE1" w:rsidR="00323375" w:rsidRPr="002121A4" w:rsidRDefault="00323375" w:rsidP="008C5A48">
      <w:pPr>
        <w:rPr>
          <w:sz w:val="19"/>
          <w:szCs w:val="19"/>
          <w:lang w:val="en-GB"/>
        </w:rPr>
      </w:pPr>
      <w:r w:rsidRPr="002121A4">
        <w:rPr>
          <w:b/>
          <w:sz w:val="19"/>
          <w:szCs w:val="19"/>
          <w:lang w:val="en-GB"/>
        </w:rPr>
        <w:t>Interactive Single Rulebook</w:t>
      </w:r>
      <w:r w:rsidRPr="002121A4">
        <w:rPr>
          <w:sz w:val="19"/>
          <w:szCs w:val="19"/>
          <w:lang w:val="en-GB"/>
        </w:rPr>
        <w:t>  </w:t>
      </w:r>
      <w:r w:rsidR="008E7133" w:rsidRPr="002121A4">
        <w:rPr>
          <w:rFonts w:cs="Times New Roman"/>
          <w:sz w:val="19"/>
          <w:szCs w:val="19"/>
          <w:lang w:val="en-GB"/>
        </w:rPr>
        <w:t xml:space="preserve">→ </w:t>
      </w:r>
      <w:r w:rsidR="008E7133" w:rsidRPr="002121A4">
        <w:rPr>
          <w:sz w:val="19"/>
          <w:szCs w:val="19"/>
          <w:lang w:val="en-GB"/>
        </w:rPr>
        <w:t>ISRB</w:t>
      </w:r>
    </w:p>
    <w:p w14:paraId="76800AB5" w14:textId="26399426" w:rsidR="00B81FD9" w:rsidRPr="002121A4" w:rsidRDefault="00B81FD9" w:rsidP="008C5A48">
      <w:pPr>
        <w:rPr>
          <w:sz w:val="19"/>
          <w:szCs w:val="19"/>
          <w:lang w:val="en-GB"/>
        </w:rPr>
      </w:pPr>
      <w:r w:rsidRPr="002121A4">
        <w:rPr>
          <w:b/>
          <w:sz w:val="19"/>
          <w:szCs w:val="19"/>
          <w:lang w:val="en-GB"/>
        </w:rPr>
        <w:t>Investment firm</w:t>
      </w:r>
      <w:r w:rsidRPr="002121A4">
        <w:rPr>
          <w:sz w:val="19"/>
          <w:szCs w:val="19"/>
          <w:lang w:val="en-GB"/>
        </w:rPr>
        <w:t>  A type of provider of financial services under MiFID II, see para.</w:t>
      </w:r>
      <w:r w:rsidR="00856D0F" w:rsidRPr="002121A4">
        <w:rPr>
          <w:sz w:val="19"/>
          <w:szCs w:val="19"/>
          <w:lang w:val="en-GB"/>
        </w:rPr>
        <w:t> </w:t>
      </w:r>
      <w:r w:rsidR="00856D0F" w:rsidRPr="002121A4">
        <w:rPr>
          <w:sz w:val="19"/>
          <w:szCs w:val="19"/>
          <w:lang w:val="en-GB"/>
        </w:rPr>
        <w:fldChar w:fldCharType="begin"/>
      </w:r>
      <w:r w:rsidR="00856D0F" w:rsidRPr="002121A4">
        <w:rPr>
          <w:sz w:val="19"/>
          <w:szCs w:val="19"/>
          <w:lang w:val="en-GB"/>
        </w:rPr>
        <w:instrText xml:space="preserve"> REF _Ref129769361 \r \h </w:instrText>
      </w:r>
      <w:r w:rsidR="00856D0F" w:rsidRPr="002121A4">
        <w:rPr>
          <w:sz w:val="19"/>
          <w:szCs w:val="19"/>
          <w:lang w:val="en-GB"/>
        </w:rPr>
      </w:r>
      <w:r w:rsidR="00856D0F" w:rsidRPr="002121A4">
        <w:rPr>
          <w:sz w:val="19"/>
          <w:szCs w:val="19"/>
          <w:lang w:val="en-GB"/>
        </w:rPr>
        <w:fldChar w:fldCharType="separate"/>
      </w:r>
      <w:r w:rsidR="00D56145">
        <w:rPr>
          <w:sz w:val="19"/>
          <w:szCs w:val="19"/>
          <w:lang w:val="en-GB"/>
        </w:rPr>
        <w:t>53</w:t>
      </w:r>
      <w:r w:rsidR="00856D0F" w:rsidRPr="002121A4">
        <w:rPr>
          <w:sz w:val="19"/>
          <w:szCs w:val="19"/>
          <w:lang w:val="en-GB"/>
        </w:rPr>
        <w:fldChar w:fldCharType="end"/>
      </w:r>
    </w:p>
    <w:p w14:paraId="0B1CABF1" w14:textId="7EB1A9DF" w:rsidR="00DC4407" w:rsidRPr="002121A4" w:rsidRDefault="00DC4407" w:rsidP="00DC4407">
      <w:pPr>
        <w:rPr>
          <w:lang w:val="en-GB"/>
        </w:rPr>
      </w:pPr>
      <w:r w:rsidRPr="002121A4">
        <w:rPr>
          <w:b/>
          <w:sz w:val="19"/>
          <w:szCs w:val="19"/>
          <w:lang w:val="en-GB"/>
        </w:rPr>
        <w:t>Investment Firms Directive</w:t>
      </w:r>
      <w:r w:rsidRPr="002121A4">
        <w:rPr>
          <w:rFonts w:cs="Times New Roman"/>
          <w:sz w:val="19"/>
          <w:szCs w:val="19"/>
          <w:lang w:val="en-GB"/>
        </w:rPr>
        <w:t xml:space="preserve">  → </w:t>
      </w:r>
      <w:r w:rsidRPr="002121A4">
        <w:rPr>
          <w:sz w:val="19"/>
          <w:szCs w:val="19"/>
          <w:lang w:val="en-GB"/>
        </w:rPr>
        <w:t>IFD</w:t>
      </w:r>
    </w:p>
    <w:p w14:paraId="6576669E" w14:textId="5FD48BC7" w:rsidR="00252669" w:rsidRPr="002121A4" w:rsidRDefault="00252669" w:rsidP="008C5A48">
      <w:pPr>
        <w:rPr>
          <w:lang w:val="en-GB"/>
        </w:rPr>
      </w:pPr>
      <w:r w:rsidRPr="002121A4">
        <w:rPr>
          <w:b/>
          <w:sz w:val="19"/>
          <w:szCs w:val="19"/>
          <w:lang w:val="en-GB"/>
        </w:rPr>
        <w:t>Investment Firms Regulation</w:t>
      </w:r>
      <w:r w:rsidRPr="002121A4">
        <w:rPr>
          <w:rFonts w:cs="Times New Roman"/>
          <w:sz w:val="19"/>
          <w:szCs w:val="19"/>
          <w:lang w:val="en-GB"/>
        </w:rPr>
        <w:t xml:space="preserve">  → </w:t>
      </w:r>
      <w:r w:rsidRPr="002121A4">
        <w:rPr>
          <w:sz w:val="19"/>
          <w:szCs w:val="19"/>
          <w:lang w:val="en-GB"/>
        </w:rPr>
        <w:t>IFR</w:t>
      </w:r>
    </w:p>
    <w:p w14:paraId="552C1C0A" w14:textId="5A4D2056" w:rsidR="00A360AF" w:rsidRPr="002121A4" w:rsidRDefault="00A360AF" w:rsidP="008C5A48">
      <w:pPr>
        <w:rPr>
          <w:sz w:val="19"/>
          <w:szCs w:val="19"/>
          <w:lang w:val="en-GB"/>
        </w:rPr>
      </w:pPr>
      <w:r w:rsidRPr="002121A4">
        <w:rPr>
          <w:b/>
          <w:sz w:val="19"/>
          <w:szCs w:val="19"/>
          <w:lang w:val="en-GB"/>
        </w:rPr>
        <w:t>Investment fund</w:t>
      </w:r>
      <w:r w:rsidR="00FE5E6F" w:rsidRPr="002121A4">
        <w:rPr>
          <w:sz w:val="19"/>
          <w:szCs w:val="19"/>
          <w:lang w:val="en-GB"/>
        </w:rPr>
        <w:t>  </w:t>
      </w:r>
      <w:r w:rsidR="002F0E86" w:rsidRPr="002121A4">
        <w:rPr>
          <w:sz w:val="19"/>
          <w:szCs w:val="19"/>
          <w:lang w:val="en-GB"/>
        </w:rPr>
        <w:t>A vehicle for collective, pooled investments following a common investmen</w:t>
      </w:r>
      <w:r w:rsidR="00663B71" w:rsidRPr="002121A4">
        <w:rPr>
          <w:sz w:val="19"/>
          <w:szCs w:val="19"/>
          <w:lang w:val="en-GB"/>
        </w:rPr>
        <w:t>t</w:t>
      </w:r>
      <w:r w:rsidR="002F0E86" w:rsidRPr="002121A4">
        <w:rPr>
          <w:sz w:val="19"/>
          <w:szCs w:val="19"/>
          <w:lang w:val="en-GB"/>
        </w:rPr>
        <w:t xml:space="preserve"> strategy, also see: </w:t>
      </w:r>
      <w:r w:rsidR="007F1C58" w:rsidRPr="002121A4">
        <w:rPr>
          <w:rFonts w:cs="Times New Roman"/>
          <w:sz w:val="19"/>
          <w:szCs w:val="19"/>
          <w:lang w:val="en-GB"/>
        </w:rPr>
        <w:t xml:space="preserve">→ </w:t>
      </w:r>
      <w:r w:rsidR="002F0E86" w:rsidRPr="002121A4">
        <w:rPr>
          <w:sz w:val="19"/>
          <w:szCs w:val="19"/>
          <w:lang w:val="en-GB"/>
        </w:rPr>
        <w:t xml:space="preserve">UCITS, </w:t>
      </w:r>
      <w:r w:rsidR="007F1C58" w:rsidRPr="002121A4">
        <w:rPr>
          <w:rFonts w:cs="Times New Roman"/>
          <w:sz w:val="19"/>
          <w:szCs w:val="19"/>
          <w:lang w:val="en-GB"/>
        </w:rPr>
        <w:t xml:space="preserve">→ </w:t>
      </w:r>
      <w:r w:rsidR="002F0E86" w:rsidRPr="002121A4">
        <w:rPr>
          <w:sz w:val="19"/>
          <w:szCs w:val="19"/>
          <w:lang w:val="en-GB"/>
        </w:rPr>
        <w:t>AIF</w:t>
      </w:r>
    </w:p>
    <w:p w14:paraId="5BDE7B0D" w14:textId="6A63D77C" w:rsidR="005958BD" w:rsidRPr="002121A4" w:rsidRDefault="005958BD" w:rsidP="008C5A48">
      <w:pPr>
        <w:rPr>
          <w:sz w:val="19"/>
          <w:szCs w:val="19"/>
          <w:lang w:val="en-GB"/>
        </w:rPr>
      </w:pPr>
      <w:r w:rsidRPr="002121A4">
        <w:rPr>
          <w:b/>
          <w:sz w:val="19"/>
          <w:szCs w:val="19"/>
          <w:lang w:val="en-GB"/>
        </w:rPr>
        <w:t>Investment services</w:t>
      </w:r>
      <w:r w:rsidRPr="002121A4">
        <w:rPr>
          <w:sz w:val="19"/>
          <w:szCs w:val="19"/>
          <w:lang w:val="en-GB"/>
        </w:rPr>
        <w:t>  </w:t>
      </w:r>
      <w:proofErr w:type="spellStart"/>
      <w:r w:rsidRPr="002121A4">
        <w:rPr>
          <w:sz w:val="19"/>
          <w:szCs w:val="19"/>
          <w:lang w:val="en-GB"/>
        </w:rPr>
        <w:t>Services</w:t>
      </w:r>
      <w:proofErr w:type="spellEnd"/>
      <w:r w:rsidRPr="002121A4">
        <w:rPr>
          <w:sz w:val="19"/>
          <w:szCs w:val="19"/>
          <w:lang w:val="en-GB"/>
        </w:rPr>
        <w:t xml:space="preserve"> defined under MiFID II as the type of activity of an </w:t>
      </w:r>
      <w:r w:rsidRPr="002121A4">
        <w:rPr>
          <w:rFonts w:cs="Times New Roman"/>
          <w:sz w:val="19"/>
          <w:szCs w:val="19"/>
          <w:lang w:val="en-GB"/>
        </w:rPr>
        <w:t>→ investment firm</w:t>
      </w:r>
    </w:p>
    <w:p w14:paraId="6BAEDC14" w14:textId="4986A1FD" w:rsidR="00AA46D7" w:rsidRPr="002121A4" w:rsidRDefault="00AA46D7" w:rsidP="008C5A48">
      <w:pPr>
        <w:rPr>
          <w:sz w:val="19"/>
          <w:szCs w:val="19"/>
          <w:lang w:val="en-GB"/>
        </w:rPr>
      </w:pPr>
      <w:r w:rsidRPr="002121A4">
        <w:rPr>
          <w:b/>
          <w:sz w:val="19"/>
          <w:szCs w:val="19"/>
          <w:lang w:val="en-GB"/>
        </w:rPr>
        <w:t>IPO</w:t>
      </w:r>
      <w:r w:rsidRPr="002121A4">
        <w:rPr>
          <w:sz w:val="19"/>
          <w:szCs w:val="19"/>
          <w:lang w:val="en-GB"/>
        </w:rPr>
        <w:t xml:space="preserve">  Initial public offering, describes the initial placement and admission to trading </w:t>
      </w:r>
      <w:r w:rsidR="002F46C6" w:rsidRPr="002121A4">
        <w:rPr>
          <w:sz w:val="19"/>
          <w:szCs w:val="19"/>
          <w:lang w:val="en-GB"/>
        </w:rPr>
        <w:t xml:space="preserve">of </w:t>
      </w:r>
      <w:r w:rsidRPr="002121A4">
        <w:rPr>
          <w:sz w:val="19"/>
          <w:szCs w:val="19"/>
          <w:lang w:val="en-GB"/>
        </w:rPr>
        <w:t>shares</w:t>
      </w:r>
    </w:p>
    <w:p w14:paraId="6E5CA8BE" w14:textId="220BC97B" w:rsidR="00766171" w:rsidRPr="002121A4" w:rsidRDefault="00766171" w:rsidP="008C5A48">
      <w:pPr>
        <w:rPr>
          <w:sz w:val="19"/>
          <w:szCs w:val="19"/>
          <w:lang w:val="en-GB"/>
        </w:rPr>
      </w:pPr>
      <w:r w:rsidRPr="002121A4">
        <w:rPr>
          <w:b/>
          <w:sz w:val="19"/>
          <w:szCs w:val="19"/>
          <w:lang w:val="en-GB"/>
        </w:rPr>
        <w:t>ISDA Master Agreement</w:t>
      </w:r>
      <w:r w:rsidRPr="002121A4">
        <w:rPr>
          <w:sz w:val="19"/>
          <w:szCs w:val="19"/>
          <w:lang w:val="en-GB"/>
        </w:rPr>
        <w:t xml:space="preserve">  A framework agreement for </w:t>
      </w:r>
      <w:r w:rsidRPr="002121A4">
        <w:rPr>
          <w:rFonts w:cs="Times New Roman"/>
          <w:sz w:val="19"/>
          <w:szCs w:val="19"/>
          <w:lang w:val="en-GB"/>
        </w:rPr>
        <w:t xml:space="preserve">→ </w:t>
      </w:r>
      <w:r w:rsidRPr="002121A4">
        <w:rPr>
          <w:sz w:val="19"/>
          <w:szCs w:val="19"/>
          <w:lang w:val="en-GB"/>
        </w:rPr>
        <w:t>derivative contracts, see para.</w:t>
      </w:r>
      <w:r w:rsidR="00111392">
        <w:rPr>
          <w:sz w:val="19"/>
          <w:szCs w:val="19"/>
          <w:lang w:val="en-GB"/>
        </w:rPr>
        <w:t> </w:t>
      </w:r>
      <w:r w:rsidR="00111392">
        <w:rPr>
          <w:sz w:val="19"/>
          <w:szCs w:val="19"/>
          <w:lang w:val="en-GB"/>
        </w:rPr>
        <w:fldChar w:fldCharType="begin"/>
      </w:r>
      <w:r w:rsidR="00111392">
        <w:rPr>
          <w:sz w:val="19"/>
          <w:szCs w:val="19"/>
          <w:lang w:val="en-GB"/>
        </w:rPr>
        <w:instrText xml:space="preserve"> REF _Ref194577788 \r \h </w:instrText>
      </w:r>
      <w:r w:rsidR="00111392">
        <w:rPr>
          <w:sz w:val="19"/>
          <w:szCs w:val="19"/>
          <w:lang w:val="en-GB"/>
        </w:rPr>
      </w:r>
      <w:r w:rsidR="00111392">
        <w:rPr>
          <w:sz w:val="19"/>
          <w:szCs w:val="19"/>
          <w:lang w:val="en-GB"/>
        </w:rPr>
        <w:fldChar w:fldCharType="separate"/>
      </w:r>
      <w:r w:rsidR="00D56145">
        <w:rPr>
          <w:sz w:val="19"/>
          <w:szCs w:val="19"/>
          <w:lang w:val="en-GB"/>
        </w:rPr>
        <w:t>45</w:t>
      </w:r>
      <w:r w:rsidR="00111392">
        <w:rPr>
          <w:sz w:val="19"/>
          <w:szCs w:val="19"/>
          <w:lang w:val="en-GB"/>
        </w:rPr>
        <w:fldChar w:fldCharType="end"/>
      </w:r>
      <w:r w:rsidRPr="002121A4">
        <w:rPr>
          <w:sz w:val="19"/>
          <w:szCs w:val="19"/>
          <w:lang w:val="en-GB"/>
        </w:rPr>
        <w:t> </w:t>
      </w:r>
    </w:p>
    <w:p w14:paraId="317298BF" w14:textId="5DE6ED45" w:rsidR="008E7133" w:rsidRPr="002121A4" w:rsidRDefault="008E7133" w:rsidP="008C5A48">
      <w:pPr>
        <w:rPr>
          <w:sz w:val="19"/>
          <w:szCs w:val="19"/>
          <w:lang w:val="en-GB"/>
        </w:rPr>
      </w:pPr>
      <w:r w:rsidRPr="002121A4">
        <w:rPr>
          <w:b/>
          <w:sz w:val="19"/>
          <w:szCs w:val="19"/>
          <w:lang w:val="en-GB"/>
        </w:rPr>
        <w:t>ISRB</w:t>
      </w:r>
      <w:r w:rsidRPr="002121A4">
        <w:rPr>
          <w:sz w:val="19"/>
          <w:szCs w:val="19"/>
          <w:lang w:val="en-GB"/>
        </w:rPr>
        <w:t xml:space="preserve">  An online tool providing a comprehensive overview of level 2 and level 3 measures adopted in relation to a given level 1 text, see </w:t>
      </w:r>
      <w:r>
        <w:fldChar w:fldCharType="begin"/>
      </w:r>
      <w:r w:rsidRPr="00080F04">
        <w:rPr>
          <w:lang w:val="en-US"/>
        </w:rPr>
        <w:instrText>HYPERLINK "https://www.esma.europa.eu/publications-and-data/interactive-single-rulebook"</w:instrText>
      </w:r>
      <w:r>
        <w:fldChar w:fldCharType="separate"/>
      </w:r>
      <w:r w:rsidRPr="002121A4">
        <w:rPr>
          <w:rStyle w:val="Hyperlink"/>
          <w:sz w:val="19"/>
          <w:szCs w:val="19"/>
          <w:lang w:val="en-GB"/>
        </w:rPr>
        <w:t>https://www.esma.europa.eu/publications-and-data/interactive-single-rulebook</w:t>
      </w:r>
      <w:r>
        <w:fldChar w:fldCharType="end"/>
      </w:r>
    </w:p>
    <w:p w14:paraId="43242771" w14:textId="34328B3D" w:rsidR="007C1D79" w:rsidRPr="002121A4" w:rsidRDefault="007C1D79" w:rsidP="008C5A48">
      <w:pPr>
        <w:rPr>
          <w:sz w:val="19"/>
          <w:szCs w:val="19"/>
          <w:lang w:val="en-GB"/>
        </w:rPr>
      </w:pPr>
      <w:r w:rsidRPr="002121A4">
        <w:rPr>
          <w:b/>
          <w:sz w:val="19"/>
          <w:szCs w:val="19"/>
          <w:lang w:val="en-GB"/>
        </w:rPr>
        <w:t>ITS</w:t>
      </w:r>
      <w:r w:rsidRPr="002121A4">
        <w:rPr>
          <w:sz w:val="19"/>
          <w:szCs w:val="19"/>
          <w:lang w:val="en-GB"/>
        </w:rPr>
        <w:t>  </w:t>
      </w:r>
      <w:r w:rsidRPr="002121A4">
        <w:rPr>
          <w:rFonts w:cs="Times New Roman"/>
          <w:sz w:val="19"/>
          <w:szCs w:val="19"/>
          <w:lang w:val="en-GB"/>
        </w:rPr>
        <w:t>→</w:t>
      </w:r>
      <w:r w:rsidRPr="002121A4">
        <w:rPr>
          <w:sz w:val="19"/>
          <w:szCs w:val="19"/>
          <w:lang w:val="en-GB"/>
        </w:rPr>
        <w:t xml:space="preserve"> Implementing technical standard</w:t>
      </w:r>
    </w:p>
    <w:p w14:paraId="12147FC6" w14:textId="2EEEB1BB" w:rsidR="000625C8" w:rsidRPr="002121A4" w:rsidRDefault="000625C8" w:rsidP="008C5A48">
      <w:pPr>
        <w:rPr>
          <w:b/>
          <w:sz w:val="19"/>
          <w:szCs w:val="19"/>
          <w:lang w:val="en-GB"/>
        </w:rPr>
      </w:pPr>
      <w:r w:rsidRPr="002121A4">
        <w:rPr>
          <w:b/>
          <w:sz w:val="19"/>
          <w:szCs w:val="19"/>
          <w:lang w:val="en-GB"/>
        </w:rPr>
        <w:t>Junior  </w:t>
      </w:r>
      <w:r w:rsidRPr="002121A4">
        <w:rPr>
          <w:rFonts w:cs="Times New Roman"/>
          <w:sz w:val="19"/>
          <w:szCs w:val="19"/>
          <w:lang w:val="en-GB"/>
        </w:rPr>
        <w:t xml:space="preserve">→ </w:t>
      </w:r>
      <w:r w:rsidRPr="002121A4">
        <w:rPr>
          <w:sz w:val="19"/>
          <w:szCs w:val="19"/>
          <w:lang w:val="en-GB"/>
        </w:rPr>
        <w:t>subordinated</w:t>
      </w:r>
    </w:p>
    <w:p w14:paraId="3402B7B6" w14:textId="58515484" w:rsidR="006007F7" w:rsidRPr="002121A4" w:rsidRDefault="006007F7" w:rsidP="008C5A48">
      <w:pPr>
        <w:rPr>
          <w:sz w:val="19"/>
          <w:szCs w:val="19"/>
          <w:lang w:val="en-GB"/>
        </w:rPr>
      </w:pPr>
      <w:r w:rsidRPr="002121A4">
        <w:rPr>
          <w:b/>
          <w:sz w:val="19"/>
          <w:szCs w:val="19"/>
          <w:lang w:val="en-GB"/>
        </w:rPr>
        <w:t>KAGB  </w:t>
      </w:r>
      <w:proofErr w:type="spellStart"/>
      <w:r w:rsidRPr="002121A4">
        <w:rPr>
          <w:sz w:val="19"/>
          <w:szCs w:val="19"/>
          <w:lang w:val="en-GB"/>
        </w:rPr>
        <w:t>Kapitalanlagegesetzbuch</w:t>
      </w:r>
      <w:proofErr w:type="spellEnd"/>
    </w:p>
    <w:p w14:paraId="746A813C" w14:textId="7A2560CA" w:rsidR="00B35094" w:rsidRPr="002121A4" w:rsidRDefault="00B35094" w:rsidP="008C5A48">
      <w:pPr>
        <w:rPr>
          <w:sz w:val="19"/>
          <w:szCs w:val="19"/>
          <w:lang w:val="en-GB"/>
        </w:rPr>
      </w:pPr>
      <w:proofErr w:type="spellStart"/>
      <w:r w:rsidRPr="002121A4">
        <w:rPr>
          <w:b/>
          <w:sz w:val="19"/>
          <w:szCs w:val="19"/>
          <w:lang w:val="en-GB"/>
        </w:rPr>
        <w:t>Lamfalussy</w:t>
      </w:r>
      <w:proofErr w:type="spellEnd"/>
      <w:r w:rsidRPr="002121A4">
        <w:rPr>
          <w:b/>
          <w:sz w:val="19"/>
          <w:szCs w:val="19"/>
          <w:lang w:val="en-GB"/>
        </w:rPr>
        <w:t xml:space="preserve"> process  </w:t>
      </w:r>
      <w:r w:rsidRPr="002121A4">
        <w:rPr>
          <w:sz w:val="19"/>
          <w:szCs w:val="19"/>
          <w:lang w:val="en-GB"/>
        </w:rPr>
        <w:t>Describes the rule-making process for capital market regulation in the EU, see para. </w:t>
      </w:r>
      <w:r w:rsidRPr="002121A4">
        <w:rPr>
          <w:sz w:val="19"/>
          <w:szCs w:val="19"/>
          <w:lang w:val="en-GB"/>
        </w:rPr>
        <w:fldChar w:fldCharType="begin"/>
      </w:r>
      <w:r w:rsidRPr="002121A4">
        <w:rPr>
          <w:sz w:val="19"/>
          <w:szCs w:val="19"/>
          <w:lang w:val="en-GB"/>
        </w:rPr>
        <w:instrText xml:space="preserve"> REF _Ref130849130 \r \h </w:instrText>
      </w:r>
      <w:r w:rsidRPr="002121A4">
        <w:rPr>
          <w:sz w:val="19"/>
          <w:szCs w:val="19"/>
          <w:lang w:val="en-GB"/>
        </w:rPr>
      </w:r>
      <w:r w:rsidRPr="002121A4">
        <w:rPr>
          <w:sz w:val="19"/>
          <w:szCs w:val="19"/>
          <w:lang w:val="en-GB"/>
        </w:rPr>
        <w:fldChar w:fldCharType="separate"/>
      </w:r>
      <w:r w:rsidR="00D56145">
        <w:rPr>
          <w:sz w:val="19"/>
          <w:szCs w:val="19"/>
          <w:lang w:val="en-GB"/>
        </w:rPr>
        <w:t>22</w:t>
      </w:r>
      <w:r w:rsidRPr="002121A4">
        <w:rPr>
          <w:sz w:val="19"/>
          <w:szCs w:val="19"/>
          <w:lang w:val="en-GB"/>
        </w:rPr>
        <w:fldChar w:fldCharType="end"/>
      </w:r>
      <w:r w:rsidRPr="002121A4">
        <w:rPr>
          <w:sz w:val="19"/>
          <w:szCs w:val="19"/>
          <w:lang w:val="en-GB"/>
        </w:rPr>
        <w:t xml:space="preserve"> </w:t>
      </w:r>
    </w:p>
    <w:p w14:paraId="1EBCBD27" w14:textId="307F49B1" w:rsidR="008A1E85" w:rsidRPr="002121A4" w:rsidRDefault="008A1E85" w:rsidP="008C5A48">
      <w:pPr>
        <w:rPr>
          <w:sz w:val="19"/>
          <w:szCs w:val="19"/>
          <w:lang w:val="en-GB"/>
        </w:rPr>
      </w:pPr>
      <w:r w:rsidRPr="002121A4">
        <w:rPr>
          <w:b/>
          <w:sz w:val="19"/>
          <w:szCs w:val="19"/>
          <w:lang w:val="en-GB"/>
        </w:rPr>
        <w:t>Listed company</w:t>
      </w:r>
      <w:r w:rsidRPr="002121A4">
        <w:rPr>
          <w:sz w:val="19"/>
          <w:szCs w:val="19"/>
          <w:lang w:val="en-GB"/>
        </w:rPr>
        <w:t xml:space="preserve">  A company the shares of which are admitted to trading on a regulated market, § 3(2) </w:t>
      </w:r>
      <w:proofErr w:type="spellStart"/>
      <w:r w:rsidRPr="002121A4">
        <w:rPr>
          <w:sz w:val="19"/>
          <w:szCs w:val="19"/>
          <w:lang w:val="en-GB"/>
        </w:rPr>
        <w:t>AktG</w:t>
      </w:r>
      <w:proofErr w:type="spellEnd"/>
      <w:r w:rsidRPr="002121A4">
        <w:rPr>
          <w:sz w:val="19"/>
          <w:szCs w:val="19"/>
          <w:lang w:val="en-GB"/>
        </w:rPr>
        <w:t xml:space="preserve"> (“</w:t>
      </w:r>
      <w:proofErr w:type="spellStart"/>
      <w:r w:rsidRPr="002121A4">
        <w:rPr>
          <w:sz w:val="19"/>
          <w:szCs w:val="19"/>
          <w:lang w:val="en-GB"/>
        </w:rPr>
        <w:t>börsennotierte</w:t>
      </w:r>
      <w:proofErr w:type="spellEnd"/>
      <w:r w:rsidRPr="002121A4">
        <w:rPr>
          <w:sz w:val="19"/>
          <w:szCs w:val="19"/>
          <w:lang w:val="en-GB"/>
        </w:rPr>
        <w:t xml:space="preserve"> Gesellschaft”)</w:t>
      </w:r>
    </w:p>
    <w:p w14:paraId="598B722A" w14:textId="0FE58D4D" w:rsidR="00831AA5" w:rsidRPr="002121A4" w:rsidRDefault="00831AA5" w:rsidP="008C5A48">
      <w:pPr>
        <w:rPr>
          <w:sz w:val="19"/>
          <w:szCs w:val="19"/>
          <w:lang w:val="en-GB"/>
        </w:rPr>
      </w:pPr>
      <w:r w:rsidRPr="002121A4">
        <w:rPr>
          <w:b/>
          <w:sz w:val="19"/>
          <w:szCs w:val="19"/>
          <w:lang w:val="en-GB"/>
        </w:rPr>
        <w:t>Listing Directive</w:t>
      </w:r>
      <w:r w:rsidRPr="002121A4">
        <w:rPr>
          <w:sz w:val="19"/>
          <w:szCs w:val="19"/>
          <w:lang w:val="en-GB"/>
        </w:rPr>
        <w:t>  </w:t>
      </w:r>
      <w:proofErr w:type="spellStart"/>
      <w:r w:rsidRPr="002121A4">
        <w:rPr>
          <w:sz w:val="19"/>
          <w:szCs w:val="19"/>
          <w:lang w:val="en-GB"/>
        </w:rPr>
        <w:t>Directive</w:t>
      </w:r>
      <w:proofErr w:type="spellEnd"/>
      <w:r w:rsidRPr="002121A4">
        <w:rPr>
          <w:sz w:val="19"/>
          <w:szCs w:val="19"/>
          <w:lang w:val="en-GB"/>
        </w:rPr>
        <w:t xml:space="preserve"> 2001/34/EC of 28 May 2001 on the admission of securities to official stock exchange listing and on information to be published on those securities</w:t>
      </w:r>
    </w:p>
    <w:p w14:paraId="6DF3470D" w14:textId="6B454D4A" w:rsidR="00EF5522" w:rsidRPr="002121A4" w:rsidRDefault="00EF5522" w:rsidP="008C5A48">
      <w:pPr>
        <w:rPr>
          <w:sz w:val="19"/>
          <w:szCs w:val="19"/>
          <w:lang w:val="en-GB"/>
        </w:rPr>
      </w:pPr>
      <w:r w:rsidRPr="002121A4">
        <w:rPr>
          <w:b/>
          <w:sz w:val="19"/>
          <w:szCs w:val="19"/>
          <w:lang w:val="en-GB"/>
        </w:rPr>
        <w:t>MAD</w:t>
      </w:r>
      <w:r w:rsidRPr="002121A4">
        <w:rPr>
          <w:sz w:val="19"/>
          <w:szCs w:val="19"/>
          <w:lang w:val="en-GB"/>
        </w:rPr>
        <w:t>  Directive 2014/57/EU of 16 April 2014 on criminal sanctions for market abuse (</w:t>
      </w:r>
      <w:r w:rsidR="00531E86" w:rsidRPr="002121A4">
        <w:rPr>
          <w:sz w:val="19"/>
          <w:szCs w:val="19"/>
          <w:lang w:val="en-GB"/>
        </w:rPr>
        <w:t>“M</w:t>
      </w:r>
      <w:r w:rsidRPr="002121A4">
        <w:rPr>
          <w:sz w:val="19"/>
          <w:szCs w:val="19"/>
          <w:lang w:val="en-GB"/>
        </w:rPr>
        <w:t xml:space="preserve">arket </w:t>
      </w:r>
      <w:r w:rsidR="00531E86" w:rsidRPr="002121A4">
        <w:rPr>
          <w:sz w:val="19"/>
          <w:szCs w:val="19"/>
          <w:lang w:val="en-GB"/>
        </w:rPr>
        <w:t>A</w:t>
      </w:r>
      <w:r w:rsidRPr="002121A4">
        <w:rPr>
          <w:sz w:val="19"/>
          <w:szCs w:val="19"/>
          <w:lang w:val="en-GB"/>
        </w:rPr>
        <w:t xml:space="preserve">buse </w:t>
      </w:r>
      <w:r w:rsidR="00531E86" w:rsidRPr="002121A4">
        <w:rPr>
          <w:sz w:val="19"/>
          <w:szCs w:val="19"/>
          <w:lang w:val="en-GB"/>
        </w:rPr>
        <w:t>D</w:t>
      </w:r>
      <w:r w:rsidRPr="002121A4">
        <w:rPr>
          <w:sz w:val="19"/>
          <w:szCs w:val="19"/>
          <w:lang w:val="en-GB"/>
        </w:rPr>
        <w:t>irective</w:t>
      </w:r>
      <w:r w:rsidR="00531E86" w:rsidRPr="002121A4">
        <w:rPr>
          <w:sz w:val="19"/>
          <w:szCs w:val="19"/>
          <w:lang w:val="en-GB"/>
        </w:rPr>
        <w:t>”</w:t>
      </w:r>
      <w:r w:rsidRPr="002121A4">
        <w:rPr>
          <w:sz w:val="19"/>
          <w:szCs w:val="19"/>
          <w:lang w:val="en-GB"/>
        </w:rPr>
        <w:t>), see para. </w:t>
      </w:r>
      <w:r w:rsidRPr="002121A4">
        <w:rPr>
          <w:sz w:val="19"/>
          <w:szCs w:val="19"/>
          <w:lang w:val="en-GB"/>
        </w:rPr>
        <w:fldChar w:fldCharType="begin"/>
      </w:r>
      <w:r w:rsidRPr="002121A4">
        <w:rPr>
          <w:sz w:val="19"/>
          <w:szCs w:val="19"/>
          <w:lang w:val="en-GB"/>
        </w:rPr>
        <w:instrText xml:space="preserve"> REF _Ref129767549 \r \h </w:instrText>
      </w:r>
      <w:r w:rsidRPr="002121A4">
        <w:rPr>
          <w:sz w:val="19"/>
          <w:szCs w:val="19"/>
          <w:lang w:val="en-GB"/>
        </w:rPr>
      </w:r>
      <w:r w:rsidRPr="002121A4">
        <w:rPr>
          <w:sz w:val="19"/>
          <w:szCs w:val="19"/>
          <w:lang w:val="en-GB"/>
        </w:rPr>
        <w:fldChar w:fldCharType="separate"/>
      </w:r>
      <w:r w:rsidR="00D56145">
        <w:rPr>
          <w:sz w:val="19"/>
          <w:szCs w:val="19"/>
          <w:lang w:val="en-GB"/>
        </w:rPr>
        <w:t>135</w:t>
      </w:r>
      <w:r w:rsidRPr="002121A4">
        <w:rPr>
          <w:sz w:val="19"/>
          <w:szCs w:val="19"/>
          <w:lang w:val="en-GB"/>
        </w:rPr>
        <w:fldChar w:fldCharType="end"/>
      </w:r>
      <w:r w:rsidR="005F306B" w:rsidRPr="002121A4">
        <w:rPr>
          <w:sz w:val="19"/>
          <w:szCs w:val="19"/>
          <w:lang w:val="en-GB"/>
        </w:rPr>
        <w:t xml:space="preserve">. </w:t>
      </w:r>
      <w:proofErr w:type="spellStart"/>
      <w:r w:rsidRPr="002121A4">
        <w:rPr>
          <w:sz w:val="19"/>
          <w:szCs w:val="19"/>
          <w:lang w:val="en-GB"/>
        </w:rPr>
        <w:t>N</w:t>
      </w:r>
      <w:r w:rsidR="005F306B" w:rsidRPr="002121A4">
        <w:rPr>
          <w:sz w:val="19"/>
          <w:szCs w:val="19"/>
          <w:lang w:val="en-GB"/>
        </w:rPr>
        <w:t>otabene</w:t>
      </w:r>
      <w:proofErr w:type="spellEnd"/>
      <w:r w:rsidR="005F306B" w:rsidRPr="002121A4">
        <w:rPr>
          <w:sz w:val="19"/>
          <w:szCs w:val="19"/>
          <w:lang w:val="en-GB"/>
        </w:rPr>
        <w:t>:</w:t>
      </w:r>
      <w:r w:rsidRPr="002121A4">
        <w:rPr>
          <w:sz w:val="19"/>
          <w:szCs w:val="19"/>
          <w:lang w:val="en-GB"/>
        </w:rPr>
        <w:t xml:space="preserve"> the term “Market Abuse Directive” is also used to refer to the directives preceding </w:t>
      </w:r>
      <w:r w:rsidR="0061217D" w:rsidRPr="002121A4">
        <w:rPr>
          <w:rFonts w:cs="Times New Roman"/>
          <w:sz w:val="19"/>
          <w:szCs w:val="19"/>
          <w:lang w:val="en-GB"/>
        </w:rPr>
        <w:t xml:space="preserve">→ </w:t>
      </w:r>
      <w:r w:rsidRPr="002121A4">
        <w:rPr>
          <w:sz w:val="19"/>
          <w:szCs w:val="19"/>
          <w:lang w:val="en-GB"/>
        </w:rPr>
        <w:t>MAR, see para. </w:t>
      </w:r>
      <w:r w:rsidRPr="002121A4">
        <w:rPr>
          <w:sz w:val="19"/>
          <w:szCs w:val="19"/>
          <w:lang w:val="en-GB"/>
        </w:rPr>
        <w:fldChar w:fldCharType="begin"/>
      </w:r>
      <w:r w:rsidRPr="002121A4">
        <w:rPr>
          <w:sz w:val="19"/>
          <w:szCs w:val="19"/>
          <w:lang w:val="en-GB"/>
        </w:rPr>
        <w:instrText xml:space="preserve"> REF _Ref129767603 \r \h </w:instrText>
      </w:r>
      <w:r w:rsidRPr="002121A4">
        <w:rPr>
          <w:sz w:val="19"/>
          <w:szCs w:val="19"/>
          <w:lang w:val="en-GB"/>
        </w:rPr>
      </w:r>
      <w:r w:rsidRPr="002121A4">
        <w:rPr>
          <w:sz w:val="19"/>
          <w:szCs w:val="19"/>
          <w:lang w:val="en-GB"/>
        </w:rPr>
        <w:fldChar w:fldCharType="separate"/>
      </w:r>
      <w:r w:rsidR="00D56145">
        <w:rPr>
          <w:sz w:val="19"/>
          <w:szCs w:val="19"/>
          <w:lang w:val="en-GB"/>
        </w:rPr>
        <w:t>100</w:t>
      </w:r>
      <w:r w:rsidRPr="002121A4">
        <w:rPr>
          <w:sz w:val="19"/>
          <w:szCs w:val="19"/>
          <w:lang w:val="en-GB"/>
        </w:rPr>
        <w:fldChar w:fldCharType="end"/>
      </w:r>
      <w:r w:rsidR="005F306B" w:rsidRPr="002121A4">
        <w:rPr>
          <w:sz w:val="19"/>
          <w:szCs w:val="19"/>
          <w:lang w:val="en-GB"/>
        </w:rPr>
        <w:t>.</w:t>
      </w:r>
    </w:p>
    <w:p w14:paraId="0130A5BB" w14:textId="5B467BB4" w:rsidR="00826495" w:rsidRPr="002121A4" w:rsidRDefault="00826495" w:rsidP="008C5A48">
      <w:pPr>
        <w:rPr>
          <w:b/>
          <w:sz w:val="19"/>
          <w:szCs w:val="19"/>
          <w:lang w:val="en-GB"/>
        </w:rPr>
      </w:pPr>
      <w:r w:rsidRPr="002121A4">
        <w:rPr>
          <w:b/>
          <w:sz w:val="19"/>
          <w:szCs w:val="19"/>
          <w:lang w:val="en-GB"/>
        </w:rPr>
        <w:t>Managers</w:t>
      </w:r>
      <w:r w:rsidR="001008AC" w:rsidRPr="002121A4">
        <w:rPr>
          <w:b/>
          <w:sz w:val="19"/>
          <w:szCs w:val="19"/>
          <w:lang w:val="en-GB"/>
        </w:rPr>
        <w:t>’</w:t>
      </w:r>
      <w:r w:rsidRPr="002121A4">
        <w:rPr>
          <w:b/>
          <w:sz w:val="19"/>
          <w:szCs w:val="19"/>
          <w:lang w:val="en-GB"/>
        </w:rPr>
        <w:t xml:space="preserve"> transactions  </w:t>
      </w:r>
      <w:proofErr w:type="spellStart"/>
      <w:r w:rsidRPr="002121A4">
        <w:rPr>
          <w:sz w:val="19"/>
          <w:szCs w:val="19"/>
          <w:lang w:val="en-GB"/>
        </w:rPr>
        <w:t>Transactions</w:t>
      </w:r>
      <w:proofErr w:type="spellEnd"/>
      <w:r w:rsidRPr="002121A4">
        <w:rPr>
          <w:sz w:val="19"/>
          <w:szCs w:val="19"/>
          <w:lang w:val="en-GB"/>
        </w:rPr>
        <w:t xml:space="preserve"> by senior management in </w:t>
      </w:r>
      <w:r w:rsidR="006F5A9B" w:rsidRPr="002121A4">
        <w:rPr>
          <w:rFonts w:cs="Times New Roman"/>
          <w:sz w:val="19"/>
          <w:szCs w:val="19"/>
          <w:lang w:val="en-GB"/>
        </w:rPr>
        <w:t xml:space="preserve">→ </w:t>
      </w:r>
      <w:r w:rsidR="006F5A9B" w:rsidRPr="002121A4">
        <w:rPr>
          <w:sz w:val="19"/>
          <w:szCs w:val="19"/>
          <w:lang w:val="en-GB"/>
        </w:rPr>
        <w:t xml:space="preserve">financial instruments </w:t>
      </w:r>
      <w:r w:rsidRPr="002121A4">
        <w:rPr>
          <w:sz w:val="19"/>
          <w:szCs w:val="19"/>
          <w:lang w:val="en-GB"/>
        </w:rPr>
        <w:t>relating to an issuer that are disclosable under MAR, see para. </w:t>
      </w:r>
      <w:r w:rsidRPr="002121A4">
        <w:rPr>
          <w:sz w:val="19"/>
          <w:szCs w:val="19"/>
          <w:lang w:val="en-GB"/>
        </w:rPr>
        <w:fldChar w:fldCharType="begin"/>
      </w:r>
      <w:r w:rsidRPr="002121A4">
        <w:rPr>
          <w:sz w:val="19"/>
          <w:szCs w:val="19"/>
          <w:lang w:val="en-GB"/>
        </w:rPr>
        <w:instrText xml:space="preserve"> REF _Ref130885376 \r \h  \* MERGEFORMAT </w:instrText>
      </w:r>
      <w:r w:rsidRPr="002121A4">
        <w:rPr>
          <w:sz w:val="19"/>
          <w:szCs w:val="19"/>
          <w:lang w:val="en-GB"/>
        </w:rPr>
      </w:r>
      <w:r w:rsidRPr="002121A4">
        <w:rPr>
          <w:sz w:val="19"/>
          <w:szCs w:val="19"/>
          <w:lang w:val="en-GB"/>
        </w:rPr>
        <w:fldChar w:fldCharType="separate"/>
      </w:r>
      <w:r w:rsidR="00D56145">
        <w:rPr>
          <w:sz w:val="19"/>
          <w:szCs w:val="19"/>
          <w:lang w:val="en-GB"/>
        </w:rPr>
        <w:t>132</w:t>
      </w:r>
      <w:r w:rsidRPr="002121A4">
        <w:rPr>
          <w:sz w:val="19"/>
          <w:szCs w:val="19"/>
          <w:lang w:val="en-GB"/>
        </w:rPr>
        <w:fldChar w:fldCharType="end"/>
      </w:r>
    </w:p>
    <w:p w14:paraId="384F8FC8" w14:textId="5E745005" w:rsidR="006C0EEB" w:rsidRPr="002121A4" w:rsidRDefault="006C0EEB" w:rsidP="008C5A48">
      <w:pPr>
        <w:rPr>
          <w:lang w:val="en-GB"/>
        </w:rPr>
      </w:pPr>
      <w:r w:rsidRPr="002121A4">
        <w:rPr>
          <w:b/>
          <w:sz w:val="19"/>
          <w:szCs w:val="19"/>
          <w:lang w:val="en-GB"/>
        </w:rPr>
        <w:t>Manufacturer  </w:t>
      </w:r>
      <w:r w:rsidRPr="002121A4">
        <w:rPr>
          <w:sz w:val="19"/>
          <w:szCs w:val="19"/>
          <w:lang w:val="en-GB"/>
        </w:rPr>
        <w:t xml:space="preserve">Investment firms creating, developing, </w:t>
      </w:r>
      <w:r w:rsidR="00E96BB4" w:rsidRPr="002121A4">
        <w:rPr>
          <w:sz w:val="19"/>
          <w:szCs w:val="19"/>
          <w:lang w:val="en-GB"/>
        </w:rPr>
        <w:t>issuing</w:t>
      </w:r>
      <w:r w:rsidRPr="002121A4">
        <w:rPr>
          <w:sz w:val="19"/>
          <w:szCs w:val="19"/>
          <w:lang w:val="en-GB"/>
        </w:rPr>
        <w:t xml:space="preserve"> or designing financial instruments, see para. </w:t>
      </w:r>
      <w:r w:rsidRPr="002121A4">
        <w:rPr>
          <w:sz w:val="19"/>
          <w:szCs w:val="19"/>
          <w:lang w:val="en-GB"/>
        </w:rPr>
        <w:fldChar w:fldCharType="begin"/>
      </w:r>
      <w:r w:rsidRPr="002121A4">
        <w:rPr>
          <w:sz w:val="19"/>
          <w:szCs w:val="19"/>
          <w:lang w:val="en-GB"/>
        </w:rPr>
        <w:instrText xml:space="preserve"> REF _Ref125447863 \r \h </w:instrText>
      </w:r>
      <w:r w:rsidRPr="002121A4">
        <w:rPr>
          <w:sz w:val="19"/>
          <w:szCs w:val="19"/>
          <w:lang w:val="en-GB"/>
        </w:rPr>
      </w:r>
      <w:r w:rsidRPr="002121A4">
        <w:rPr>
          <w:sz w:val="19"/>
          <w:szCs w:val="19"/>
          <w:lang w:val="en-GB"/>
        </w:rPr>
        <w:fldChar w:fldCharType="separate"/>
      </w:r>
      <w:r w:rsidR="00D56145">
        <w:rPr>
          <w:sz w:val="19"/>
          <w:szCs w:val="19"/>
          <w:lang w:val="en-GB"/>
        </w:rPr>
        <w:t>58</w:t>
      </w:r>
      <w:r w:rsidRPr="002121A4">
        <w:rPr>
          <w:sz w:val="19"/>
          <w:szCs w:val="19"/>
          <w:lang w:val="en-GB"/>
        </w:rPr>
        <w:fldChar w:fldCharType="end"/>
      </w:r>
    </w:p>
    <w:p w14:paraId="15B1553E" w14:textId="58058228" w:rsidR="00EF5522" w:rsidRPr="002121A4" w:rsidRDefault="00EF5522" w:rsidP="001830E1">
      <w:pPr>
        <w:rPr>
          <w:sz w:val="19"/>
          <w:szCs w:val="19"/>
          <w:lang w:val="en-GB"/>
        </w:rPr>
      </w:pPr>
      <w:r w:rsidRPr="002121A4">
        <w:rPr>
          <w:b/>
          <w:sz w:val="19"/>
          <w:szCs w:val="19"/>
          <w:lang w:val="en-GB"/>
        </w:rPr>
        <w:t>MAR</w:t>
      </w:r>
      <w:r w:rsidR="005F306B" w:rsidRPr="002121A4">
        <w:rPr>
          <w:sz w:val="19"/>
          <w:szCs w:val="19"/>
          <w:lang w:val="en-GB"/>
        </w:rPr>
        <w:t>  </w:t>
      </w:r>
      <w:r w:rsidR="001830E1" w:rsidRPr="002121A4">
        <w:rPr>
          <w:sz w:val="19"/>
          <w:szCs w:val="19"/>
          <w:lang w:val="en-GB"/>
        </w:rPr>
        <w:t>Regulation (EU) No 596/2014 of 16 April 2014 on market abuse (</w:t>
      </w:r>
      <w:r w:rsidR="00A45DE7" w:rsidRPr="002121A4">
        <w:rPr>
          <w:sz w:val="19"/>
          <w:szCs w:val="19"/>
          <w:lang w:val="en-GB"/>
        </w:rPr>
        <w:t>“M</w:t>
      </w:r>
      <w:r w:rsidR="001830E1" w:rsidRPr="002121A4">
        <w:rPr>
          <w:sz w:val="19"/>
          <w:szCs w:val="19"/>
          <w:lang w:val="en-GB"/>
        </w:rPr>
        <w:t xml:space="preserve">arket </w:t>
      </w:r>
      <w:r w:rsidR="00A45DE7" w:rsidRPr="002121A4">
        <w:rPr>
          <w:sz w:val="19"/>
          <w:szCs w:val="19"/>
          <w:lang w:val="en-GB"/>
        </w:rPr>
        <w:t>A</w:t>
      </w:r>
      <w:r w:rsidR="001830E1" w:rsidRPr="002121A4">
        <w:rPr>
          <w:sz w:val="19"/>
          <w:szCs w:val="19"/>
          <w:lang w:val="en-GB"/>
        </w:rPr>
        <w:t xml:space="preserve">buse </w:t>
      </w:r>
      <w:r w:rsidR="00A45DE7" w:rsidRPr="002121A4">
        <w:rPr>
          <w:sz w:val="19"/>
          <w:szCs w:val="19"/>
          <w:lang w:val="en-GB"/>
        </w:rPr>
        <w:t>R</w:t>
      </w:r>
      <w:r w:rsidR="001830E1" w:rsidRPr="002121A4">
        <w:rPr>
          <w:sz w:val="19"/>
          <w:szCs w:val="19"/>
          <w:lang w:val="en-GB"/>
        </w:rPr>
        <w:t>egulation</w:t>
      </w:r>
      <w:r w:rsidR="00A45DE7" w:rsidRPr="002121A4">
        <w:rPr>
          <w:sz w:val="19"/>
          <w:szCs w:val="19"/>
          <w:lang w:val="en-GB"/>
        </w:rPr>
        <w:t>”</w:t>
      </w:r>
      <w:r w:rsidR="001830E1" w:rsidRPr="002121A4">
        <w:rPr>
          <w:sz w:val="19"/>
          <w:szCs w:val="19"/>
          <w:lang w:val="en-GB"/>
        </w:rPr>
        <w:t xml:space="preserve">) </w:t>
      </w:r>
    </w:p>
    <w:p w14:paraId="6098E3C9" w14:textId="62F1E539" w:rsidR="00EF5522" w:rsidRPr="002121A4" w:rsidRDefault="00EF5522" w:rsidP="008C5A48">
      <w:pPr>
        <w:rPr>
          <w:sz w:val="19"/>
          <w:szCs w:val="19"/>
          <w:lang w:val="en-GB"/>
        </w:rPr>
      </w:pPr>
      <w:r w:rsidRPr="002121A4">
        <w:rPr>
          <w:b/>
          <w:sz w:val="19"/>
          <w:szCs w:val="19"/>
          <w:lang w:val="en-GB"/>
        </w:rPr>
        <w:t>Market Abuse Directive</w:t>
      </w:r>
      <w:r w:rsidR="005F306B" w:rsidRPr="002121A4">
        <w:rPr>
          <w:sz w:val="19"/>
          <w:szCs w:val="19"/>
          <w:lang w:val="en-GB"/>
        </w:rPr>
        <w:t>  </w:t>
      </w:r>
      <w:r w:rsidR="005F306B" w:rsidRPr="002121A4">
        <w:rPr>
          <w:rFonts w:cs="Times New Roman"/>
          <w:sz w:val="19"/>
          <w:szCs w:val="19"/>
          <w:lang w:val="en-GB"/>
        </w:rPr>
        <w:t>→ MAD</w:t>
      </w:r>
    </w:p>
    <w:p w14:paraId="77966E71" w14:textId="7240F569" w:rsidR="00EF5522" w:rsidRPr="002121A4" w:rsidRDefault="00EF5522" w:rsidP="008C5A48">
      <w:pPr>
        <w:rPr>
          <w:rFonts w:cs="Times New Roman"/>
          <w:sz w:val="19"/>
          <w:szCs w:val="19"/>
          <w:lang w:val="en-GB"/>
        </w:rPr>
      </w:pPr>
      <w:r w:rsidRPr="002121A4">
        <w:rPr>
          <w:b/>
          <w:sz w:val="19"/>
          <w:szCs w:val="19"/>
          <w:lang w:val="en-GB"/>
        </w:rPr>
        <w:t>Market Abuse Regulation</w:t>
      </w:r>
      <w:r w:rsidR="005F306B" w:rsidRPr="002121A4">
        <w:rPr>
          <w:sz w:val="19"/>
          <w:szCs w:val="19"/>
          <w:lang w:val="en-GB"/>
        </w:rPr>
        <w:t> </w:t>
      </w:r>
      <w:r w:rsidR="005F306B" w:rsidRPr="002121A4">
        <w:rPr>
          <w:rFonts w:cs="Times New Roman"/>
          <w:sz w:val="19"/>
          <w:szCs w:val="19"/>
          <w:lang w:val="en-GB"/>
        </w:rPr>
        <w:t>→ MAR</w:t>
      </w:r>
    </w:p>
    <w:p w14:paraId="41139FAD" w14:textId="57C01385" w:rsidR="00E769D9" w:rsidRPr="002121A4" w:rsidRDefault="00E769D9" w:rsidP="008C5A48">
      <w:pPr>
        <w:rPr>
          <w:rFonts w:cs="Times New Roman"/>
          <w:sz w:val="19"/>
          <w:szCs w:val="19"/>
          <w:lang w:val="en-GB"/>
        </w:rPr>
      </w:pPr>
      <w:r w:rsidRPr="002121A4">
        <w:rPr>
          <w:rFonts w:cs="Times New Roman"/>
          <w:b/>
          <w:sz w:val="19"/>
          <w:szCs w:val="19"/>
          <w:lang w:val="en-GB"/>
        </w:rPr>
        <w:t>Markets in Financial Instruments Directive</w:t>
      </w:r>
      <w:r w:rsidRPr="002121A4">
        <w:rPr>
          <w:rFonts w:cs="Times New Roman"/>
          <w:sz w:val="19"/>
          <w:szCs w:val="19"/>
          <w:lang w:val="en-GB"/>
        </w:rPr>
        <w:t>  → MiFID II</w:t>
      </w:r>
    </w:p>
    <w:p w14:paraId="7EB9C987" w14:textId="2F629ED9" w:rsidR="007C3039" w:rsidRPr="002121A4" w:rsidRDefault="007C3039" w:rsidP="008C5A48">
      <w:pPr>
        <w:rPr>
          <w:rFonts w:cs="Times New Roman"/>
          <w:sz w:val="19"/>
          <w:szCs w:val="19"/>
          <w:lang w:val="en-GB"/>
        </w:rPr>
      </w:pPr>
      <w:r w:rsidRPr="002121A4">
        <w:rPr>
          <w:rFonts w:cs="Times New Roman"/>
          <w:b/>
          <w:sz w:val="19"/>
          <w:szCs w:val="19"/>
          <w:lang w:val="en-GB"/>
        </w:rPr>
        <w:t>Marking the close</w:t>
      </w:r>
      <w:r w:rsidRPr="002121A4">
        <w:rPr>
          <w:rFonts w:cs="Times New Roman"/>
          <w:sz w:val="19"/>
          <w:szCs w:val="19"/>
          <w:lang w:val="en-GB"/>
        </w:rPr>
        <w:t>  A specific type of market manipulation through manipulation of closing prices, see para. </w:t>
      </w:r>
      <w:r w:rsidRPr="002121A4">
        <w:rPr>
          <w:rFonts w:cs="Times New Roman"/>
          <w:sz w:val="19"/>
          <w:szCs w:val="19"/>
          <w:lang w:val="en-GB"/>
        </w:rPr>
        <w:fldChar w:fldCharType="begin"/>
      </w:r>
      <w:r w:rsidRPr="002121A4">
        <w:rPr>
          <w:rFonts w:cs="Times New Roman"/>
          <w:sz w:val="19"/>
          <w:szCs w:val="19"/>
          <w:lang w:val="en-GB"/>
        </w:rPr>
        <w:instrText xml:space="preserve"> REF _Ref129768894 \r \h </w:instrText>
      </w:r>
      <w:r w:rsidRPr="002121A4">
        <w:rPr>
          <w:rFonts w:cs="Times New Roman"/>
          <w:sz w:val="19"/>
          <w:szCs w:val="19"/>
          <w:lang w:val="en-GB"/>
        </w:rPr>
      </w:r>
      <w:r w:rsidRPr="002121A4">
        <w:rPr>
          <w:rFonts w:cs="Times New Roman"/>
          <w:sz w:val="19"/>
          <w:szCs w:val="19"/>
          <w:lang w:val="en-GB"/>
        </w:rPr>
        <w:fldChar w:fldCharType="separate"/>
      </w:r>
      <w:r w:rsidR="00D56145">
        <w:rPr>
          <w:rFonts w:cs="Times New Roman"/>
          <w:sz w:val="19"/>
          <w:szCs w:val="19"/>
          <w:lang w:val="en-GB"/>
        </w:rPr>
        <w:t>119</w:t>
      </w:r>
      <w:r w:rsidRPr="002121A4">
        <w:rPr>
          <w:rFonts w:cs="Times New Roman"/>
          <w:sz w:val="19"/>
          <w:szCs w:val="19"/>
          <w:lang w:val="en-GB"/>
        </w:rPr>
        <w:fldChar w:fldCharType="end"/>
      </w:r>
    </w:p>
    <w:p w14:paraId="315925FB" w14:textId="7483FA2F" w:rsidR="00FE1BEA" w:rsidRPr="002121A4" w:rsidRDefault="00FE1BEA" w:rsidP="00630D30">
      <w:pPr>
        <w:rPr>
          <w:b/>
          <w:lang w:val="en-GB"/>
        </w:rPr>
      </w:pPr>
      <w:r w:rsidRPr="002121A4">
        <w:rPr>
          <w:rFonts w:cs="Times New Roman"/>
          <w:b/>
          <w:sz w:val="19"/>
          <w:szCs w:val="19"/>
          <w:lang w:val="en-GB"/>
        </w:rPr>
        <w:t>MiFID I</w:t>
      </w:r>
      <w:r w:rsidRPr="002121A4">
        <w:rPr>
          <w:b/>
          <w:lang w:val="en-GB"/>
        </w:rPr>
        <w:t>  </w:t>
      </w:r>
      <w:r w:rsidRPr="002121A4">
        <w:rPr>
          <w:rFonts w:cs="Times New Roman"/>
          <w:sz w:val="19"/>
          <w:szCs w:val="19"/>
          <w:lang w:val="en-GB"/>
        </w:rPr>
        <w:t>Directive 2004/39/EC of the European Parliament and of the Council of 21 April 2004 on markets in financial instruments</w:t>
      </w:r>
      <w:r w:rsidR="00F105E6" w:rsidRPr="002121A4">
        <w:rPr>
          <w:rFonts w:cs="Times New Roman"/>
          <w:sz w:val="19"/>
          <w:szCs w:val="19"/>
          <w:lang w:val="en-GB"/>
        </w:rPr>
        <w:t>, precedes → MiFID II</w:t>
      </w:r>
    </w:p>
    <w:p w14:paraId="38D964C8" w14:textId="21FE3C39" w:rsidR="00D264DD" w:rsidRPr="002121A4" w:rsidRDefault="00D264DD" w:rsidP="00630D30">
      <w:pPr>
        <w:rPr>
          <w:b/>
          <w:sz w:val="19"/>
          <w:szCs w:val="19"/>
          <w:lang w:val="en-GB"/>
        </w:rPr>
      </w:pPr>
      <w:r w:rsidRPr="002121A4">
        <w:rPr>
          <w:b/>
          <w:sz w:val="19"/>
          <w:szCs w:val="19"/>
          <w:lang w:val="en-GB"/>
        </w:rPr>
        <w:t>MiFID II</w:t>
      </w:r>
      <w:r w:rsidR="00302AC6" w:rsidRPr="002121A4">
        <w:rPr>
          <w:b/>
          <w:sz w:val="19"/>
          <w:szCs w:val="19"/>
          <w:lang w:val="en-GB"/>
        </w:rPr>
        <w:t>  </w:t>
      </w:r>
      <w:r w:rsidR="00630D30" w:rsidRPr="002121A4">
        <w:rPr>
          <w:sz w:val="19"/>
          <w:szCs w:val="19"/>
          <w:lang w:val="en-GB"/>
        </w:rPr>
        <w:t>Directive 2014/65/EU of 15 May 2014 on markets in financial instruments</w:t>
      </w:r>
    </w:p>
    <w:p w14:paraId="53DB3D86" w14:textId="77777777" w:rsidR="00FE1BEA" w:rsidRPr="002121A4" w:rsidRDefault="00FE1BEA" w:rsidP="00FE1BEA">
      <w:pPr>
        <w:rPr>
          <w:b/>
          <w:sz w:val="19"/>
          <w:szCs w:val="19"/>
          <w:lang w:val="en-GB"/>
        </w:rPr>
      </w:pPr>
      <w:proofErr w:type="spellStart"/>
      <w:r w:rsidRPr="002121A4">
        <w:rPr>
          <w:b/>
          <w:sz w:val="19"/>
          <w:szCs w:val="19"/>
          <w:lang w:val="en-GB"/>
        </w:rPr>
        <w:lastRenderedPageBreak/>
        <w:t>MiFIR</w:t>
      </w:r>
      <w:proofErr w:type="spellEnd"/>
      <w:r w:rsidRPr="002121A4">
        <w:rPr>
          <w:b/>
          <w:sz w:val="19"/>
          <w:szCs w:val="19"/>
          <w:lang w:val="en-GB"/>
        </w:rPr>
        <w:t>  </w:t>
      </w:r>
      <w:r w:rsidRPr="002121A4">
        <w:rPr>
          <w:sz w:val="19"/>
          <w:szCs w:val="19"/>
          <w:lang w:val="en-GB"/>
        </w:rPr>
        <w:t>Regulation (EU) No 600/2014 of 15 May 2014 on markets in financial instruments: a framework establishing uniform requirements for the transparency of transactions in markets for financial instruments</w:t>
      </w:r>
    </w:p>
    <w:p w14:paraId="57498E0D" w14:textId="3BE71B45" w:rsidR="009D02A1" w:rsidRPr="002121A4" w:rsidRDefault="009D02A1" w:rsidP="008C5A48">
      <w:pPr>
        <w:rPr>
          <w:sz w:val="19"/>
          <w:szCs w:val="19"/>
          <w:lang w:val="en-GB"/>
        </w:rPr>
      </w:pPr>
      <w:r w:rsidRPr="002121A4">
        <w:rPr>
          <w:b/>
          <w:sz w:val="19"/>
          <w:szCs w:val="19"/>
          <w:lang w:val="en-GB"/>
        </w:rPr>
        <w:t>MTF</w:t>
      </w:r>
      <w:r w:rsidR="000F05D7" w:rsidRPr="002121A4">
        <w:rPr>
          <w:sz w:val="19"/>
          <w:szCs w:val="19"/>
          <w:lang w:val="en-GB"/>
        </w:rPr>
        <w:t>  Multilateral Trading Facility, a MiFID II trading venue</w:t>
      </w:r>
    </w:p>
    <w:p w14:paraId="2C0DF7BD" w14:textId="180F15AC" w:rsidR="0061217D" w:rsidRPr="002121A4" w:rsidRDefault="0061217D" w:rsidP="008C5A48">
      <w:pPr>
        <w:rPr>
          <w:sz w:val="19"/>
          <w:szCs w:val="19"/>
          <w:lang w:val="en-GB"/>
        </w:rPr>
      </w:pPr>
      <w:r w:rsidRPr="002121A4">
        <w:rPr>
          <w:b/>
          <w:sz w:val="19"/>
          <w:szCs w:val="19"/>
          <w:lang w:val="en-GB"/>
        </w:rPr>
        <w:t>Naming and shaming</w:t>
      </w:r>
      <w:r w:rsidRPr="002121A4">
        <w:rPr>
          <w:sz w:val="19"/>
          <w:szCs w:val="19"/>
          <w:lang w:val="en-GB"/>
        </w:rPr>
        <w:t xml:space="preserve">  Colloquial term describing a requirement under EU capital markets law for NCAs to make public sanctions including identity of the responsible person for </w:t>
      </w:r>
      <w:r w:rsidR="00B63775" w:rsidRPr="002121A4">
        <w:rPr>
          <w:sz w:val="19"/>
          <w:szCs w:val="19"/>
          <w:lang w:val="en-GB"/>
        </w:rPr>
        <w:t>the</w:t>
      </w:r>
      <w:r w:rsidRPr="002121A4">
        <w:rPr>
          <w:sz w:val="19"/>
          <w:szCs w:val="19"/>
          <w:lang w:val="en-GB"/>
        </w:rPr>
        <w:t xml:space="preserve"> </w:t>
      </w:r>
      <w:r w:rsidR="00B63775" w:rsidRPr="002121A4">
        <w:rPr>
          <w:sz w:val="19"/>
          <w:szCs w:val="19"/>
          <w:lang w:val="en-GB"/>
        </w:rPr>
        <w:t>behaviour in question</w:t>
      </w:r>
      <w:r w:rsidR="00363E6F" w:rsidRPr="002121A4">
        <w:rPr>
          <w:sz w:val="19"/>
          <w:szCs w:val="19"/>
          <w:lang w:val="en-GB"/>
        </w:rPr>
        <w:t>, see, e.g., para. </w:t>
      </w:r>
      <w:r w:rsidR="00363E6F" w:rsidRPr="002121A4">
        <w:rPr>
          <w:sz w:val="19"/>
          <w:szCs w:val="19"/>
          <w:lang w:val="en-GB"/>
        </w:rPr>
        <w:fldChar w:fldCharType="begin"/>
      </w:r>
      <w:r w:rsidR="00363E6F" w:rsidRPr="002121A4">
        <w:rPr>
          <w:sz w:val="19"/>
          <w:szCs w:val="19"/>
          <w:lang w:val="en-GB"/>
        </w:rPr>
        <w:instrText xml:space="preserve"> REF _Ref131685420 \r \h </w:instrText>
      </w:r>
      <w:r w:rsidR="00363E6F" w:rsidRPr="002121A4">
        <w:rPr>
          <w:sz w:val="19"/>
          <w:szCs w:val="19"/>
          <w:lang w:val="en-GB"/>
        </w:rPr>
      </w:r>
      <w:r w:rsidR="00363E6F" w:rsidRPr="002121A4">
        <w:rPr>
          <w:sz w:val="19"/>
          <w:szCs w:val="19"/>
          <w:lang w:val="en-GB"/>
        </w:rPr>
        <w:fldChar w:fldCharType="separate"/>
      </w:r>
      <w:r w:rsidR="00D56145">
        <w:rPr>
          <w:sz w:val="19"/>
          <w:szCs w:val="19"/>
          <w:lang w:val="en-GB"/>
        </w:rPr>
        <w:t>91</w:t>
      </w:r>
      <w:r w:rsidR="00363E6F" w:rsidRPr="002121A4">
        <w:rPr>
          <w:sz w:val="19"/>
          <w:szCs w:val="19"/>
          <w:lang w:val="en-GB"/>
        </w:rPr>
        <w:fldChar w:fldCharType="end"/>
      </w:r>
    </w:p>
    <w:p w14:paraId="43A88B5B" w14:textId="5B0C2D2A" w:rsidR="000C3892" w:rsidRPr="002121A4" w:rsidRDefault="000C3892" w:rsidP="008C5A48">
      <w:pPr>
        <w:rPr>
          <w:sz w:val="19"/>
          <w:szCs w:val="19"/>
          <w:lang w:val="en-GB"/>
        </w:rPr>
      </w:pPr>
      <w:r w:rsidRPr="002121A4">
        <w:rPr>
          <w:b/>
          <w:sz w:val="19"/>
          <w:szCs w:val="19"/>
          <w:lang w:val="en-GB"/>
        </w:rPr>
        <w:t>NCA</w:t>
      </w:r>
      <w:r w:rsidR="00FE5E6F" w:rsidRPr="002121A4">
        <w:rPr>
          <w:sz w:val="19"/>
          <w:szCs w:val="19"/>
          <w:lang w:val="en-GB"/>
        </w:rPr>
        <w:t>  </w:t>
      </w:r>
      <w:r w:rsidRPr="002121A4">
        <w:rPr>
          <w:sz w:val="19"/>
          <w:szCs w:val="19"/>
          <w:lang w:val="en-GB"/>
        </w:rPr>
        <w:t>National Competent Authority, a term referring to national authority designated as the competent authority to supervise and implement a specific piece of EU legislation</w:t>
      </w:r>
    </w:p>
    <w:p w14:paraId="7D2D7973" w14:textId="1DB061E2" w:rsidR="00BC43EF" w:rsidRPr="002121A4" w:rsidRDefault="00BC43EF" w:rsidP="008C5A48">
      <w:pPr>
        <w:rPr>
          <w:lang w:val="en-GB"/>
        </w:rPr>
      </w:pPr>
      <w:r w:rsidRPr="002121A4">
        <w:rPr>
          <w:b/>
          <w:sz w:val="19"/>
          <w:szCs w:val="19"/>
          <w:lang w:val="en-GB"/>
        </w:rPr>
        <w:t>NF</w:t>
      </w:r>
      <w:r w:rsidR="00862102">
        <w:rPr>
          <w:b/>
          <w:sz w:val="19"/>
          <w:szCs w:val="19"/>
          <w:lang w:val="en-GB"/>
        </w:rPr>
        <w:t>RD</w:t>
      </w:r>
      <w:r w:rsidRPr="002121A4">
        <w:rPr>
          <w:sz w:val="19"/>
          <w:szCs w:val="19"/>
          <w:lang w:val="en-GB"/>
        </w:rPr>
        <w:t>  Directive 2014/95/EU of 22 October 2014 amending Directive 2013/34/EU as regards disclosure of non-financial and diversity information by certain large undertakings and groups</w:t>
      </w:r>
    </w:p>
    <w:p w14:paraId="2A2070B7" w14:textId="1C420098" w:rsidR="004B18A2" w:rsidRPr="002121A4" w:rsidRDefault="004B18A2" w:rsidP="008C5A48">
      <w:pPr>
        <w:rPr>
          <w:rFonts w:cs="Times New Roman"/>
          <w:sz w:val="19"/>
          <w:szCs w:val="19"/>
          <w:lang w:val="en-GB"/>
        </w:rPr>
      </w:pPr>
      <w:r w:rsidRPr="002121A4">
        <w:rPr>
          <w:b/>
          <w:sz w:val="19"/>
          <w:szCs w:val="19"/>
          <w:lang w:val="en-GB"/>
        </w:rPr>
        <w:t>Non-Financial Reporting Directive</w:t>
      </w:r>
      <w:r w:rsidRPr="002121A4">
        <w:rPr>
          <w:sz w:val="19"/>
          <w:szCs w:val="19"/>
          <w:lang w:val="en-GB"/>
        </w:rPr>
        <w:t>  </w:t>
      </w:r>
      <w:r w:rsidRPr="002121A4">
        <w:rPr>
          <w:rFonts w:cs="Times New Roman"/>
          <w:sz w:val="19"/>
          <w:szCs w:val="19"/>
          <w:lang w:val="en-GB"/>
        </w:rPr>
        <w:t>→ NF</w:t>
      </w:r>
      <w:r w:rsidR="0023514E">
        <w:rPr>
          <w:rFonts w:cs="Times New Roman"/>
          <w:sz w:val="19"/>
          <w:szCs w:val="19"/>
          <w:lang w:val="en-GB"/>
        </w:rPr>
        <w:t>RD</w:t>
      </w:r>
    </w:p>
    <w:p w14:paraId="3E3AE599" w14:textId="70AC7D69" w:rsidR="00AE0903" w:rsidRPr="002121A4" w:rsidRDefault="00AE0903" w:rsidP="008C5A48">
      <w:pPr>
        <w:rPr>
          <w:rFonts w:cs="Times New Roman"/>
          <w:sz w:val="19"/>
          <w:szCs w:val="19"/>
          <w:lang w:val="en-GB"/>
        </w:rPr>
      </w:pPr>
      <w:r w:rsidRPr="002121A4">
        <w:rPr>
          <w:rFonts w:cs="Times New Roman"/>
          <w:b/>
          <w:sz w:val="19"/>
          <w:szCs w:val="19"/>
          <w:lang w:val="en-GB"/>
        </w:rPr>
        <w:t>Notes</w:t>
      </w:r>
      <w:r w:rsidRPr="002121A4">
        <w:rPr>
          <w:rFonts w:cs="Times New Roman"/>
          <w:sz w:val="19"/>
          <w:szCs w:val="19"/>
          <w:lang w:val="en-GB"/>
        </w:rPr>
        <w:t>  → Bonds</w:t>
      </w:r>
    </w:p>
    <w:p w14:paraId="3BB6736F" w14:textId="0B83F0E4" w:rsidR="007E6A56" w:rsidRPr="002121A4" w:rsidRDefault="007E6A56" w:rsidP="008C5A48">
      <w:pPr>
        <w:rPr>
          <w:rFonts w:cs="Times New Roman"/>
          <w:sz w:val="19"/>
          <w:szCs w:val="19"/>
          <w:lang w:val="en-GB"/>
        </w:rPr>
      </w:pPr>
      <w:r w:rsidRPr="002121A4">
        <w:rPr>
          <w:rFonts w:cs="Times New Roman"/>
          <w:b/>
          <w:sz w:val="19"/>
          <w:szCs w:val="19"/>
          <w:lang w:val="en-GB"/>
        </w:rPr>
        <w:t>Open Market</w:t>
      </w:r>
      <w:r w:rsidRPr="002121A4">
        <w:rPr>
          <w:rFonts w:cs="Times New Roman"/>
          <w:sz w:val="19"/>
          <w:szCs w:val="19"/>
          <w:lang w:val="en-GB"/>
        </w:rPr>
        <w:t xml:space="preserve">  An </w:t>
      </w:r>
      <w:r w:rsidR="00B63775" w:rsidRPr="002121A4">
        <w:rPr>
          <w:rFonts w:cs="Times New Roman"/>
          <w:sz w:val="19"/>
          <w:szCs w:val="19"/>
          <w:lang w:val="en-GB"/>
        </w:rPr>
        <w:t xml:space="preserve">→ </w:t>
      </w:r>
      <w:r w:rsidRPr="002121A4">
        <w:rPr>
          <w:rFonts w:cs="Times New Roman"/>
          <w:sz w:val="19"/>
          <w:szCs w:val="19"/>
          <w:lang w:val="en-GB"/>
        </w:rPr>
        <w:t>MTF operated by Deutsche Börse AG</w:t>
      </w:r>
    </w:p>
    <w:p w14:paraId="5FBD17F8" w14:textId="4A441D62" w:rsidR="00B63775" w:rsidRPr="002121A4" w:rsidRDefault="00B63775" w:rsidP="008C5A48">
      <w:pPr>
        <w:rPr>
          <w:sz w:val="19"/>
          <w:szCs w:val="19"/>
          <w:lang w:val="en-GB"/>
        </w:rPr>
      </w:pPr>
      <w:proofErr w:type="spellStart"/>
      <w:r w:rsidRPr="002121A4">
        <w:rPr>
          <w:rFonts w:cs="Times New Roman"/>
          <w:b/>
          <w:sz w:val="19"/>
          <w:szCs w:val="19"/>
          <w:lang w:val="en-GB"/>
        </w:rPr>
        <w:t>Organisierter</w:t>
      </w:r>
      <w:proofErr w:type="spellEnd"/>
      <w:r w:rsidRPr="002121A4">
        <w:rPr>
          <w:rFonts w:cs="Times New Roman"/>
          <w:b/>
          <w:sz w:val="19"/>
          <w:szCs w:val="19"/>
          <w:lang w:val="en-GB"/>
        </w:rPr>
        <w:t xml:space="preserve"> Markt</w:t>
      </w:r>
      <w:r w:rsidRPr="002121A4">
        <w:rPr>
          <w:rFonts w:cs="Times New Roman"/>
          <w:sz w:val="19"/>
          <w:szCs w:val="19"/>
          <w:lang w:val="en-GB"/>
        </w:rPr>
        <w:t xml:space="preserve">  § 2(11) </w:t>
      </w:r>
      <w:proofErr w:type="spellStart"/>
      <w:r w:rsidRPr="002121A4">
        <w:rPr>
          <w:rFonts w:cs="Times New Roman"/>
          <w:sz w:val="19"/>
          <w:szCs w:val="19"/>
          <w:lang w:val="en-GB"/>
        </w:rPr>
        <w:t>WpHG</w:t>
      </w:r>
      <w:proofErr w:type="spellEnd"/>
      <w:r w:rsidRPr="002121A4">
        <w:rPr>
          <w:rFonts w:cs="Times New Roman"/>
          <w:sz w:val="19"/>
          <w:szCs w:val="19"/>
          <w:lang w:val="en-GB"/>
        </w:rPr>
        <w:t xml:space="preserve"> terminology for → Regulated Market</w:t>
      </w:r>
    </w:p>
    <w:p w14:paraId="5414F512" w14:textId="6231C1BE" w:rsidR="00AF572E" w:rsidRPr="002121A4" w:rsidRDefault="00AF572E" w:rsidP="008C5A48">
      <w:pPr>
        <w:rPr>
          <w:sz w:val="19"/>
          <w:szCs w:val="19"/>
          <w:lang w:val="en-GB"/>
        </w:rPr>
      </w:pPr>
      <w:r w:rsidRPr="002121A4">
        <w:rPr>
          <w:b/>
          <w:sz w:val="19"/>
          <w:szCs w:val="19"/>
          <w:lang w:val="en-GB"/>
        </w:rPr>
        <w:t>OTC</w:t>
      </w:r>
      <w:r w:rsidRPr="002121A4">
        <w:rPr>
          <w:sz w:val="19"/>
          <w:szCs w:val="19"/>
          <w:lang w:val="en-GB"/>
        </w:rPr>
        <w:t>  Over-the-counter, refers to a transaction outside a MiFID II trading venue</w:t>
      </w:r>
      <w:r w:rsidR="00586B3A" w:rsidRPr="002121A4">
        <w:rPr>
          <w:sz w:val="19"/>
          <w:szCs w:val="19"/>
          <w:lang w:val="en-GB"/>
        </w:rPr>
        <w:t>, cf. para. </w:t>
      </w:r>
      <w:r w:rsidR="00586B3A" w:rsidRPr="002121A4">
        <w:rPr>
          <w:sz w:val="19"/>
          <w:szCs w:val="19"/>
          <w:lang w:val="en-GB"/>
        </w:rPr>
        <w:fldChar w:fldCharType="begin"/>
      </w:r>
      <w:r w:rsidR="00586B3A" w:rsidRPr="002121A4">
        <w:rPr>
          <w:sz w:val="19"/>
          <w:szCs w:val="19"/>
          <w:lang w:val="en-GB"/>
        </w:rPr>
        <w:instrText xml:space="preserve"> REF _Ref125366701 \r \h </w:instrText>
      </w:r>
      <w:r w:rsidR="00586B3A" w:rsidRPr="002121A4">
        <w:rPr>
          <w:sz w:val="19"/>
          <w:szCs w:val="19"/>
          <w:lang w:val="en-GB"/>
        </w:rPr>
      </w:r>
      <w:r w:rsidR="00586B3A" w:rsidRPr="002121A4">
        <w:rPr>
          <w:sz w:val="19"/>
          <w:szCs w:val="19"/>
          <w:lang w:val="en-GB"/>
        </w:rPr>
        <w:fldChar w:fldCharType="separate"/>
      </w:r>
      <w:r w:rsidR="00D56145">
        <w:rPr>
          <w:sz w:val="19"/>
          <w:szCs w:val="19"/>
          <w:lang w:val="en-GB"/>
        </w:rPr>
        <w:t>1.2.2.1</w:t>
      </w:r>
      <w:r w:rsidR="00586B3A" w:rsidRPr="002121A4">
        <w:rPr>
          <w:sz w:val="19"/>
          <w:szCs w:val="19"/>
          <w:lang w:val="en-GB"/>
        </w:rPr>
        <w:fldChar w:fldCharType="end"/>
      </w:r>
    </w:p>
    <w:p w14:paraId="20B56207" w14:textId="6C459751" w:rsidR="009D02A1" w:rsidRPr="002121A4" w:rsidRDefault="009D02A1" w:rsidP="008C5A48">
      <w:pPr>
        <w:rPr>
          <w:sz w:val="19"/>
          <w:szCs w:val="19"/>
          <w:lang w:val="en-GB"/>
        </w:rPr>
      </w:pPr>
      <w:r w:rsidRPr="002121A4">
        <w:rPr>
          <w:b/>
          <w:sz w:val="19"/>
          <w:szCs w:val="19"/>
          <w:lang w:val="en-GB"/>
        </w:rPr>
        <w:t>OTF</w:t>
      </w:r>
      <w:r w:rsidR="006B7483" w:rsidRPr="002121A4">
        <w:rPr>
          <w:sz w:val="19"/>
          <w:szCs w:val="19"/>
          <w:lang w:val="en-GB"/>
        </w:rPr>
        <w:t>  Organ</w:t>
      </w:r>
      <w:r w:rsidR="00706D6F" w:rsidRPr="002121A4">
        <w:rPr>
          <w:sz w:val="19"/>
          <w:szCs w:val="19"/>
          <w:lang w:val="en-GB"/>
        </w:rPr>
        <w:t>ized</w:t>
      </w:r>
      <w:r w:rsidR="006B7483" w:rsidRPr="002121A4">
        <w:rPr>
          <w:sz w:val="19"/>
          <w:szCs w:val="19"/>
          <w:lang w:val="en-GB"/>
        </w:rPr>
        <w:t xml:space="preserve"> Trading Facility, a MiFID II trading venue</w:t>
      </w:r>
    </w:p>
    <w:p w14:paraId="42FB3239" w14:textId="340C2EE6" w:rsidR="00246257" w:rsidRPr="002121A4" w:rsidRDefault="00246257" w:rsidP="008C5A48">
      <w:pPr>
        <w:rPr>
          <w:sz w:val="19"/>
          <w:szCs w:val="19"/>
          <w:lang w:val="en-GB"/>
        </w:rPr>
      </w:pPr>
      <w:r w:rsidRPr="002121A4">
        <w:rPr>
          <w:b/>
          <w:sz w:val="19"/>
          <w:szCs w:val="19"/>
          <w:lang w:val="en-GB"/>
        </w:rPr>
        <w:t>Par</w:t>
      </w:r>
      <w:r w:rsidRPr="002121A4">
        <w:rPr>
          <w:sz w:val="19"/>
          <w:szCs w:val="19"/>
          <w:lang w:val="en-GB"/>
        </w:rPr>
        <w:t xml:space="preserve">  Latin </w:t>
      </w:r>
      <w:r w:rsidR="00C25516">
        <w:rPr>
          <w:sz w:val="19"/>
          <w:szCs w:val="19"/>
          <w:lang w:val="en-GB"/>
        </w:rPr>
        <w:t xml:space="preserve">origin </w:t>
      </w:r>
      <w:r w:rsidRPr="002121A4">
        <w:rPr>
          <w:sz w:val="19"/>
          <w:szCs w:val="19"/>
          <w:lang w:val="en-GB"/>
        </w:rPr>
        <w:t>(literally: equal), refers to the face value of an instrument, e.g., the nominal value of a bond, as opposed to the market value which is often referred to as “below” or “above” par.</w:t>
      </w:r>
    </w:p>
    <w:p w14:paraId="5867C95B" w14:textId="2B41C0B2" w:rsidR="00F3419D" w:rsidRPr="002121A4" w:rsidRDefault="00F3419D" w:rsidP="008C5A48">
      <w:pPr>
        <w:rPr>
          <w:sz w:val="19"/>
          <w:szCs w:val="19"/>
          <w:lang w:val="en-GB"/>
        </w:rPr>
      </w:pPr>
      <w:r w:rsidRPr="002121A4">
        <w:rPr>
          <w:b/>
          <w:i/>
          <w:sz w:val="19"/>
          <w:szCs w:val="19"/>
          <w:lang w:val="en-GB"/>
        </w:rPr>
        <w:t>Pari passu</w:t>
      </w:r>
      <w:r w:rsidRPr="002121A4">
        <w:rPr>
          <w:sz w:val="19"/>
          <w:szCs w:val="19"/>
          <w:lang w:val="en-GB"/>
        </w:rPr>
        <w:t xml:space="preserve">  Latin phrase (literally: </w:t>
      </w:r>
      <w:r w:rsidR="00271163" w:rsidRPr="002121A4">
        <w:rPr>
          <w:sz w:val="19"/>
          <w:szCs w:val="19"/>
          <w:lang w:val="en-GB"/>
        </w:rPr>
        <w:t>on equal footing</w:t>
      </w:r>
      <w:r w:rsidRPr="002121A4">
        <w:rPr>
          <w:sz w:val="19"/>
          <w:szCs w:val="19"/>
          <w:lang w:val="en-GB"/>
        </w:rPr>
        <w:t>) used to describe creditors that have the same rank as regards distribution following liquidation, insolvency, etc.</w:t>
      </w:r>
    </w:p>
    <w:p w14:paraId="148A4263" w14:textId="0D4D3D47" w:rsidR="00467395" w:rsidRPr="002121A4" w:rsidRDefault="00467395" w:rsidP="008C5A48">
      <w:pPr>
        <w:rPr>
          <w:i/>
          <w:sz w:val="19"/>
          <w:szCs w:val="19"/>
          <w:lang w:val="en-GB"/>
        </w:rPr>
      </w:pPr>
      <w:r w:rsidRPr="002121A4">
        <w:rPr>
          <w:b/>
          <w:sz w:val="19"/>
          <w:szCs w:val="19"/>
          <w:lang w:val="en-GB"/>
        </w:rPr>
        <w:t>Passporting  </w:t>
      </w:r>
      <w:r w:rsidR="00D004E1" w:rsidRPr="002121A4">
        <w:rPr>
          <w:sz w:val="19"/>
          <w:szCs w:val="19"/>
          <w:lang w:val="en-GB"/>
        </w:rPr>
        <w:t>A</w:t>
      </w:r>
      <w:r w:rsidRPr="002121A4">
        <w:rPr>
          <w:sz w:val="19"/>
          <w:szCs w:val="19"/>
          <w:lang w:val="en-GB"/>
        </w:rPr>
        <w:t xml:space="preserve"> term describing scenarios where author</w:t>
      </w:r>
      <w:r w:rsidR="00706D6F" w:rsidRPr="002121A4">
        <w:rPr>
          <w:sz w:val="19"/>
          <w:szCs w:val="19"/>
          <w:lang w:val="en-GB"/>
        </w:rPr>
        <w:t>ization</w:t>
      </w:r>
      <w:r w:rsidRPr="002121A4">
        <w:rPr>
          <w:sz w:val="19"/>
          <w:szCs w:val="19"/>
          <w:lang w:val="en-GB"/>
        </w:rPr>
        <w:t xml:space="preserve"> or approval by </w:t>
      </w:r>
      <w:r w:rsidR="00C73DE1" w:rsidRPr="002121A4">
        <w:rPr>
          <w:sz w:val="19"/>
          <w:szCs w:val="19"/>
          <w:lang w:val="en-GB"/>
        </w:rPr>
        <w:t xml:space="preserve">an </w:t>
      </w:r>
      <w:r w:rsidRPr="002121A4">
        <w:rPr>
          <w:rFonts w:cs="Times New Roman"/>
          <w:sz w:val="19"/>
          <w:szCs w:val="19"/>
          <w:lang w:val="en-GB"/>
        </w:rPr>
        <w:t>→</w:t>
      </w:r>
      <w:r w:rsidRPr="002121A4">
        <w:rPr>
          <w:sz w:val="19"/>
          <w:szCs w:val="19"/>
          <w:lang w:val="en-GB"/>
        </w:rPr>
        <w:t xml:space="preserve"> NCA </w:t>
      </w:r>
      <w:r w:rsidR="00C73DE1" w:rsidRPr="002121A4">
        <w:rPr>
          <w:sz w:val="19"/>
          <w:szCs w:val="19"/>
          <w:lang w:val="en-GB"/>
        </w:rPr>
        <w:t xml:space="preserve">in one EU Member State </w:t>
      </w:r>
      <w:r w:rsidRPr="002121A4">
        <w:rPr>
          <w:sz w:val="19"/>
          <w:szCs w:val="19"/>
          <w:lang w:val="en-GB"/>
        </w:rPr>
        <w:t>covers the entire EU</w:t>
      </w:r>
    </w:p>
    <w:p w14:paraId="00EFC721" w14:textId="2D2DFB8C" w:rsidR="007E6F3B" w:rsidRPr="002121A4" w:rsidRDefault="004C7284" w:rsidP="008C5A48">
      <w:pPr>
        <w:rPr>
          <w:sz w:val="19"/>
          <w:szCs w:val="19"/>
          <w:lang w:val="en-GB"/>
        </w:rPr>
      </w:pPr>
      <w:r w:rsidRPr="002121A4">
        <w:rPr>
          <w:b/>
          <w:sz w:val="19"/>
          <w:szCs w:val="19"/>
          <w:lang w:val="en-GB"/>
        </w:rPr>
        <w:t>PR</w:t>
      </w:r>
      <w:r w:rsidRPr="002121A4">
        <w:rPr>
          <w:sz w:val="19"/>
          <w:szCs w:val="19"/>
          <w:lang w:val="en-GB"/>
        </w:rPr>
        <w:t>  Regulation (EU) 2017/1129 of 14 June 2017 on the prospectus to be published when securities are offered to the public or admitted to trading on a regulated market</w:t>
      </w:r>
    </w:p>
    <w:p w14:paraId="5817E3C7" w14:textId="768AAC12" w:rsidR="006037F3" w:rsidRPr="002121A4" w:rsidRDefault="006037F3" w:rsidP="008C5A48">
      <w:pPr>
        <w:rPr>
          <w:sz w:val="19"/>
          <w:szCs w:val="19"/>
          <w:lang w:val="en-GB"/>
        </w:rPr>
      </w:pPr>
      <w:r w:rsidRPr="002121A4">
        <w:rPr>
          <w:b/>
          <w:sz w:val="19"/>
          <w:szCs w:val="19"/>
          <w:lang w:val="en-GB"/>
        </w:rPr>
        <w:t>Preferred stock, preference share</w:t>
      </w:r>
      <w:r w:rsidRPr="002121A4">
        <w:rPr>
          <w:sz w:val="19"/>
          <w:szCs w:val="19"/>
          <w:lang w:val="en-GB"/>
        </w:rPr>
        <w:t xml:space="preserve">  A type of share that takes precedence over </w:t>
      </w:r>
      <w:r w:rsidRPr="002121A4">
        <w:rPr>
          <w:rFonts w:cs="Times New Roman"/>
          <w:sz w:val="19"/>
          <w:szCs w:val="19"/>
          <w:lang w:val="en-GB"/>
        </w:rPr>
        <w:t>→ common stock as regards distribution, but that does not carry voting rights</w:t>
      </w:r>
    </w:p>
    <w:p w14:paraId="4B687891" w14:textId="317C7A7C" w:rsidR="0099496E" w:rsidRPr="002121A4" w:rsidRDefault="0099496E" w:rsidP="0099496E">
      <w:pPr>
        <w:rPr>
          <w:sz w:val="19"/>
          <w:szCs w:val="19"/>
          <w:lang w:val="en-GB"/>
        </w:rPr>
      </w:pPr>
      <w:r w:rsidRPr="002121A4">
        <w:rPr>
          <w:b/>
          <w:sz w:val="19"/>
          <w:szCs w:val="19"/>
          <w:lang w:val="en-GB"/>
        </w:rPr>
        <w:t>Primary market</w:t>
      </w:r>
      <w:r w:rsidRPr="002121A4">
        <w:rPr>
          <w:sz w:val="19"/>
          <w:szCs w:val="19"/>
          <w:lang w:val="en-GB"/>
        </w:rPr>
        <w:t xml:space="preserve">  Refers to the market on which securities are sold by issuers (typically using investment firms for distribution) to raise financing. Also see </w:t>
      </w:r>
      <w:r w:rsidRPr="002121A4">
        <w:rPr>
          <w:rFonts w:cs="Times New Roman"/>
          <w:sz w:val="19"/>
          <w:szCs w:val="19"/>
          <w:lang w:val="en-GB"/>
        </w:rPr>
        <w:t>→</w:t>
      </w:r>
      <w:r w:rsidR="00363E6F" w:rsidRPr="002121A4">
        <w:rPr>
          <w:sz w:val="19"/>
          <w:szCs w:val="19"/>
          <w:lang w:val="en-GB"/>
        </w:rPr>
        <w:t> s</w:t>
      </w:r>
      <w:r w:rsidRPr="002121A4">
        <w:rPr>
          <w:sz w:val="19"/>
          <w:szCs w:val="19"/>
          <w:lang w:val="en-GB"/>
        </w:rPr>
        <w:t>econdary market</w:t>
      </w:r>
    </w:p>
    <w:p w14:paraId="0F73C383" w14:textId="3A451704" w:rsidR="00FB4E1F" w:rsidRPr="002121A4" w:rsidRDefault="00FB4E1F" w:rsidP="0099496E">
      <w:pPr>
        <w:rPr>
          <w:b/>
          <w:sz w:val="19"/>
          <w:szCs w:val="19"/>
          <w:lang w:val="en-GB"/>
        </w:rPr>
      </w:pPr>
      <w:r w:rsidRPr="002121A4">
        <w:rPr>
          <w:b/>
          <w:sz w:val="19"/>
          <w:szCs w:val="19"/>
          <w:lang w:val="en-GB"/>
        </w:rPr>
        <w:t>Principle of equivalence and effectiveness  </w:t>
      </w:r>
      <w:r w:rsidR="00895067" w:rsidRPr="002121A4">
        <w:rPr>
          <w:sz w:val="19"/>
          <w:szCs w:val="19"/>
          <w:lang w:val="en-GB"/>
        </w:rPr>
        <w:t>A principle developed by the ECJ for implementation of EU law which requires that implementing rules must not be less favourable than those concerning similar provisions of national law or arranged in such a way as to make the exercise of rights conferred by the EU legal order practically impossible</w:t>
      </w:r>
    </w:p>
    <w:p w14:paraId="5C051E4E" w14:textId="6EDEC379" w:rsidR="0099496E" w:rsidRPr="002121A4" w:rsidRDefault="0099496E" w:rsidP="008C5A48">
      <w:pPr>
        <w:rPr>
          <w:sz w:val="19"/>
          <w:szCs w:val="19"/>
          <w:lang w:val="en-GB"/>
        </w:rPr>
      </w:pPr>
      <w:r w:rsidRPr="002121A4">
        <w:rPr>
          <w:b/>
          <w:sz w:val="19"/>
          <w:szCs w:val="19"/>
          <w:lang w:val="en-GB"/>
        </w:rPr>
        <w:t>Private placement</w:t>
      </w:r>
      <w:r w:rsidRPr="002121A4">
        <w:rPr>
          <w:sz w:val="19"/>
          <w:szCs w:val="19"/>
          <w:lang w:val="en-GB"/>
        </w:rPr>
        <w:t xml:space="preserve">  Refers to an exemption under the </w:t>
      </w:r>
      <w:r w:rsidRPr="002121A4">
        <w:rPr>
          <w:rFonts w:cs="Times New Roman"/>
          <w:sz w:val="19"/>
          <w:szCs w:val="19"/>
          <w:lang w:val="en-GB"/>
        </w:rPr>
        <w:t>→</w:t>
      </w:r>
      <w:r w:rsidRPr="002121A4">
        <w:rPr>
          <w:sz w:val="19"/>
          <w:szCs w:val="19"/>
          <w:lang w:val="en-GB"/>
        </w:rPr>
        <w:t> PR, see para. </w:t>
      </w:r>
      <w:r w:rsidRPr="002121A4">
        <w:rPr>
          <w:sz w:val="19"/>
          <w:szCs w:val="19"/>
          <w:lang w:val="en-GB"/>
        </w:rPr>
        <w:fldChar w:fldCharType="begin"/>
      </w:r>
      <w:r w:rsidRPr="002121A4">
        <w:rPr>
          <w:sz w:val="19"/>
          <w:szCs w:val="19"/>
          <w:lang w:val="en-GB"/>
        </w:rPr>
        <w:instrText xml:space="preserve"> REF _Ref130830685 \r \h </w:instrText>
      </w:r>
      <w:r w:rsidRPr="002121A4">
        <w:rPr>
          <w:sz w:val="19"/>
          <w:szCs w:val="19"/>
          <w:lang w:val="en-GB"/>
        </w:rPr>
      </w:r>
      <w:r w:rsidRPr="002121A4">
        <w:rPr>
          <w:sz w:val="19"/>
          <w:szCs w:val="19"/>
          <w:lang w:val="en-GB"/>
        </w:rPr>
        <w:fldChar w:fldCharType="separate"/>
      </w:r>
      <w:r w:rsidR="00D56145">
        <w:rPr>
          <w:sz w:val="19"/>
          <w:szCs w:val="19"/>
          <w:lang w:val="en-GB"/>
        </w:rPr>
        <w:t>79</w:t>
      </w:r>
      <w:r w:rsidRPr="002121A4">
        <w:rPr>
          <w:sz w:val="19"/>
          <w:szCs w:val="19"/>
          <w:lang w:val="en-GB"/>
        </w:rPr>
        <w:fldChar w:fldCharType="end"/>
      </w:r>
    </w:p>
    <w:p w14:paraId="3F645ECA" w14:textId="10F3D22F" w:rsidR="008C7E61" w:rsidRPr="002121A4" w:rsidRDefault="007E6F3B" w:rsidP="008C5A48">
      <w:pPr>
        <w:rPr>
          <w:sz w:val="19"/>
          <w:szCs w:val="19"/>
          <w:lang w:val="en-GB"/>
        </w:rPr>
      </w:pPr>
      <w:r w:rsidRPr="002121A4">
        <w:rPr>
          <w:b/>
          <w:sz w:val="19"/>
          <w:szCs w:val="19"/>
          <w:lang w:val="en-GB"/>
        </w:rPr>
        <w:t>Product intervention</w:t>
      </w:r>
      <w:r w:rsidRPr="002121A4">
        <w:rPr>
          <w:sz w:val="19"/>
          <w:szCs w:val="19"/>
          <w:lang w:val="en-GB"/>
        </w:rPr>
        <w:t xml:space="preserve">  Powers for NCAs and ESMA to intervene with regard to certain </w:t>
      </w:r>
      <w:r w:rsidR="00E96BB4" w:rsidRPr="002121A4">
        <w:rPr>
          <w:sz w:val="19"/>
          <w:szCs w:val="19"/>
          <w:lang w:val="en-GB"/>
        </w:rPr>
        <w:t>financial</w:t>
      </w:r>
      <w:r w:rsidRPr="002121A4">
        <w:rPr>
          <w:sz w:val="19"/>
          <w:szCs w:val="19"/>
          <w:lang w:val="en-GB"/>
        </w:rPr>
        <w:t xml:space="preserve"> instruments or financial activities, see para. </w:t>
      </w:r>
      <w:r w:rsidRPr="002121A4">
        <w:rPr>
          <w:sz w:val="19"/>
          <w:szCs w:val="19"/>
          <w:lang w:val="en-GB"/>
        </w:rPr>
        <w:fldChar w:fldCharType="begin"/>
      </w:r>
      <w:r w:rsidRPr="002121A4">
        <w:rPr>
          <w:sz w:val="19"/>
          <w:szCs w:val="19"/>
          <w:lang w:val="en-GB"/>
        </w:rPr>
        <w:instrText xml:space="preserve"> REF _Ref130830109 \r \h </w:instrText>
      </w:r>
      <w:r w:rsidRPr="002121A4">
        <w:rPr>
          <w:sz w:val="19"/>
          <w:szCs w:val="19"/>
          <w:lang w:val="en-GB"/>
        </w:rPr>
      </w:r>
      <w:r w:rsidRPr="002121A4">
        <w:rPr>
          <w:sz w:val="19"/>
          <w:szCs w:val="19"/>
          <w:lang w:val="en-GB"/>
        </w:rPr>
        <w:fldChar w:fldCharType="separate"/>
      </w:r>
      <w:r w:rsidR="00D56145">
        <w:rPr>
          <w:sz w:val="19"/>
          <w:szCs w:val="19"/>
          <w:lang w:val="en-GB"/>
        </w:rPr>
        <w:t>64</w:t>
      </w:r>
      <w:r w:rsidRPr="002121A4">
        <w:rPr>
          <w:sz w:val="19"/>
          <w:szCs w:val="19"/>
          <w:lang w:val="en-GB"/>
        </w:rPr>
        <w:fldChar w:fldCharType="end"/>
      </w:r>
      <w:r w:rsidR="002C3058" w:rsidRPr="002121A4">
        <w:rPr>
          <w:sz w:val="19"/>
          <w:szCs w:val="19"/>
          <w:lang w:val="en-GB"/>
        </w:rPr>
        <w:tab/>
      </w:r>
    </w:p>
    <w:p w14:paraId="52D1BAD1" w14:textId="600A0EBC" w:rsidR="00D004E1" w:rsidRPr="002121A4" w:rsidRDefault="00D004E1" w:rsidP="008C5A48">
      <w:pPr>
        <w:rPr>
          <w:sz w:val="19"/>
          <w:szCs w:val="19"/>
          <w:lang w:val="en-GB"/>
        </w:rPr>
      </w:pPr>
      <w:r w:rsidRPr="002121A4">
        <w:rPr>
          <w:b/>
          <w:sz w:val="19"/>
          <w:szCs w:val="19"/>
          <w:lang w:val="en-GB"/>
        </w:rPr>
        <w:t>Professional Client</w:t>
      </w:r>
      <w:r w:rsidRPr="002121A4">
        <w:rPr>
          <w:sz w:val="19"/>
          <w:szCs w:val="19"/>
          <w:lang w:val="en-GB"/>
        </w:rPr>
        <w:t xml:space="preserve">  A category of clients under </w:t>
      </w:r>
      <w:r w:rsidRPr="002121A4">
        <w:rPr>
          <w:rFonts w:cs="Times New Roman"/>
          <w:sz w:val="19"/>
          <w:szCs w:val="19"/>
          <w:lang w:val="en-GB"/>
        </w:rPr>
        <w:t>→</w:t>
      </w:r>
      <w:r w:rsidR="00623AC2" w:rsidRPr="002121A4">
        <w:rPr>
          <w:sz w:val="19"/>
          <w:szCs w:val="19"/>
          <w:lang w:val="en-GB"/>
        </w:rPr>
        <w:t> </w:t>
      </w:r>
      <w:r w:rsidRPr="002121A4">
        <w:rPr>
          <w:sz w:val="19"/>
          <w:szCs w:val="19"/>
          <w:lang w:val="en-GB"/>
        </w:rPr>
        <w:t>MiFID II</w:t>
      </w:r>
      <w:r w:rsidR="006A3998" w:rsidRPr="002121A4">
        <w:rPr>
          <w:sz w:val="19"/>
          <w:szCs w:val="19"/>
          <w:lang w:val="en-GB"/>
        </w:rPr>
        <w:t>, see para. </w:t>
      </w:r>
      <w:r w:rsidR="006A3998" w:rsidRPr="002121A4">
        <w:rPr>
          <w:sz w:val="19"/>
          <w:szCs w:val="19"/>
          <w:lang w:val="en-GB"/>
        </w:rPr>
        <w:fldChar w:fldCharType="begin"/>
      </w:r>
      <w:r w:rsidR="006A3998" w:rsidRPr="002121A4">
        <w:rPr>
          <w:sz w:val="19"/>
          <w:szCs w:val="19"/>
          <w:lang w:val="en-GB"/>
        </w:rPr>
        <w:instrText xml:space="preserve"> REF _Ref130829903 \r \h </w:instrText>
      </w:r>
      <w:r w:rsidR="006A3998" w:rsidRPr="002121A4">
        <w:rPr>
          <w:sz w:val="19"/>
          <w:szCs w:val="19"/>
          <w:lang w:val="en-GB"/>
        </w:rPr>
      </w:r>
      <w:r w:rsidR="006A3998" w:rsidRPr="002121A4">
        <w:rPr>
          <w:sz w:val="19"/>
          <w:szCs w:val="19"/>
          <w:lang w:val="en-GB"/>
        </w:rPr>
        <w:fldChar w:fldCharType="separate"/>
      </w:r>
      <w:r w:rsidR="00D56145">
        <w:rPr>
          <w:sz w:val="19"/>
          <w:szCs w:val="19"/>
          <w:lang w:val="en-GB"/>
        </w:rPr>
        <w:t>63</w:t>
      </w:r>
      <w:r w:rsidR="006A3998" w:rsidRPr="002121A4">
        <w:rPr>
          <w:sz w:val="19"/>
          <w:szCs w:val="19"/>
          <w:lang w:val="en-GB"/>
        </w:rPr>
        <w:fldChar w:fldCharType="end"/>
      </w:r>
    </w:p>
    <w:p w14:paraId="2EA12116" w14:textId="2CC651E0" w:rsidR="004C7284" w:rsidRPr="002121A4" w:rsidRDefault="004C7284" w:rsidP="008C5A48">
      <w:pPr>
        <w:rPr>
          <w:sz w:val="19"/>
          <w:szCs w:val="19"/>
          <w:lang w:val="en-GB"/>
        </w:rPr>
      </w:pPr>
      <w:r w:rsidRPr="002121A4">
        <w:rPr>
          <w:b/>
          <w:sz w:val="19"/>
          <w:szCs w:val="19"/>
          <w:lang w:val="en-GB"/>
        </w:rPr>
        <w:t>Prospectus Regulation</w:t>
      </w:r>
      <w:r w:rsidR="001E43EB" w:rsidRPr="002121A4">
        <w:rPr>
          <w:sz w:val="19"/>
          <w:szCs w:val="19"/>
          <w:lang w:val="en-GB"/>
        </w:rPr>
        <w:t>  </w:t>
      </w:r>
      <w:r w:rsidRPr="002121A4">
        <w:rPr>
          <w:rFonts w:cs="Times New Roman"/>
          <w:sz w:val="19"/>
          <w:szCs w:val="19"/>
          <w:lang w:val="en-GB"/>
        </w:rPr>
        <w:t>→</w:t>
      </w:r>
      <w:r w:rsidRPr="002121A4">
        <w:rPr>
          <w:sz w:val="19"/>
          <w:szCs w:val="19"/>
          <w:lang w:val="en-GB"/>
        </w:rPr>
        <w:t xml:space="preserve"> PR</w:t>
      </w:r>
    </w:p>
    <w:p w14:paraId="3D3271E9" w14:textId="5B37016A" w:rsidR="00004D72" w:rsidRPr="002121A4" w:rsidRDefault="00004D72" w:rsidP="008C5A48">
      <w:pPr>
        <w:rPr>
          <w:sz w:val="19"/>
          <w:szCs w:val="19"/>
          <w:lang w:val="en-GB"/>
        </w:rPr>
      </w:pPr>
      <w:r w:rsidRPr="002121A4">
        <w:rPr>
          <w:b/>
          <w:sz w:val="19"/>
          <w:szCs w:val="19"/>
          <w:lang w:val="en-GB"/>
        </w:rPr>
        <w:t>Prospectus Supplement</w:t>
      </w:r>
      <w:r w:rsidR="00591F35" w:rsidRPr="002121A4">
        <w:rPr>
          <w:b/>
          <w:sz w:val="19"/>
          <w:szCs w:val="19"/>
          <w:lang w:val="en-GB"/>
        </w:rPr>
        <w:t>  </w:t>
      </w:r>
      <w:r w:rsidR="00591F35" w:rsidRPr="002121A4">
        <w:rPr>
          <w:sz w:val="19"/>
          <w:szCs w:val="19"/>
          <w:lang w:val="en-GB"/>
        </w:rPr>
        <w:t>A</w:t>
      </w:r>
      <w:r w:rsidR="005F062D">
        <w:rPr>
          <w:sz w:val="19"/>
          <w:szCs w:val="19"/>
          <w:lang w:val="en-GB"/>
        </w:rPr>
        <w:t>mendment</w:t>
      </w:r>
      <w:r w:rsidR="00591F35" w:rsidRPr="002121A4">
        <w:rPr>
          <w:sz w:val="19"/>
          <w:szCs w:val="19"/>
          <w:lang w:val="en-GB"/>
        </w:rPr>
        <w:t xml:space="preserve"> of an approved prospectus as regards new factors, material mistakes or inaccuracies, see para. </w:t>
      </w:r>
      <w:r w:rsidR="00591F35" w:rsidRPr="002121A4">
        <w:rPr>
          <w:sz w:val="19"/>
          <w:szCs w:val="19"/>
          <w:lang w:val="en-GB"/>
        </w:rPr>
        <w:fldChar w:fldCharType="begin"/>
      </w:r>
      <w:r w:rsidR="00591F35" w:rsidRPr="002121A4">
        <w:rPr>
          <w:sz w:val="19"/>
          <w:szCs w:val="19"/>
          <w:lang w:val="en-GB"/>
        </w:rPr>
        <w:instrText xml:space="preserve"> REF _Ref129710687 \r \h </w:instrText>
      </w:r>
      <w:r w:rsidR="00591F35" w:rsidRPr="002121A4">
        <w:rPr>
          <w:sz w:val="19"/>
          <w:szCs w:val="19"/>
          <w:lang w:val="en-GB"/>
        </w:rPr>
      </w:r>
      <w:r w:rsidR="00591F35" w:rsidRPr="002121A4">
        <w:rPr>
          <w:sz w:val="19"/>
          <w:szCs w:val="19"/>
          <w:lang w:val="en-GB"/>
        </w:rPr>
        <w:fldChar w:fldCharType="separate"/>
      </w:r>
      <w:r w:rsidR="00D56145">
        <w:rPr>
          <w:sz w:val="19"/>
          <w:szCs w:val="19"/>
          <w:lang w:val="en-GB"/>
        </w:rPr>
        <w:t>87</w:t>
      </w:r>
      <w:r w:rsidR="00591F35" w:rsidRPr="002121A4">
        <w:rPr>
          <w:sz w:val="19"/>
          <w:szCs w:val="19"/>
          <w:lang w:val="en-GB"/>
        </w:rPr>
        <w:fldChar w:fldCharType="end"/>
      </w:r>
    </w:p>
    <w:p w14:paraId="130E81D9" w14:textId="316ABC7D" w:rsidR="00F23A84" w:rsidRPr="002121A4" w:rsidRDefault="00F23A84" w:rsidP="008C5A48">
      <w:pPr>
        <w:rPr>
          <w:sz w:val="19"/>
          <w:szCs w:val="19"/>
          <w:lang w:val="en-GB"/>
        </w:rPr>
      </w:pPr>
      <w:r w:rsidRPr="002121A4">
        <w:rPr>
          <w:b/>
          <w:sz w:val="19"/>
          <w:szCs w:val="19"/>
          <w:lang w:val="en-GB"/>
        </w:rPr>
        <w:t>Prudential rules</w:t>
      </w:r>
      <w:r w:rsidRPr="002121A4">
        <w:rPr>
          <w:sz w:val="19"/>
          <w:szCs w:val="19"/>
          <w:lang w:val="en-GB"/>
        </w:rPr>
        <w:t>  </w:t>
      </w:r>
      <w:r w:rsidR="004A1F1B" w:rsidRPr="002121A4">
        <w:rPr>
          <w:sz w:val="19"/>
          <w:szCs w:val="19"/>
          <w:lang w:val="en-GB"/>
        </w:rPr>
        <w:t>L</w:t>
      </w:r>
      <w:r w:rsidRPr="002121A4">
        <w:rPr>
          <w:sz w:val="19"/>
          <w:szCs w:val="19"/>
          <w:lang w:val="en-GB"/>
        </w:rPr>
        <w:t>egal framework designed to financial safety and stability of financial institutions, see para. </w:t>
      </w:r>
      <w:r w:rsidRPr="002121A4">
        <w:rPr>
          <w:sz w:val="19"/>
          <w:szCs w:val="19"/>
          <w:lang w:val="en-GB"/>
        </w:rPr>
        <w:fldChar w:fldCharType="begin"/>
      </w:r>
      <w:r w:rsidRPr="002121A4">
        <w:rPr>
          <w:sz w:val="19"/>
          <w:szCs w:val="19"/>
          <w:lang w:val="en-GB"/>
        </w:rPr>
        <w:instrText xml:space="preserve"> REF _Ref129706531 \r \h </w:instrText>
      </w:r>
      <w:r w:rsidRPr="002121A4">
        <w:rPr>
          <w:sz w:val="19"/>
          <w:szCs w:val="19"/>
          <w:lang w:val="en-GB"/>
        </w:rPr>
      </w:r>
      <w:r w:rsidRPr="002121A4">
        <w:rPr>
          <w:sz w:val="19"/>
          <w:szCs w:val="19"/>
          <w:lang w:val="en-GB"/>
        </w:rPr>
        <w:fldChar w:fldCharType="separate"/>
      </w:r>
      <w:r w:rsidR="00D56145">
        <w:rPr>
          <w:sz w:val="19"/>
          <w:szCs w:val="19"/>
          <w:lang w:val="en-GB"/>
        </w:rPr>
        <w:t>55</w:t>
      </w:r>
      <w:r w:rsidRPr="002121A4">
        <w:rPr>
          <w:sz w:val="19"/>
          <w:szCs w:val="19"/>
          <w:lang w:val="en-GB"/>
        </w:rPr>
        <w:fldChar w:fldCharType="end"/>
      </w:r>
    </w:p>
    <w:p w14:paraId="7705391C" w14:textId="00BD8327" w:rsidR="00623AC2" w:rsidRPr="002121A4" w:rsidRDefault="00623AC2" w:rsidP="008C5A48">
      <w:pPr>
        <w:rPr>
          <w:sz w:val="19"/>
          <w:szCs w:val="19"/>
          <w:lang w:val="en-GB"/>
        </w:rPr>
      </w:pPr>
      <w:r w:rsidRPr="002121A4">
        <w:rPr>
          <w:b/>
          <w:sz w:val="19"/>
          <w:szCs w:val="19"/>
          <w:lang w:val="en-GB"/>
        </w:rPr>
        <w:t>Qualified investor</w:t>
      </w:r>
      <w:r w:rsidRPr="002121A4">
        <w:rPr>
          <w:sz w:val="19"/>
          <w:szCs w:val="19"/>
          <w:lang w:val="en-GB"/>
        </w:rPr>
        <w:t xml:space="preserve">  A category of investors under the </w:t>
      </w:r>
      <w:r w:rsidRPr="002121A4">
        <w:rPr>
          <w:rFonts w:cs="Times New Roman"/>
          <w:sz w:val="19"/>
          <w:szCs w:val="19"/>
          <w:lang w:val="en-GB"/>
        </w:rPr>
        <w:t>→</w:t>
      </w:r>
      <w:r w:rsidRPr="002121A4">
        <w:rPr>
          <w:sz w:val="19"/>
          <w:szCs w:val="19"/>
          <w:lang w:val="en-GB"/>
        </w:rPr>
        <w:t> PR, see para. </w:t>
      </w:r>
      <w:r w:rsidRPr="002121A4">
        <w:rPr>
          <w:sz w:val="19"/>
          <w:szCs w:val="19"/>
          <w:lang w:val="en-GB"/>
        </w:rPr>
        <w:fldChar w:fldCharType="begin"/>
      </w:r>
      <w:r w:rsidRPr="002121A4">
        <w:rPr>
          <w:sz w:val="19"/>
          <w:szCs w:val="19"/>
          <w:lang w:val="en-GB"/>
        </w:rPr>
        <w:instrText xml:space="preserve"> REF _Ref130829903 \r \h </w:instrText>
      </w:r>
      <w:r w:rsidRPr="002121A4">
        <w:rPr>
          <w:sz w:val="19"/>
          <w:szCs w:val="19"/>
          <w:lang w:val="en-GB"/>
        </w:rPr>
      </w:r>
      <w:r w:rsidRPr="002121A4">
        <w:rPr>
          <w:sz w:val="19"/>
          <w:szCs w:val="19"/>
          <w:lang w:val="en-GB"/>
        </w:rPr>
        <w:fldChar w:fldCharType="separate"/>
      </w:r>
      <w:r w:rsidR="00D56145">
        <w:rPr>
          <w:sz w:val="19"/>
          <w:szCs w:val="19"/>
          <w:lang w:val="en-GB"/>
        </w:rPr>
        <w:t>63</w:t>
      </w:r>
      <w:r w:rsidRPr="002121A4">
        <w:rPr>
          <w:sz w:val="19"/>
          <w:szCs w:val="19"/>
          <w:lang w:val="en-GB"/>
        </w:rPr>
        <w:fldChar w:fldCharType="end"/>
      </w:r>
    </w:p>
    <w:p w14:paraId="0E24BB4E" w14:textId="094E2A02" w:rsidR="00135CC1" w:rsidRPr="002121A4" w:rsidRDefault="00135CC1" w:rsidP="008C5A48">
      <w:pPr>
        <w:rPr>
          <w:sz w:val="19"/>
          <w:szCs w:val="19"/>
          <w:lang w:val="en-GB"/>
        </w:rPr>
      </w:pPr>
      <w:r w:rsidRPr="002121A4">
        <w:rPr>
          <w:b/>
          <w:sz w:val="19"/>
          <w:szCs w:val="19"/>
          <w:lang w:val="en-GB"/>
        </w:rPr>
        <w:t>Rating </w:t>
      </w:r>
      <w:r w:rsidRPr="002121A4">
        <w:rPr>
          <w:sz w:val="19"/>
          <w:szCs w:val="19"/>
          <w:lang w:val="en-GB"/>
        </w:rPr>
        <w:t> </w:t>
      </w:r>
      <w:r w:rsidRPr="002121A4">
        <w:rPr>
          <w:rFonts w:cs="Times New Roman"/>
          <w:sz w:val="19"/>
          <w:szCs w:val="19"/>
          <w:lang w:val="en-GB"/>
        </w:rPr>
        <w:t>→</w:t>
      </w:r>
      <w:r w:rsidRPr="002121A4">
        <w:rPr>
          <w:sz w:val="19"/>
          <w:szCs w:val="19"/>
          <w:lang w:val="en-GB"/>
        </w:rPr>
        <w:t xml:space="preserve"> Credit rating</w:t>
      </w:r>
    </w:p>
    <w:p w14:paraId="21623B5D" w14:textId="6C0020F5" w:rsidR="009E3FF7" w:rsidRPr="002121A4" w:rsidRDefault="009E3FF7" w:rsidP="008C5A48">
      <w:pPr>
        <w:rPr>
          <w:rFonts w:cs="Times New Roman"/>
          <w:b/>
          <w:sz w:val="19"/>
          <w:szCs w:val="19"/>
          <w:lang w:val="en-GB"/>
        </w:rPr>
      </w:pPr>
      <w:r w:rsidRPr="002121A4">
        <w:rPr>
          <w:b/>
          <w:sz w:val="19"/>
          <w:szCs w:val="19"/>
          <w:lang w:val="en-GB"/>
        </w:rPr>
        <w:t>Registered bond</w:t>
      </w:r>
      <w:r w:rsidR="00A11C4B" w:rsidRPr="002121A4">
        <w:rPr>
          <w:b/>
          <w:sz w:val="19"/>
          <w:szCs w:val="19"/>
          <w:lang w:val="en-GB"/>
        </w:rPr>
        <w:t>/</w:t>
      </w:r>
      <w:r w:rsidRPr="002121A4">
        <w:rPr>
          <w:b/>
          <w:sz w:val="19"/>
          <w:szCs w:val="19"/>
          <w:lang w:val="en-GB"/>
        </w:rPr>
        <w:t>share</w:t>
      </w:r>
      <w:r w:rsidRPr="002121A4">
        <w:rPr>
          <w:sz w:val="19"/>
          <w:szCs w:val="19"/>
          <w:lang w:val="en-GB"/>
        </w:rPr>
        <w:t xml:space="preserve">  a type of securities involving a register of ownership; registration creates a </w:t>
      </w:r>
      <w:r w:rsidR="00E96BB4" w:rsidRPr="002121A4">
        <w:rPr>
          <w:sz w:val="19"/>
          <w:szCs w:val="19"/>
          <w:lang w:val="en-GB"/>
        </w:rPr>
        <w:t>presumption</w:t>
      </w:r>
      <w:r w:rsidRPr="002121A4">
        <w:rPr>
          <w:sz w:val="19"/>
          <w:szCs w:val="19"/>
          <w:lang w:val="en-GB"/>
        </w:rPr>
        <w:t xml:space="preserve"> of ownership in the security. Also see </w:t>
      </w:r>
      <w:r w:rsidRPr="002121A4">
        <w:rPr>
          <w:rFonts w:cs="Times New Roman"/>
          <w:sz w:val="19"/>
          <w:szCs w:val="19"/>
          <w:lang w:val="en-GB"/>
        </w:rPr>
        <w:t>→</w:t>
      </w:r>
      <w:r w:rsidR="00856C6E" w:rsidRPr="002121A4">
        <w:rPr>
          <w:rFonts w:cs="Times New Roman"/>
          <w:sz w:val="19"/>
          <w:szCs w:val="19"/>
          <w:lang w:val="en-GB"/>
        </w:rPr>
        <w:t> </w:t>
      </w:r>
      <w:r w:rsidRPr="002121A4">
        <w:rPr>
          <w:rFonts w:cs="Times New Roman"/>
          <w:b/>
          <w:sz w:val="19"/>
          <w:szCs w:val="19"/>
          <w:lang w:val="en-GB"/>
        </w:rPr>
        <w:t>bearer bond</w:t>
      </w:r>
      <w:r w:rsidR="00A11C4B" w:rsidRPr="002121A4">
        <w:rPr>
          <w:rFonts w:cs="Times New Roman"/>
          <w:b/>
          <w:sz w:val="19"/>
          <w:szCs w:val="19"/>
          <w:lang w:val="en-GB"/>
        </w:rPr>
        <w:t>/</w:t>
      </w:r>
      <w:r w:rsidRPr="002121A4">
        <w:rPr>
          <w:rFonts w:cs="Times New Roman"/>
          <w:b/>
          <w:sz w:val="19"/>
          <w:szCs w:val="19"/>
          <w:lang w:val="en-GB"/>
        </w:rPr>
        <w:t>share</w:t>
      </w:r>
    </w:p>
    <w:p w14:paraId="28B4997D" w14:textId="6E8DD406" w:rsidR="00220824" w:rsidRPr="002121A4" w:rsidRDefault="00220824" w:rsidP="008C5A48">
      <w:pPr>
        <w:rPr>
          <w:b/>
          <w:sz w:val="19"/>
          <w:szCs w:val="19"/>
          <w:lang w:val="en-GB"/>
        </w:rPr>
      </w:pPr>
      <w:r w:rsidRPr="002121A4">
        <w:rPr>
          <w:rFonts w:cs="Times New Roman"/>
          <w:b/>
          <w:sz w:val="19"/>
          <w:szCs w:val="19"/>
          <w:lang w:val="en-GB"/>
        </w:rPr>
        <w:t>Regulated information  </w:t>
      </w:r>
      <w:r w:rsidRPr="002121A4">
        <w:rPr>
          <w:rFonts w:cs="Times New Roman"/>
          <w:sz w:val="19"/>
          <w:szCs w:val="19"/>
          <w:lang w:val="en-GB"/>
        </w:rPr>
        <w:t>A concept regrouping</w:t>
      </w:r>
      <w:r w:rsidR="00B569A3" w:rsidRPr="002121A4">
        <w:rPr>
          <w:rFonts w:cs="Times New Roman"/>
          <w:sz w:val="19"/>
          <w:szCs w:val="19"/>
          <w:lang w:val="en-GB"/>
        </w:rPr>
        <w:t xml:space="preserve"> information disclosed by issuers under the </w:t>
      </w:r>
      <w:r w:rsidR="00856C6E" w:rsidRPr="002121A4">
        <w:rPr>
          <w:rFonts w:cs="Times New Roman"/>
          <w:sz w:val="19"/>
          <w:szCs w:val="19"/>
          <w:lang w:val="en-GB"/>
        </w:rPr>
        <w:t xml:space="preserve">→ </w:t>
      </w:r>
      <w:r w:rsidR="00B569A3" w:rsidRPr="002121A4">
        <w:rPr>
          <w:rFonts w:cs="Times New Roman"/>
          <w:sz w:val="19"/>
          <w:szCs w:val="19"/>
          <w:lang w:val="en-GB"/>
        </w:rPr>
        <w:t xml:space="preserve">MAR and the </w:t>
      </w:r>
      <w:r w:rsidR="00856C6E" w:rsidRPr="002121A4">
        <w:rPr>
          <w:rFonts w:cs="Times New Roman"/>
          <w:sz w:val="19"/>
          <w:szCs w:val="19"/>
          <w:lang w:val="en-GB"/>
        </w:rPr>
        <w:t xml:space="preserve">→ </w:t>
      </w:r>
      <w:r w:rsidR="00B569A3" w:rsidRPr="002121A4">
        <w:rPr>
          <w:rFonts w:cs="Times New Roman"/>
          <w:sz w:val="19"/>
          <w:szCs w:val="19"/>
          <w:lang w:val="en-GB"/>
        </w:rPr>
        <w:t>TD, and subject to disclosure rules under chapter IV TD, see para. </w:t>
      </w:r>
      <w:r w:rsidR="00B569A3" w:rsidRPr="002121A4">
        <w:rPr>
          <w:rFonts w:cs="Times New Roman"/>
          <w:sz w:val="19"/>
          <w:szCs w:val="19"/>
          <w:lang w:val="en-GB"/>
        </w:rPr>
        <w:fldChar w:fldCharType="begin"/>
      </w:r>
      <w:r w:rsidR="00B569A3" w:rsidRPr="002121A4">
        <w:rPr>
          <w:rFonts w:cs="Times New Roman"/>
          <w:sz w:val="19"/>
          <w:szCs w:val="19"/>
          <w:lang w:val="en-GB"/>
        </w:rPr>
        <w:instrText xml:space="preserve"> REF _Ref129774184 \r \h </w:instrText>
      </w:r>
      <w:r w:rsidR="00B569A3" w:rsidRPr="002121A4">
        <w:rPr>
          <w:rFonts w:cs="Times New Roman"/>
          <w:sz w:val="19"/>
          <w:szCs w:val="19"/>
          <w:lang w:val="en-GB"/>
        </w:rPr>
      </w:r>
      <w:r w:rsidR="00B569A3" w:rsidRPr="002121A4">
        <w:rPr>
          <w:rFonts w:cs="Times New Roman"/>
          <w:sz w:val="19"/>
          <w:szCs w:val="19"/>
          <w:lang w:val="en-GB"/>
        </w:rPr>
        <w:fldChar w:fldCharType="separate"/>
      </w:r>
      <w:r w:rsidR="00D56145">
        <w:rPr>
          <w:rFonts w:cs="Times New Roman"/>
          <w:sz w:val="19"/>
          <w:szCs w:val="19"/>
          <w:lang w:val="en-GB"/>
        </w:rPr>
        <w:t>157</w:t>
      </w:r>
      <w:r w:rsidR="00B569A3" w:rsidRPr="002121A4">
        <w:rPr>
          <w:rFonts w:cs="Times New Roman"/>
          <w:sz w:val="19"/>
          <w:szCs w:val="19"/>
          <w:lang w:val="en-GB"/>
        </w:rPr>
        <w:fldChar w:fldCharType="end"/>
      </w:r>
      <w:r w:rsidRPr="002121A4">
        <w:rPr>
          <w:rFonts w:cs="Times New Roman"/>
          <w:sz w:val="19"/>
          <w:szCs w:val="19"/>
          <w:lang w:val="en-GB"/>
        </w:rPr>
        <w:t xml:space="preserve"> </w:t>
      </w:r>
    </w:p>
    <w:p w14:paraId="023E2CC2" w14:textId="22335857" w:rsidR="008C5A48" w:rsidRPr="002121A4" w:rsidRDefault="008C5A48" w:rsidP="008C5A48">
      <w:pPr>
        <w:rPr>
          <w:sz w:val="19"/>
          <w:szCs w:val="19"/>
          <w:lang w:val="en-GB"/>
        </w:rPr>
      </w:pPr>
      <w:r w:rsidRPr="002121A4">
        <w:rPr>
          <w:b/>
          <w:sz w:val="19"/>
          <w:szCs w:val="19"/>
          <w:lang w:val="en-GB"/>
        </w:rPr>
        <w:t>Regulated market</w:t>
      </w:r>
      <w:r w:rsidR="000762FE" w:rsidRPr="002121A4">
        <w:rPr>
          <w:sz w:val="19"/>
          <w:szCs w:val="19"/>
          <w:lang w:val="en-GB"/>
        </w:rPr>
        <w:t>  </w:t>
      </w:r>
      <w:r w:rsidR="00495F46" w:rsidRPr="002121A4">
        <w:rPr>
          <w:sz w:val="19"/>
          <w:szCs w:val="19"/>
          <w:lang w:val="en-GB"/>
        </w:rPr>
        <w:t>One of the</w:t>
      </w:r>
      <w:r w:rsidR="000762FE" w:rsidRPr="002121A4">
        <w:rPr>
          <w:sz w:val="19"/>
          <w:szCs w:val="19"/>
          <w:lang w:val="en-GB"/>
        </w:rPr>
        <w:t xml:space="preserve"> trading venue</w:t>
      </w:r>
      <w:r w:rsidR="00495F46" w:rsidRPr="002121A4">
        <w:rPr>
          <w:sz w:val="19"/>
          <w:szCs w:val="19"/>
          <w:lang w:val="en-GB"/>
        </w:rPr>
        <w:t>s</w:t>
      </w:r>
      <w:r w:rsidR="000B7071" w:rsidRPr="002121A4">
        <w:rPr>
          <w:sz w:val="19"/>
          <w:szCs w:val="19"/>
          <w:lang w:val="en-GB"/>
        </w:rPr>
        <w:t xml:space="preserve"> </w:t>
      </w:r>
      <w:r w:rsidR="007E2888" w:rsidRPr="002121A4">
        <w:rPr>
          <w:sz w:val="19"/>
          <w:szCs w:val="19"/>
          <w:lang w:val="en-GB"/>
        </w:rPr>
        <w:t>defined in</w:t>
      </w:r>
      <w:r w:rsidR="000B7071" w:rsidRPr="002121A4">
        <w:rPr>
          <w:sz w:val="19"/>
          <w:szCs w:val="19"/>
          <w:lang w:val="en-GB"/>
        </w:rPr>
        <w:t xml:space="preserve"> </w:t>
      </w:r>
      <w:r w:rsidR="000B7071" w:rsidRPr="002121A4">
        <w:rPr>
          <w:rFonts w:cs="Times New Roman"/>
          <w:sz w:val="19"/>
          <w:szCs w:val="19"/>
          <w:lang w:val="en-GB"/>
        </w:rPr>
        <w:t>→</w:t>
      </w:r>
      <w:r w:rsidR="000B7071" w:rsidRPr="002121A4">
        <w:rPr>
          <w:sz w:val="19"/>
          <w:szCs w:val="19"/>
          <w:lang w:val="en-GB"/>
        </w:rPr>
        <w:t xml:space="preserve"> MiFID</w:t>
      </w:r>
      <w:r w:rsidR="00FC1C74" w:rsidRPr="002121A4">
        <w:rPr>
          <w:sz w:val="19"/>
          <w:szCs w:val="19"/>
          <w:lang w:val="en-GB"/>
        </w:rPr>
        <w:t> </w:t>
      </w:r>
      <w:r w:rsidR="000B7071" w:rsidRPr="002121A4">
        <w:rPr>
          <w:sz w:val="19"/>
          <w:szCs w:val="19"/>
          <w:lang w:val="en-GB"/>
        </w:rPr>
        <w:t>II</w:t>
      </w:r>
    </w:p>
    <w:p w14:paraId="26D0CEDC" w14:textId="2C529195" w:rsidR="009E6C57" w:rsidRPr="002121A4" w:rsidRDefault="009E6C57" w:rsidP="008C5A48">
      <w:pPr>
        <w:rPr>
          <w:sz w:val="19"/>
          <w:szCs w:val="19"/>
          <w:lang w:val="en-GB"/>
        </w:rPr>
      </w:pPr>
      <w:r w:rsidRPr="002121A4">
        <w:rPr>
          <w:b/>
          <w:sz w:val="19"/>
          <w:szCs w:val="19"/>
          <w:lang w:val="en-GB"/>
        </w:rPr>
        <w:t>Regulatory technical standard</w:t>
      </w:r>
      <w:r w:rsidRPr="002121A4">
        <w:rPr>
          <w:sz w:val="19"/>
          <w:szCs w:val="19"/>
          <w:lang w:val="en-GB"/>
        </w:rPr>
        <w:t>  A type of EU capital markets legislation, see para. </w:t>
      </w:r>
      <w:r w:rsidRPr="002121A4">
        <w:rPr>
          <w:sz w:val="19"/>
          <w:szCs w:val="19"/>
          <w:lang w:val="en-GB"/>
        </w:rPr>
        <w:fldChar w:fldCharType="begin"/>
      </w:r>
      <w:r w:rsidRPr="002121A4">
        <w:rPr>
          <w:sz w:val="19"/>
          <w:szCs w:val="19"/>
          <w:lang w:val="en-GB"/>
        </w:rPr>
        <w:instrText xml:space="preserve"> REF _Ref130849130 \r \h </w:instrText>
      </w:r>
      <w:r w:rsidRPr="002121A4">
        <w:rPr>
          <w:sz w:val="19"/>
          <w:szCs w:val="19"/>
          <w:lang w:val="en-GB"/>
        </w:rPr>
      </w:r>
      <w:r w:rsidRPr="002121A4">
        <w:rPr>
          <w:sz w:val="19"/>
          <w:szCs w:val="19"/>
          <w:lang w:val="en-GB"/>
        </w:rPr>
        <w:fldChar w:fldCharType="separate"/>
      </w:r>
      <w:r w:rsidR="00D56145">
        <w:rPr>
          <w:sz w:val="19"/>
          <w:szCs w:val="19"/>
          <w:lang w:val="en-GB"/>
        </w:rPr>
        <w:t>22</w:t>
      </w:r>
      <w:r w:rsidRPr="002121A4">
        <w:rPr>
          <w:sz w:val="19"/>
          <w:szCs w:val="19"/>
          <w:lang w:val="en-GB"/>
        </w:rPr>
        <w:fldChar w:fldCharType="end"/>
      </w:r>
    </w:p>
    <w:p w14:paraId="6D4260CF" w14:textId="20740EAC" w:rsidR="00DB427F" w:rsidRPr="002121A4" w:rsidRDefault="00DB427F" w:rsidP="008C5A48">
      <w:pPr>
        <w:rPr>
          <w:b/>
          <w:sz w:val="19"/>
          <w:szCs w:val="19"/>
          <w:lang w:val="en-GB"/>
        </w:rPr>
      </w:pPr>
      <w:r w:rsidRPr="002121A4">
        <w:rPr>
          <w:b/>
          <w:sz w:val="19"/>
          <w:szCs w:val="19"/>
          <w:lang w:val="en-GB"/>
        </w:rPr>
        <w:t>Related Party Transaction  </w:t>
      </w:r>
      <w:r w:rsidRPr="002121A4">
        <w:rPr>
          <w:sz w:val="19"/>
          <w:szCs w:val="19"/>
          <w:lang w:val="en-GB"/>
        </w:rPr>
        <w:t xml:space="preserve">Transactions that imply certain approval and disclosure requirements under the </w:t>
      </w:r>
      <w:r w:rsidRPr="002121A4">
        <w:rPr>
          <w:rFonts w:cs="Times New Roman"/>
          <w:sz w:val="19"/>
          <w:szCs w:val="19"/>
          <w:lang w:val="en-GB"/>
        </w:rPr>
        <w:t>→</w:t>
      </w:r>
      <w:r w:rsidRPr="002121A4">
        <w:rPr>
          <w:sz w:val="19"/>
          <w:szCs w:val="19"/>
          <w:lang w:val="en-GB"/>
        </w:rPr>
        <w:t xml:space="preserve"> SRD, see para. </w:t>
      </w:r>
      <w:r w:rsidRPr="002121A4">
        <w:rPr>
          <w:sz w:val="19"/>
          <w:szCs w:val="19"/>
          <w:lang w:val="en-GB"/>
        </w:rPr>
        <w:fldChar w:fldCharType="begin"/>
      </w:r>
      <w:r w:rsidRPr="002121A4">
        <w:rPr>
          <w:sz w:val="19"/>
          <w:szCs w:val="19"/>
          <w:lang w:val="en-GB"/>
        </w:rPr>
        <w:instrText xml:space="preserve"> REF _Ref130894797 \r \h </w:instrText>
      </w:r>
      <w:r w:rsidRPr="002121A4">
        <w:rPr>
          <w:sz w:val="19"/>
          <w:szCs w:val="19"/>
          <w:lang w:val="en-GB"/>
        </w:rPr>
      </w:r>
      <w:r w:rsidRPr="002121A4">
        <w:rPr>
          <w:sz w:val="19"/>
          <w:szCs w:val="19"/>
          <w:lang w:val="en-GB"/>
        </w:rPr>
        <w:fldChar w:fldCharType="separate"/>
      </w:r>
      <w:r w:rsidR="00D56145">
        <w:rPr>
          <w:sz w:val="19"/>
          <w:szCs w:val="19"/>
          <w:lang w:val="en-GB"/>
        </w:rPr>
        <w:t>37</w:t>
      </w:r>
      <w:r w:rsidRPr="002121A4">
        <w:rPr>
          <w:sz w:val="19"/>
          <w:szCs w:val="19"/>
          <w:lang w:val="en-GB"/>
        </w:rPr>
        <w:fldChar w:fldCharType="end"/>
      </w:r>
      <w:r w:rsidRPr="002121A4">
        <w:rPr>
          <w:b/>
          <w:sz w:val="19"/>
          <w:szCs w:val="19"/>
          <w:lang w:val="en-GB"/>
        </w:rPr>
        <w:t xml:space="preserve"> </w:t>
      </w:r>
    </w:p>
    <w:p w14:paraId="24D9B59C" w14:textId="54825B43" w:rsidR="007C1D79" w:rsidRPr="002121A4" w:rsidRDefault="007C1D79" w:rsidP="008C5A48">
      <w:pPr>
        <w:rPr>
          <w:sz w:val="19"/>
          <w:szCs w:val="19"/>
          <w:lang w:val="en-GB"/>
        </w:rPr>
      </w:pPr>
      <w:r w:rsidRPr="002121A4">
        <w:rPr>
          <w:b/>
          <w:sz w:val="19"/>
          <w:szCs w:val="19"/>
          <w:lang w:val="en-GB"/>
        </w:rPr>
        <w:lastRenderedPageBreak/>
        <w:t>RTS</w:t>
      </w:r>
      <w:r w:rsidRPr="002121A4">
        <w:rPr>
          <w:sz w:val="19"/>
          <w:szCs w:val="19"/>
          <w:lang w:val="en-GB"/>
        </w:rPr>
        <w:t>  </w:t>
      </w:r>
      <w:r w:rsidRPr="002121A4">
        <w:rPr>
          <w:rFonts w:cs="Times New Roman"/>
          <w:sz w:val="19"/>
          <w:szCs w:val="19"/>
          <w:lang w:val="en-GB"/>
        </w:rPr>
        <w:t>→</w:t>
      </w:r>
      <w:r w:rsidRPr="002121A4">
        <w:rPr>
          <w:sz w:val="19"/>
          <w:szCs w:val="19"/>
          <w:lang w:val="en-GB"/>
        </w:rPr>
        <w:t xml:space="preserve"> Regulatory technical standard</w:t>
      </w:r>
    </w:p>
    <w:p w14:paraId="2F8F964D" w14:textId="3B88594D" w:rsidR="00396919" w:rsidRPr="002121A4" w:rsidRDefault="00396919" w:rsidP="008C5A48">
      <w:pPr>
        <w:rPr>
          <w:sz w:val="19"/>
          <w:szCs w:val="19"/>
          <w:lang w:val="en-GB"/>
        </w:rPr>
      </w:pPr>
      <w:proofErr w:type="spellStart"/>
      <w:r w:rsidRPr="002121A4">
        <w:rPr>
          <w:b/>
          <w:sz w:val="19"/>
          <w:szCs w:val="19"/>
          <w:lang w:val="en-GB"/>
        </w:rPr>
        <w:t>SchVG</w:t>
      </w:r>
      <w:proofErr w:type="spellEnd"/>
      <w:r w:rsidRPr="002121A4">
        <w:rPr>
          <w:sz w:val="19"/>
          <w:szCs w:val="19"/>
          <w:lang w:val="en-GB"/>
        </w:rPr>
        <w:t>  </w:t>
      </w:r>
      <w:proofErr w:type="spellStart"/>
      <w:r w:rsidRPr="002121A4">
        <w:rPr>
          <w:sz w:val="19"/>
          <w:szCs w:val="19"/>
          <w:lang w:val="en-GB"/>
        </w:rPr>
        <w:t>Schuldverschreibungsgesetz</w:t>
      </w:r>
      <w:proofErr w:type="spellEnd"/>
    </w:p>
    <w:p w14:paraId="55CCDF4A" w14:textId="75D52DE8" w:rsidR="008C5A48" w:rsidRPr="002121A4" w:rsidRDefault="008C5A48" w:rsidP="008C5A48">
      <w:pPr>
        <w:rPr>
          <w:sz w:val="19"/>
          <w:szCs w:val="19"/>
          <w:lang w:val="en-GB"/>
        </w:rPr>
      </w:pPr>
      <w:r w:rsidRPr="002121A4">
        <w:rPr>
          <w:b/>
          <w:sz w:val="19"/>
          <w:szCs w:val="19"/>
          <w:lang w:val="en-GB"/>
        </w:rPr>
        <w:t>Secondary</w:t>
      </w:r>
      <w:r w:rsidR="00500304" w:rsidRPr="002121A4">
        <w:rPr>
          <w:b/>
          <w:sz w:val="19"/>
          <w:szCs w:val="19"/>
          <w:lang w:val="en-GB"/>
        </w:rPr>
        <w:t> </w:t>
      </w:r>
      <w:r w:rsidRPr="002121A4">
        <w:rPr>
          <w:b/>
          <w:sz w:val="19"/>
          <w:szCs w:val="19"/>
          <w:lang w:val="en-GB"/>
        </w:rPr>
        <w:t>market</w:t>
      </w:r>
      <w:r w:rsidR="00500304" w:rsidRPr="002121A4">
        <w:rPr>
          <w:b/>
          <w:sz w:val="19"/>
          <w:szCs w:val="19"/>
          <w:lang w:val="en-GB"/>
        </w:rPr>
        <w:t> </w:t>
      </w:r>
      <w:r w:rsidR="00500304" w:rsidRPr="002121A4">
        <w:rPr>
          <w:sz w:val="19"/>
          <w:szCs w:val="19"/>
          <w:lang w:val="en-GB"/>
        </w:rPr>
        <w:t> Refers to the market where securities are traded among investors, i.e., without involvement of an issuer</w:t>
      </w:r>
    </w:p>
    <w:p w14:paraId="18D1B87E" w14:textId="593C62ED" w:rsidR="008C5A48" w:rsidRPr="002121A4" w:rsidRDefault="008C5A48" w:rsidP="008C5A48">
      <w:pPr>
        <w:rPr>
          <w:sz w:val="19"/>
          <w:szCs w:val="19"/>
          <w:lang w:val="en-GB"/>
        </w:rPr>
      </w:pPr>
      <w:r w:rsidRPr="002121A4">
        <w:rPr>
          <w:b/>
          <w:sz w:val="19"/>
          <w:szCs w:val="19"/>
          <w:lang w:val="en-GB"/>
        </w:rPr>
        <w:t>Securities</w:t>
      </w:r>
      <w:r w:rsidR="00FE5E6F" w:rsidRPr="002121A4">
        <w:rPr>
          <w:sz w:val="19"/>
          <w:szCs w:val="19"/>
          <w:lang w:val="en-GB"/>
        </w:rPr>
        <w:t>  </w:t>
      </w:r>
      <w:r w:rsidR="002F0E86" w:rsidRPr="002121A4">
        <w:rPr>
          <w:rFonts w:cs="Times New Roman"/>
          <w:sz w:val="19"/>
          <w:szCs w:val="19"/>
          <w:lang w:val="en-GB"/>
        </w:rPr>
        <w:t>→</w:t>
      </w:r>
      <w:r w:rsidR="002F0E86" w:rsidRPr="002121A4">
        <w:rPr>
          <w:sz w:val="19"/>
          <w:szCs w:val="19"/>
          <w:lang w:val="en-GB"/>
        </w:rPr>
        <w:t xml:space="preserve"> Transferable securities</w:t>
      </w:r>
    </w:p>
    <w:p w14:paraId="7CAC0AD1" w14:textId="11E56412" w:rsidR="00526315" w:rsidRPr="002121A4" w:rsidRDefault="00526315" w:rsidP="008C5A48">
      <w:pPr>
        <w:rPr>
          <w:rFonts w:cs="Times New Roman"/>
          <w:sz w:val="19"/>
          <w:szCs w:val="19"/>
          <w:lang w:val="en-GB"/>
        </w:rPr>
      </w:pPr>
      <w:r w:rsidRPr="002121A4">
        <w:rPr>
          <w:b/>
          <w:sz w:val="19"/>
          <w:szCs w:val="19"/>
          <w:lang w:val="en-GB"/>
        </w:rPr>
        <w:t>Security token</w:t>
      </w:r>
      <w:r w:rsidRPr="002121A4">
        <w:rPr>
          <w:sz w:val="19"/>
          <w:szCs w:val="19"/>
          <w:lang w:val="en-GB"/>
        </w:rPr>
        <w:t>  </w:t>
      </w:r>
      <w:r w:rsidRPr="002121A4">
        <w:rPr>
          <w:rFonts w:cs="Times New Roman"/>
          <w:sz w:val="19"/>
          <w:szCs w:val="19"/>
          <w:lang w:val="en-GB"/>
        </w:rPr>
        <w:t>→ Digital securities</w:t>
      </w:r>
    </w:p>
    <w:p w14:paraId="283CB226" w14:textId="6F39C6E6" w:rsidR="00C20432" w:rsidRPr="002121A4" w:rsidRDefault="00C20432" w:rsidP="008C5A48">
      <w:pPr>
        <w:rPr>
          <w:rFonts w:cs="Times New Roman"/>
          <w:sz w:val="19"/>
          <w:szCs w:val="19"/>
          <w:lang w:val="en-GB"/>
        </w:rPr>
      </w:pPr>
      <w:r w:rsidRPr="002121A4">
        <w:rPr>
          <w:rFonts w:cs="Times New Roman"/>
          <w:b/>
          <w:sz w:val="19"/>
          <w:szCs w:val="19"/>
          <w:lang w:val="en-GB"/>
        </w:rPr>
        <w:t>Senior</w:t>
      </w:r>
      <w:r w:rsidRPr="002121A4">
        <w:rPr>
          <w:rFonts w:cs="Times New Roman"/>
          <w:sz w:val="19"/>
          <w:szCs w:val="19"/>
          <w:lang w:val="en-GB"/>
        </w:rPr>
        <w:t>  → subordinated</w:t>
      </w:r>
    </w:p>
    <w:p w14:paraId="38343107" w14:textId="74A9B6F1" w:rsidR="00717F59" w:rsidRPr="002121A4" w:rsidRDefault="00717F59" w:rsidP="008C5A48">
      <w:pPr>
        <w:rPr>
          <w:sz w:val="19"/>
          <w:szCs w:val="19"/>
          <w:lang w:val="en-GB"/>
        </w:rPr>
      </w:pPr>
      <w:r w:rsidRPr="002121A4">
        <w:rPr>
          <w:rFonts w:cs="Times New Roman"/>
          <w:b/>
          <w:sz w:val="19"/>
          <w:szCs w:val="19"/>
          <w:lang w:val="en-GB"/>
        </w:rPr>
        <w:t>Settlement</w:t>
      </w:r>
      <w:r w:rsidRPr="002121A4">
        <w:rPr>
          <w:rFonts w:cs="Times New Roman"/>
          <w:sz w:val="19"/>
          <w:szCs w:val="19"/>
          <w:lang w:val="en-GB"/>
        </w:rPr>
        <w:t xml:space="preserve">  → Clearing </w:t>
      </w:r>
    </w:p>
    <w:p w14:paraId="1452ACD8" w14:textId="44D58019" w:rsidR="004A1BDB" w:rsidRPr="002121A4" w:rsidRDefault="004A1BDB" w:rsidP="008C5A48">
      <w:pPr>
        <w:rPr>
          <w:sz w:val="19"/>
          <w:szCs w:val="19"/>
          <w:lang w:val="en-GB"/>
        </w:rPr>
      </w:pPr>
      <w:r w:rsidRPr="002121A4">
        <w:rPr>
          <w:b/>
          <w:sz w:val="19"/>
          <w:szCs w:val="19"/>
          <w:lang w:val="en-GB"/>
        </w:rPr>
        <w:t>SFDR</w:t>
      </w:r>
      <w:r w:rsidRPr="002121A4">
        <w:rPr>
          <w:sz w:val="19"/>
          <w:szCs w:val="19"/>
          <w:lang w:val="en-GB"/>
        </w:rPr>
        <w:t>  Regulation (EU) 2019/2088 of 27 November 2019 on sustainability‐related disclosures in the financial services sector</w:t>
      </w:r>
    </w:p>
    <w:p w14:paraId="439B69E1" w14:textId="6EA3376A" w:rsidR="00237620" w:rsidRPr="002121A4" w:rsidRDefault="00237620" w:rsidP="008C5A48">
      <w:pPr>
        <w:rPr>
          <w:sz w:val="19"/>
          <w:szCs w:val="19"/>
          <w:lang w:val="en-GB"/>
        </w:rPr>
      </w:pPr>
      <w:r w:rsidRPr="002121A4">
        <w:rPr>
          <w:b/>
          <w:sz w:val="19"/>
          <w:szCs w:val="19"/>
          <w:lang w:val="en-GB"/>
        </w:rPr>
        <w:t>Shareholder Rights Directive</w:t>
      </w:r>
      <w:r w:rsidRPr="002121A4">
        <w:rPr>
          <w:sz w:val="19"/>
          <w:szCs w:val="19"/>
          <w:lang w:val="en-GB"/>
        </w:rPr>
        <w:t>  </w:t>
      </w:r>
      <w:r w:rsidRPr="002121A4">
        <w:rPr>
          <w:rFonts w:cs="Times New Roman"/>
          <w:sz w:val="19"/>
          <w:szCs w:val="19"/>
          <w:lang w:val="en-GB"/>
        </w:rPr>
        <w:t>→ SRD</w:t>
      </w:r>
    </w:p>
    <w:p w14:paraId="75DDB080" w14:textId="3A21CEFC" w:rsidR="00237620" w:rsidRPr="002121A4" w:rsidRDefault="00237620" w:rsidP="008C5A48">
      <w:pPr>
        <w:rPr>
          <w:rFonts w:cs="Times New Roman"/>
          <w:sz w:val="19"/>
          <w:szCs w:val="19"/>
          <w:lang w:val="en-GB"/>
        </w:rPr>
      </w:pPr>
      <w:r w:rsidRPr="002121A4">
        <w:rPr>
          <w:b/>
          <w:sz w:val="19"/>
          <w:szCs w:val="19"/>
          <w:lang w:val="en-GB"/>
        </w:rPr>
        <w:t>Short Selling Regulation </w:t>
      </w:r>
      <w:r w:rsidRPr="002121A4">
        <w:rPr>
          <w:sz w:val="19"/>
          <w:szCs w:val="19"/>
          <w:lang w:val="en-GB"/>
        </w:rPr>
        <w:t> </w:t>
      </w:r>
      <w:r w:rsidRPr="002121A4">
        <w:rPr>
          <w:rFonts w:cs="Times New Roman"/>
          <w:sz w:val="19"/>
          <w:szCs w:val="19"/>
          <w:lang w:val="en-GB"/>
        </w:rPr>
        <w:t>→ SSR</w:t>
      </w:r>
    </w:p>
    <w:p w14:paraId="3E0E7E07" w14:textId="06FC1150" w:rsidR="00422B5F" w:rsidRPr="002121A4" w:rsidRDefault="00422B5F" w:rsidP="008C5A48">
      <w:pPr>
        <w:rPr>
          <w:lang w:val="en-GB"/>
        </w:rPr>
      </w:pPr>
      <w:r w:rsidRPr="002121A4">
        <w:rPr>
          <w:rFonts w:cs="Times New Roman"/>
          <w:b/>
          <w:sz w:val="19"/>
          <w:szCs w:val="19"/>
          <w:lang w:val="en-GB"/>
        </w:rPr>
        <w:t>Spot transaction</w:t>
      </w:r>
      <w:r w:rsidRPr="002121A4">
        <w:rPr>
          <w:rFonts w:cs="Times New Roman"/>
          <w:sz w:val="19"/>
          <w:szCs w:val="19"/>
          <w:lang w:val="en-GB"/>
        </w:rPr>
        <w:t>  Refers to a transaction for “immediate” delivery (T+2), also see → future</w:t>
      </w:r>
    </w:p>
    <w:p w14:paraId="724EA705" w14:textId="43BD575A" w:rsidR="00503E6F" w:rsidRPr="002121A4" w:rsidRDefault="00503E6F" w:rsidP="008C5A48">
      <w:pPr>
        <w:rPr>
          <w:sz w:val="19"/>
          <w:szCs w:val="19"/>
          <w:lang w:val="en-GB"/>
        </w:rPr>
      </w:pPr>
      <w:r w:rsidRPr="002121A4">
        <w:rPr>
          <w:b/>
          <w:sz w:val="19"/>
          <w:szCs w:val="19"/>
          <w:lang w:val="en-GB"/>
        </w:rPr>
        <w:t>SRD</w:t>
      </w:r>
      <w:r w:rsidR="00FE5E6F" w:rsidRPr="002121A4">
        <w:rPr>
          <w:sz w:val="19"/>
          <w:szCs w:val="19"/>
          <w:lang w:val="en-GB"/>
        </w:rPr>
        <w:t>  </w:t>
      </w:r>
      <w:r w:rsidRPr="002121A4">
        <w:rPr>
          <w:sz w:val="19"/>
          <w:szCs w:val="19"/>
          <w:lang w:val="en-GB"/>
        </w:rPr>
        <w:t xml:space="preserve">Directive 2007/36/EC of 11 July 2007 on the exercise of certain rights of shareholders in listed companies (as amended) </w:t>
      </w:r>
      <w:r w:rsidR="00EA5D8A" w:rsidRPr="002121A4">
        <w:rPr>
          <w:sz w:val="19"/>
          <w:szCs w:val="19"/>
          <w:lang w:val="en-GB"/>
        </w:rPr>
        <w:t>(</w:t>
      </w:r>
      <w:r w:rsidR="00EF3E18" w:rsidRPr="002121A4">
        <w:rPr>
          <w:sz w:val="19"/>
          <w:szCs w:val="19"/>
          <w:lang w:val="en-GB"/>
        </w:rPr>
        <w:t>“</w:t>
      </w:r>
      <w:r w:rsidR="00EA5D8A" w:rsidRPr="002121A4">
        <w:rPr>
          <w:sz w:val="19"/>
          <w:szCs w:val="19"/>
          <w:lang w:val="en-GB"/>
        </w:rPr>
        <w:t>Shareholder Rights Directive</w:t>
      </w:r>
      <w:r w:rsidR="00EF3E18" w:rsidRPr="002121A4">
        <w:rPr>
          <w:sz w:val="19"/>
          <w:szCs w:val="19"/>
          <w:lang w:val="en-GB"/>
        </w:rPr>
        <w:t>”</w:t>
      </w:r>
      <w:r w:rsidR="00EA5D8A" w:rsidRPr="002121A4">
        <w:rPr>
          <w:sz w:val="19"/>
          <w:szCs w:val="19"/>
          <w:lang w:val="en-GB"/>
        </w:rPr>
        <w:t>)</w:t>
      </w:r>
    </w:p>
    <w:p w14:paraId="60BC3B51" w14:textId="16252176" w:rsidR="00EA5D8A" w:rsidRPr="002121A4" w:rsidRDefault="00EA5D8A" w:rsidP="00EA5D8A">
      <w:pPr>
        <w:rPr>
          <w:sz w:val="19"/>
          <w:szCs w:val="19"/>
          <w:lang w:val="en-GB"/>
        </w:rPr>
      </w:pPr>
      <w:r w:rsidRPr="002121A4">
        <w:rPr>
          <w:b/>
          <w:sz w:val="19"/>
          <w:szCs w:val="19"/>
          <w:lang w:val="en-GB"/>
        </w:rPr>
        <w:t>SSR</w:t>
      </w:r>
      <w:r w:rsidR="00FE5E6F" w:rsidRPr="002121A4">
        <w:rPr>
          <w:sz w:val="19"/>
          <w:szCs w:val="19"/>
          <w:lang w:val="en-GB"/>
        </w:rPr>
        <w:t>  </w:t>
      </w:r>
      <w:r w:rsidRPr="002121A4">
        <w:rPr>
          <w:sz w:val="19"/>
          <w:szCs w:val="19"/>
          <w:lang w:val="en-GB"/>
        </w:rPr>
        <w:t>Regulation (EU) No 236/2012 of 14 March 2012 on short selling and certain aspects of credit default swaps (</w:t>
      </w:r>
      <w:r w:rsidR="00EF3E18" w:rsidRPr="002121A4">
        <w:rPr>
          <w:sz w:val="19"/>
          <w:szCs w:val="19"/>
          <w:lang w:val="en-GB"/>
        </w:rPr>
        <w:t>“</w:t>
      </w:r>
      <w:r w:rsidRPr="002121A4">
        <w:rPr>
          <w:sz w:val="19"/>
          <w:szCs w:val="19"/>
          <w:lang w:val="en-GB"/>
        </w:rPr>
        <w:t>Short Selling Regulation</w:t>
      </w:r>
      <w:r w:rsidR="00EF3E18" w:rsidRPr="002121A4">
        <w:rPr>
          <w:sz w:val="19"/>
          <w:szCs w:val="19"/>
          <w:lang w:val="en-GB"/>
        </w:rPr>
        <w:t>”</w:t>
      </w:r>
      <w:r w:rsidRPr="002121A4">
        <w:rPr>
          <w:sz w:val="19"/>
          <w:szCs w:val="19"/>
          <w:lang w:val="en-GB"/>
        </w:rPr>
        <w:t>)</w:t>
      </w:r>
    </w:p>
    <w:p w14:paraId="29816D22" w14:textId="7379FA1C" w:rsidR="000625C8" w:rsidRDefault="000625C8" w:rsidP="00EA5D8A">
      <w:pPr>
        <w:rPr>
          <w:sz w:val="19"/>
          <w:szCs w:val="19"/>
          <w:lang w:val="en-GB"/>
        </w:rPr>
      </w:pPr>
      <w:r w:rsidRPr="002121A4">
        <w:rPr>
          <w:b/>
          <w:sz w:val="19"/>
          <w:szCs w:val="19"/>
          <w:lang w:val="en-GB"/>
        </w:rPr>
        <w:t>Subordinated</w:t>
      </w:r>
      <w:r w:rsidRPr="002121A4">
        <w:rPr>
          <w:sz w:val="19"/>
          <w:szCs w:val="19"/>
          <w:lang w:val="en-GB"/>
        </w:rPr>
        <w:t xml:space="preserve">  Describes distribution claims that in case of insolvency, </w:t>
      </w:r>
      <w:proofErr w:type="spellStart"/>
      <w:r w:rsidRPr="002121A4">
        <w:rPr>
          <w:sz w:val="19"/>
          <w:szCs w:val="19"/>
          <w:lang w:val="en-GB"/>
        </w:rPr>
        <w:t>liquidiation</w:t>
      </w:r>
      <w:proofErr w:type="spellEnd"/>
      <w:r w:rsidRPr="002121A4">
        <w:rPr>
          <w:sz w:val="19"/>
          <w:szCs w:val="19"/>
          <w:lang w:val="en-GB"/>
        </w:rPr>
        <w:t xml:space="preserve"> etc. rank below ordinary (“senior”) debt</w:t>
      </w:r>
    </w:p>
    <w:p w14:paraId="460C8467" w14:textId="6FEAE30C" w:rsidR="00405D83" w:rsidRPr="002121A4" w:rsidRDefault="00405D83" w:rsidP="00EA5D8A">
      <w:pPr>
        <w:rPr>
          <w:sz w:val="19"/>
          <w:szCs w:val="19"/>
          <w:lang w:val="en-GB"/>
        </w:rPr>
      </w:pPr>
      <w:r w:rsidRPr="00405D83">
        <w:rPr>
          <w:b/>
          <w:sz w:val="19"/>
          <w:szCs w:val="19"/>
          <w:lang w:val="en-GB"/>
        </w:rPr>
        <w:t>Subscription Agreement </w:t>
      </w:r>
      <w:r>
        <w:rPr>
          <w:sz w:val="19"/>
          <w:szCs w:val="19"/>
          <w:lang w:val="en-GB"/>
        </w:rPr>
        <w:t> </w:t>
      </w:r>
      <w:proofErr w:type="spellStart"/>
      <w:r>
        <w:rPr>
          <w:sz w:val="19"/>
          <w:szCs w:val="19"/>
          <w:lang w:val="en-GB"/>
        </w:rPr>
        <w:t>Agreement</w:t>
      </w:r>
      <w:proofErr w:type="spellEnd"/>
      <w:r>
        <w:rPr>
          <w:sz w:val="19"/>
          <w:szCs w:val="19"/>
          <w:lang w:val="en-GB"/>
        </w:rPr>
        <w:t xml:space="preserve"> </w:t>
      </w:r>
      <w:proofErr w:type="spellStart"/>
      <w:r>
        <w:rPr>
          <w:sz w:val="19"/>
          <w:szCs w:val="19"/>
          <w:lang w:val="en-GB"/>
        </w:rPr>
        <w:t>buy</w:t>
      </w:r>
      <w:proofErr w:type="spellEnd"/>
      <w:r>
        <w:rPr>
          <w:sz w:val="19"/>
          <w:szCs w:val="19"/>
          <w:lang w:val="en-GB"/>
        </w:rPr>
        <w:t xml:space="preserve"> which an issuer sells financial instruments to investors or intermediaries</w:t>
      </w:r>
    </w:p>
    <w:p w14:paraId="51AF084D" w14:textId="4DA011E1" w:rsidR="00004D72" w:rsidRPr="002121A4" w:rsidRDefault="00004D72" w:rsidP="00EA5D8A">
      <w:pPr>
        <w:rPr>
          <w:sz w:val="19"/>
          <w:szCs w:val="19"/>
          <w:lang w:val="en-GB"/>
        </w:rPr>
      </w:pPr>
      <w:r w:rsidRPr="002121A4">
        <w:rPr>
          <w:b/>
          <w:sz w:val="19"/>
          <w:szCs w:val="19"/>
          <w:lang w:val="en-GB"/>
        </w:rPr>
        <w:t>Supplement</w:t>
      </w:r>
      <w:r w:rsidRPr="002121A4">
        <w:rPr>
          <w:sz w:val="19"/>
          <w:szCs w:val="19"/>
          <w:lang w:val="en-GB"/>
        </w:rPr>
        <w:t>  </w:t>
      </w:r>
      <w:r w:rsidR="00591F35" w:rsidRPr="002121A4">
        <w:rPr>
          <w:rFonts w:cs="Times New Roman"/>
          <w:sz w:val="19"/>
          <w:szCs w:val="19"/>
          <w:lang w:val="en-GB"/>
        </w:rPr>
        <w:t xml:space="preserve">→ </w:t>
      </w:r>
      <w:r w:rsidR="00591F35" w:rsidRPr="002121A4">
        <w:rPr>
          <w:sz w:val="19"/>
          <w:szCs w:val="19"/>
          <w:lang w:val="en-GB"/>
        </w:rPr>
        <w:t xml:space="preserve">Prospectus Supplement </w:t>
      </w:r>
    </w:p>
    <w:p w14:paraId="10DAB391" w14:textId="2EA1D459" w:rsidR="004A1BDB" w:rsidRPr="002121A4" w:rsidRDefault="004A1BDB" w:rsidP="00EA5D8A">
      <w:pPr>
        <w:rPr>
          <w:lang w:val="en-GB"/>
        </w:rPr>
      </w:pPr>
      <w:r w:rsidRPr="002121A4">
        <w:rPr>
          <w:b/>
          <w:sz w:val="19"/>
          <w:szCs w:val="19"/>
          <w:lang w:val="en-GB"/>
        </w:rPr>
        <w:t>Sustainable Finance Disclosure Regulation</w:t>
      </w:r>
      <w:r w:rsidR="009B625E" w:rsidRPr="002121A4">
        <w:rPr>
          <w:sz w:val="19"/>
          <w:szCs w:val="19"/>
          <w:lang w:val="en-GB"/>
        </w:rPr>
        <w:t xml:space="preserve"> </w:t>
      </w:r>
      <w:r w:rsidR="009B3AE6" w:rsidRPr="002121A4">
        <w:rPr>
          <w:sz w:val="19"/>
          <w:szCs w:val="19"/>
          <w:lang w:val="en-GB"/>
        </w:rPr>
        <w:t xml:space="preserve"> </w:t>
      </w:r>
      <w:r w:rsidRPr="002121A4">
        <w:rPr>
          <w:rFonts w:cs="Times New Roman"/>
          <w:sz w:val="19"/>
          <w:szCs w:val="19"/>
          <w:lang w:val="en-GB"/>
        </w:rPr>
        <w:t>→</w:t>
      </w:r>
      <w:r w:rsidR="009B3AE6" w:rsidRPr="002121A4">
        <w:rPr>
          <w:rFonts w:cs="Times New Roman"/>
          <w:sz w:val="19"/>
          <w:szCs w:val="19"/>
          <w:lang w:val="en-GB"/>
        </w:rPr>
        <w:t> </w:t>
      </w:r>
      <w:r w:rsidRPr="002121A4">
        <w:rPr>
          <w:rFonts w:cs="Times New Roman"/>
          <w:sz w:val="19"/>
          <w:szCs w:val="19"/>
          <w:lang w:val="en-GB"/>
        </w:rPr>
        <w:t>SFDR</w:t>
      </w:r>
    </w:p>
    <w:p w14:paraId="28D26AC3" w14:textId="67143743" w:rsidR="00B4728C" w:rsidRPr="002121A4" w:rsidRDefault="00B4728C" w:rsidP="00EA5D8A">
      <w:pPr>
        <w:rPr>
          <w:rFonts w:cs="Times New Roman"/>
          <w:sz w:val="19"/>
          <w:szCs w:val="19"/>
          <w:lang w:val="en-GB"/>
        </w:rPr>
      </w:pPr>
      <w:r w:rsidRPr="002121A4">
        <w:rPr>
          <w:b/>
          <w:sz w:val="19"/>
          <w:szCs w:val="19"/>
          <w:lang w:val="en-GB"/>
        </w:rPr>
        <w:t>Takeover Bid Directive </w:t>
      </w:r>
      <w:r w:rsidRPr="002121A4">
        <w:rPr>
          <w:sz w:val="19"/>
          <w:szCs w:val="19"/>
          <w:lang w:val="en-GB"/>
        </w:rPr>
        <w:t> </w:t>
      </w:r>
      <w:r w:rsidRPr="002121A4">
        <w:rPr>
          <w:rFonts w:cs="Times New Roman"/>
          <w:sz w:val="19"/>
          <w:szCs w:val="19"/>
          <w:lang w:val="en-GB"/>
        </w:rPr>
        <w:t>→ TBD</w:t>
      </w:r>
    </w:p>
    <w:p w14:paraId="0D98E301" w14:textId="0336A8C1" w:rsidR="00FF38D4" w:rsidRPr="002121A4" w:rsidRDefault="00FF38D4" w:rsidP="00EA5D8A">
      <w:pPr>
        <w:rPr>
          <w:sz w:val="19"/>
          <w:szCs w:val="19"/>
          <w:lang w:val="en-GB"/>
        </w:rPr>
      </w:pPr>
      <w:r w:rsidRPr="002121A4">
        <w:rPr>
          <w:rFonts w:cs="Times New Roman"/>
          <w:b/>
          <w:sz w:val="19"/>
          <w:szCs w:val="19"/>
          <w:lang w:val="en-GB"/>
        </w:rPr>
        <w:t>Taxonomy Regulation</w:t>
      </w:r>
      <w:r w:rsidRPr="002121A4">
        <w:rPr>
          <w:rFonts w:cs="Times New Roman"/>
          <w:sz w:val="19"/>
          <w:szCs w:val="19"/>
          <w:lang w:val="en-GB"/>
        </w:rPr>
        <w:t>  </w:t>
      </w:r>
      <w:proofErr w:type="spellStart"/>
      <w:r w:rsidRPr="002121A4">
        <w:rPr>
          <w:rFonts w:cs="Times New Roman"/>
          <w:sz w:val="19"/>
          <w:szCs w:val="19"/>
          <w:lang w:val="en-GB"/>
        </w:rPr>
        <w:t>Regulation</w:t>
      </w:r>
      <w:proofErr w:type="spellEnd"/>
      <w:r w:rsidRPr="002121A4">
        <w:rPr>
          <w:rFonts w:cs="Times New Roman"/>
          <w:sz w:val="19"/>
          <w:szCs w:val="19"/>
          <w:lang w:val="en-GB"/>
        </w:rPr>
        <w:t xml:space="preserve"> (EU) 2020/852 of 18 June 2020 on the establishment of a framework to facilitate sustainable investment</w:t>
      </w:r>
    </w:p>
    <w:p w14:paraId="70EA9CA4" w14:textId="3BA9794E" w:rsidR="008C7E61" w:rsidRPr="002121A4" w:rsidRDefault="008C7E61" w:rsidP="008C5A48">
      <w:pPr>
        <w:rPr>
          <w:sz w:val="19"/>
          <w:szCs w:val="19"/>
          <w:lang w:val="en-GB"/>
        </w:rPr>
      </w:pPr>
      <w:r w:rsidRPr="002121A4">
        <w:rPr>
          <w:b/>
          <w:sz w:val="19"/>
          <w:szCs w:val="19"/>
          <w:lang w:val="en-GB"/>
        </w:rPr>
        <w:t>TBD</w:t>
      </w:r>
      <w:r w:rsidR="00B4728C" w:rsidRPr="002121A4">
        <w:rPr>
          <w:sz w:val="19"/>
          <w:szCs w:val="19"/>
          <w:lang w:val="en-GB"/>
        </w:rPr>
        <w:t xml:space="preserve">  Directive 2004/25/EC of 21 </w:t>
      </w:r>
      <w:r w:rsidR="00DF72EF" w:rsidRPr="002121A4">
        <w:rPr>
          <w:sz w:val="19"/>
          <w:szCs w:val="19"/>
          <w:lang w:val="en-GB"/>
        </w:rPr>
        <w:t>A</w:t>
      </w:r>
      <w:r w:rsidR="00B4728C" w:rsidRPr="002121A4">
        <w:rPr>
          <w:sz w:val="19"/>
          <w:szCs w:val="19"/>
          <w:lang w:val="en-GB"/>
        </w:rPr>
        <w:t>pril 2004 on takeover bids</w:t>
      </w:r>
    </w:p>
    <w:p w14:paraId="00DFF99C" w14:textId="628E9B3B" w:rsidR="008C7E61" w:rsidRPr="002121A4" w:rsidRDefault="008C7E61" w:rsidP="00526030">
      <w:pPr>
        <w:rPr>
          <w:sz w:val="19"/>
          <w:szCs w:val="19"/>
          <w:lang w:val="en-GB"/>
        </w:rPr>
      </w:pPr>
      <w:r w:rsidRPr="002121A4">
        <w:rPr>
          <w:b/>
          <w:sz w:val="19"/>
          <w:szCs w:val="19"/>
          <w:lang w:val="en-GB"/>
        </w:rPr>
        <w:t>TD</w:t>
      </w:r>
      <w:r w:rsidR="00F13B56" w:rsidRPr="002121A4">
        <w:rPr>
          <w:sz w:val="19"/>
          <w:szCs w:val="19"/>
          <w:lang w:val="en-GB"/>
        </w:rPr>
        <w:t>  </w:t>
      </w:r>
      <w:r w:rsidR="00526030" w:rsidRPr="002121A4">
        <w:rPr>
          <w:sz w:val="19"/>
          <w:szCs w:val="19"/>
          <w:lang w:val="en-GB"/>
        </w:rPr>
        <w:t>Directive 2004/109/EC of 15 December 2004 on the harmon</w:t>
      </w:r>
      <w:r w:rsidR="00706D6F" w:rsidRPr="002121A4">
        <w:rPr>
          <w:sz w:val="19"/>
          <w:szCs w:val="19"/>
          <w:lang w:val="en-GB"/>
        </w:rPr>
        <w:t>ization</w:t>
      </w:r>
      <w:r w:rsidR="00526030" w:rsidRPr="002121A4">
        <w:rPr>
          <w:sz w:val="19"/>
          <w:szCs w:val="19"/>
          <w:lang w:val="en-GB"/>
        </w:rPr>
        <w:t xml:space="preserve"> of transparency requirements in relation to information about issuers whose securities are admitted to trading on a regulated market (“Transparency Directive”)</w:t>
      </w:r>
    </w:p>
    <w:p w14:paraId="5CDEE458" w14:textId="72F3C9A9" w:rsidR="0050336D" w:rsidRPr="002121A4" w:rsidRDefault="0050336D" w:rsidP="00526030">
      <w:pPr>
        <w:rPr>
          <w:sz w:val="19"/>
          <w:szCs w:val="19"/>
          <w:lang w:val="en-GB"/>
        </w:rPr>
      </w:pPr>
      <w:r w:rsidRPr="002121A4">
        <w:rPr>
          <w:b/>
          <w:sz w:val="19"/>
          <w:szCs w:val="19"/>
          <w:lang w:val="en-GB"/>
        </w:rPr>
        <w:t>Trading venue</w:t>
      </w:r>
      <w:r w:rsidRPr="002121A4">
        <w:rPr>
          <w:sz w:val="19"/>
          <w:szCs w:val="19"/>
          <w:lang w:val="en-GB"/>
        </w:rPr>
        <w:t xml:space="preserve">  Refers to </w:t>
      </w:r>
      <w:r w:rsidRPr="002121A4">
        <w:rPr>
          <w:rFonts w:cs="Times New Roman"/>
          <w:sz w:val="19"/>
          <w:szCs w:val="19"/>
          <w:lang w:val="en-GB"/>
        </w:rPr>
        <w:t xml:space="preserve">→ </w:t>
      </w:r>
      <w:r w:rsidRPr="002121A4">
        <w:rPr>
          <w:sz w:val="19"/>
          <w:szCs w:val="19"/>
          <w:lang w:val="en-GB"/>
        </w:rPr>
        <w:t xml:space="preserve">Regulated Markets, </w:t>
      </w:r>
      <w:r w:rsidRPr="002121A4">
        <w:rPr>
          <w:rFonts w:cs="Times New Roman"/>
          <w:sz w:val="19"/>
          <w:szCs w:val="19"/>
          <w:lang w:val="en-GB"/>
        </w:rPr>
        <w:t>→ MTFs, and → OTF</w:t>
      </w:r>
      <w:r w:rsidR="00FF5F43" w:rsidRPr="002121A4">
        <w:rPr>
          <w:rFonts w:cs="Times New Roman"/>
          <w:sz w:val="19"/>
          <w:szCs w:val="19"/>
          <w:lang w:val="en-GB"/>
        </w:rPr>
        <w:t>s</w:t>
      </w:r>
    </w:p>
    <w:p w14:paraId="27591836" w14:textId="256EA583" w:rsidR="002F0E86" w:rsidRPr="002121A4" w:rsidRDefault="002F0E86" w:rsidP="00526030">
      <w:pPr>
        <w:rPr>
          <w:sz w:val="19"/>
          <w:szCs w:val="19"/>
          <w:lang w:val="en-GB"/>
        </w:rPr>
      </w:pPr>
      <w:r w:rsidRPr="002121A4">
        <w:rPr>
          <w:b/>
          <w:sz w:val="19"/>
          <w:szCs w:val="19"/>
          <w:lang w:val="en-GB"/>
        </w:rPr>
        <w:t>Transferable securities</w:t>
      </w:r>
      <w:r w:rsidRPr="002121A4">
        <w:rPr>
          <w:sz w:val="19"/>
          <w:szCs w:val="19"/>
          <w:lang w:val="en-GB"/>
        </w:rPr>
        <w:t xml:space="preserve">  Shares, debt instruments, and derivatives related thereto (cf. art. 4(1)(44) MiFID II), a subcategory of </w:t>
      </w:r>
      <w:r w:rsidRPr="002121A4">
        <w:rPr>
          <w:rFonts w:cs="Times New Roman"/>
          <w:sz w:val="19"/>
          <w:szCs w:val="19"/>
          <w:lang w:val="en-GB"/>
        </w:rPr>
        <w:t>→</w:t>
      </w:r>
      <w:r w:rsidRPr="002121A4">
        <w:rPr>
          <w:sz w:val="19"/>
          <w:szCs w:val="19"/>
          <w:lang w:val="en-GB"/>
        </w:rPr>
        <w:t xml:space="preserve"> financial instruments </w:t>
      </w:r>
    </w:p>
    <w:p w14:paraId="20D04D43" w14:textId="31F6D5E3" w:rsidR="00B4728C" w:rsidRPr="002121A4" w:rsidRDefault="00B4728C" w:rsidP="00526030">
      <w:pPr>
        <w:rPr>
          <w:rFonts w:cs="Times New Roman"/>
          <w:sz w:val="19"/>
          <w:szCs w:val="19"/>
          <w:lang w:val="en-GB"/>
        </w:rPr>
      </w:pPr>
      <w:r w:rsidRPr="002121A4">
        <w:rPr>
          <w:b/>
          <w:sz w:val="19"/>
          <w:szCs w:val="19"/>
          <w:lang w:val="en-GB"/>
        </w:rPr>
        <w:t>Transparency Directive </w:t>
      </w:r>
      <w:r w:rsidRPr="002121A4">
        <w:rPr>
          <w:sz w:val="19"/>
          <w:szCs w:val="19"/>
          <w:lang w:val="en-GB"/>
        </w:rPr>
        <w:t> </w:t>
      </w:r>
      <w:r w:rsidRPr="002121A4">
        <w:rPr>
          <w:rFonts w:cs="Times New Roman"/>
          <w:sz w:val="19"/>
          <w:szCs w:val="19"/>
          <w:lang w:val="en-GB"/>
        </w:rPr>
        <w:t>→ TD</w:t>
      </w:r>
    </w:p>
    <w:p w14:paraId="657820BB" w14:textId="3A1E7DAB" w:rsidR="00526315" w:rsidRPr="002121A4" w:rsidRDefault="0050336D" w:rsidP="00526030">
      <w:pPr>
        <w:rPr>
          <w:sz w:val="19"/>
          <w:szCs w:val="19"/>
          <w:lang w:val="en-GB"/>
        </w:rPr>
      </w:pPr>
      <w:r w:rsidRPr="002121A4">
        <w:rPr>
          <w:rFonts w:cs="Times New Roman"/>
          <w:b/>
          <w:sz w:val="19"/>
          <w:szCs w:val="19"/>
          <w:lang w:val="en-GB"/>
        </w:rPr>
        <w:t xml:space="preserve">Token, </w:t>
      </w:r>
      <w:r w:rsidR="00526315" w:rsidRPr="002121A4">
        <w:rPr>
          <w:rFonts w:cs="Times New Roman"/>
          <w:b/>
          <w:sz w:val="19"/>
          <w:szCs w:val="19"/>
          <w:lang w:val="en-GB"/>
        </w:rPr>
        <w:t>Token</w:t>
      </w:r>
      <w:r w:rsidR="00706D6F" w:rsidRPr="002121A4">
        <w:rPr>
          <w:rFonts w:cs="Times New Roman"/>
          <w:b/>
          <w:sz w:val="19"/>
          <w:szCs w:val="19"/>
          <w:lang w:val="en-GB"/>
        </w:rPr>
        <w:t>ized</w:t>
      </w:r>
      <w:r w:rsidR="00526315" w:rsidRPr="002121A4">
        <w:rPr>
          <w:rFonts w:cs="Times New Roman"/>
          <w:b/>
          <w:sz w:val="19"/>
          <w:szCs w:val="19"/>
          <w:lang w:val="en-GB"/>
        </w:rPr>
        <w:t xml:space="preserve"> securities</w:t>
      </w:r>
      <w:r w:rsidR="00526315" w:rsidRPr="002121A4">
        <w:rPr>
          <w:rFonts w:cs="Times New Roman"/>
          <w:sz w:val="19"/>
          <w:szCs w:val="19"/>
          <w:lang w:val="en-GB"/>
        </w:rPr>
        <w:t>  → Digital securities</w:t>
      </w:r>
    </w:p>
    <w:p w14:paraId="5D12BEA2" w14:textId="57AAB84B" w:rsidR="008C5A48" w:rsidRPr="002121A4" w:rsidRDefault="00A360AF" w:rsidP="008C5A48">
      <w:pPr>
        <w:rPr>
          <w:sz w:val="19"/>
          <w:szCs w:val="19"/>
          <w:lang w:val="en-GB"/>
        </w:rPr>
      </w:pPr>
      <w:r w:rsidRPr="002121A4">
        <w:rPr>
          <w:b/>
          <w:sz w:val="19"/>
          <w:szCs w:val="19"/>
          <w:lang w:val="en-GB"/>
        </w:rPr>
        <w:t>UCITS</w:t>
      </w:r>
      <w:r w:rsidR="002F0E86" w:rsidRPr="002121A4">
        <w:rPr>
          <w:sz w:val="19"/>
          <w:szCs w:val="19"/>
          <w:lang w:val="en-GB"/>
        </w:rPr>
        <w:t>  </w:t>
      </w:r>
      <w:r w:rsidR="00C77562" w:rsidRPr="002121A4">
        <w:rPr>
          <w:sz w:val="19"/>
          <w:szCs w:val="19"/>
          <w:lang w:val="en-GB"/>
        </w:rPr>
        <w:t xml:space="preserve">Undertakings for </w:t>
      </w:r>
      <w:r w:rsidR="009C26C2" w:rsidRPr="002121A4">
        <w:rPr>
          <w:sz w:val="19"/>
          <w:szCs w:val="19"/>
          <w:lang w:val="en-GB"/>
        </w:rPr>
        <w:t>c</w:t>
      </w:r>
      <w:r w:rsidR="00C77562" w:rsidRPr="002121A4">
        <w:rPr>
          <w:sz w:val="19"/>
          <w:szCs w:val="19"/>
          <w:lang w:val="en-GB"/>
        </w:rPr>
        <w:t xml:space="preserve">ollective </w:t>
      </w:r>
      <w:r w:rsidR="009C26C2" w:rsidRPr="002121A4">
        <w:rPr>
          <w:sz w:val="19"/>
          <w:szCs w:val="19"/>
          <w:lang w:val="en-GB"/>
        </w:rPr>
        <w:t>i</w:t>
      </w:r>
      <w:r w:rsidR="00C77562" w:rsidRPr="002121A4">
        <w:rPr>
          <w:sz w:val="19"/>
          <w:szCs w:val="19"/>
          <w:lang w:val="en-GB"/>
        </w:rPr>
        <w:t xml:space="preserve">nvestment in </w:t>
      </w:r>
      <w:r w:rsidR="009C26C2" w:rsidRPr="002121A4">
        <w:rPr>
          <w:sz w:val="19"/>
          <w:szCs w:val="19"/>
          <w:lang w:val="en-GB"/>
        </w:rPr>
        <w:t>t</w:t>
      </w:r>
      <w:r w:rsidR="004F551E" w:rsidRPr="002121A4">
        <w:rPr>
          <w:sz w:val="19"/>
          <w:szCs w:val="19"/>
          <w:lang w:val="en-GB"/>
        </w:rPr>
        <w:t xml:space="preserve">ransferable </w:t>
      </w:r>
      <w:r w:rsidR="009C26C2" w:rsidRPr="002121A4">
        <w:rPr>
          <w:sz w:val="19"/>
          <w:szCs w:val="19"/>
          <w:lang w:val="en-GB"/>
        </w:rPr>
        <w:t>s</w:t>
      </w:r>
      <w:r w:rsidR="00C77562" w:rsidRPr="002121A4">
        <w:rPr>
          <w:sz w:val="19"/>
          <w:szCs w:val="19"/>
          <w:lang w:val="en-GB"/>
        </w:rPr>
        <w:t>ecurities</w:t>
      </w:r>
      <w:r w:rsidR="00FF5F43" w:rsidRPr="002121A4">
        <w:rPr>
          <w:sz w:val="19"/>
          <w:szCs w:val="19"/>
          <w:lang w:val="en-GB"/>
        </w:rPr>
        <w:t xml:space="preserve">, cf. </w:t>
      </w:r>
      <w:r w:rsidR="00FF5F43" w:rsidRPr="002121A4">
        <w:rPr>
          <w:rFonts w:cs="Times New Roman"/>
          <w:sz w:val="19"/>
          <w:szCs w:val="19"/>
          <w:lang w:val="en-GB"/>
        </w:rPr>
        <w:t xml:space="preserve">→ UCITS Directive </w:t>
      </w:r>
    </w:p>
    <w:p w14:paraId="557EA5D3" w14:textId="330204F5" w:rsidR="00222FCB" w:rsidRPr="002121A4" w:rsidRDefault="00222FCB" w:rsidP="002F0E86">
      <w:pPr>
        <w:rPr>
          <w:sz w:val="19"/>
          <w:szCs w:val="19"/>
          <w:lang w:val="en-GB"/>
        </w:rPr>
      </w:pPr>
      <w:r w:rsidRPr="002121A4">
        <w:rPr>
          <w:b/>
          <w:sz w:val="19"/>
          <w:szCs w:val="19"/>
          <w:lang w:val="en-GB"/>
        </w:rPr>
        <w:t>UCITS Directive</w:t>
      </w:r>
      <w:r w:rsidR="002F0E86" w:rsidRPr="002121A4">
        <w:rPr>
          <w:sz w:val="19"/>
          <w:szCs w:val="19"/>
          <w:lang w:val="en-GB"/>
        </w:rPr>
        <w:t>  </w:t>
      </w:r>
      <w:proofErr w:type="spellStart"/>
      <w:r w:rsidR="002F0E86" w:rsidRPr="002121A4">
        <w:rPr>
          <w:sz w:val="19"/>
          <w:szCs w:val="19"/>
          <w:lang w:val="en-GB"/>
        </w:rPr>
        <w:t>Directive</w:t>
      </w:r>
      <w:proofErr w:type="spellEnd"/>
      <w:r w:rsidR="002F0E86" w:rsidRPr="002121A4">
        <w:rPr>
          <w:sz w:val="19"/>
          <w:szCs w:val="19"/>
          <w:lang w:val="en-GB"/>
        </w:rPr>
        <w:t xml:space="preserve"> 2009/65/EC of 13 July 2009 on the coordination of laws, regulations and administrative provisions relating to undertakings for collective investment in transferable securities (UCITS)</w:t>
      </w:r>
    </w:p>
    <w:p w14:paraId="6F84F21C" w14:textId="2FB56746" w:rsidR="004F551E" w:rsidRPr="002121A4" w:rsidRDefault="004F551E" w:rsidP="002F0E86">
      <w:pPr>
        <w:rPr>
          <w:rFonts w:cs="Times New Roman"/>
          <w:sz w:val="19"/>
          <w:szCs w:val="19"/>
          <w:lang w:val="en-GB"/>
        </w:rPr>
      </w:pPr>
      <w:r w:rsidRPr="002121A4">
        <w:rPr>
          <w:b/>
          <w:sz w:val="19"/>
          <w:szCs w:val="19"/>
          <w:lang w:val="en-GB"/>
        </w:rPr>
        <w:t xml:space="preserve">Undertakings for </w:t>
      </w:r>
      <w:r w:rsidR="009C26C2" w:rsidRPr="002121A4">
        <w:rPr>
          <w:b/>
          <w:sz w:val="19"/>
          <w:szCs w:val="19"/>
          <w:lang w:val="en-GB"/>
        </w:rPr>
        <w:t>c</w:t>
      </w:r>
      <w:r w:rsidRPr="002121A4">
        <w:rPr>
          <w:b/>
          <w:sz w:val="19"/>
          <w:szCs w:val="19"/>
          <w:lang w:val="en-GB"/>
        </w:rPr>
        <w:t xml:space="preserve">ollective </w:t>
      </w:r>
      <w:r w:rsidR="009C26C2" w:rsidRPr="002121A4">
        <w:rPr>
          <w:b/>
          <w:sz w:val="19"/>
          <w:szCs w:val="19"/>
          <w:lang w:val="en-GB"/>
        </w:rPr>
        <w:t>investment in transferable securities</w:t>
      </w:r>
      <w:r w:rsidR="009C26C2" w:rsidRPr="002121A4">
        <w:rPr>
          <w:sz w:val="19"/>
          <w:szCs w:val="19"/>
          <w:lang w:val="en-GB"/>
        </w:rPr>
        <w:t>  </w:t>
      </w:r>
      <w:r w:rsidR="009C26C2" w:rsidRPr="002121A4">
        <w:rPr>
          <w:rFonts w:cs="Times New Roman"/>
          <w:sz w:val="19"/>
          <w:szCs w:val="19"/>
          <w:lang w:val="en-GB"/>
        </w:rPr>
        <w:t>→ UCITS</w:t>
      </w:r>
    </w:p>
    <w:p w14:paraId="5D47AA5D" w14:textId="493D1E8E" w:rsidR="00073A8F" w:rsidRPr="002121A4" w:rsidRDefault="00073A8F" w:rsidP="002F0E86">
      <w:pPr>
        <w:rPr>
          <w:rFonts w:cs="Times New Roman"/>
          <w:sz w:val="19"/>
          <w:szCs w:val="19"/>
          <w:lang w:val="en-GB"/>
        </w:rPr>
      </w:pPr>
      <w:proofErr w:type="spellStart"/>
      <w:r w:rsidRPr="002121A4">
        <w:rPr>
          <w:rFonts w:cs="Times New Roman"/>
          <w:b/>
          <w:sz w:val="19"/>
          <w:szCs w:val="19"/>
          <w:lang w:val="en-GB"/>
        </w:rPr>
        <w:t>VermAnlG</w:t>
      </w:r>
      <w:proofErr w:type="spellEnd"/>
      <w:r w:rsidRPr="002121A4">
        <w:rPr>
          <w:rFonts w:cs="Times New Roman"/>
          <w:sz w:val="19"/>
          <w:szCs w:val="19"/>
          <w:lang w:val="en-GB"/>
        </w:rPr>
        <w:t>  </w:t>
      </w:r>
      <w:proofErr w:type="spellStart"/>
      <w:r w:rsidRPr="002121A4">
        <w:rPr>
          <w:rFonts w:cs="Times New Roman"/>
          <w:sz w:val="19"/>
          <w:szCs w:val="19"/>
          <w:lang w:val="en-GB"/>
        </w:rPr>
        <w:t>Vermögensanlagengesetz</w:t>
      </w:r>
      <w:proofErr w:type="spellEnd"/>
    </w:p>
    <w:p w14:paraId="48C9F7C4" w14:textId="5C5F281C" w:rsidR="00645CF7" w:rsidRPr="002121A4" w:rsidRDefault="00645CF7" w:rsidP="002F0E86">
      <w:pPr>
        <w:rPr>
          <w:rFonts w:cs="Times New Roman"/>
          <w:sz w:val="19"/>
          <w:szCs w:val="19"/>
          <w:lang w:val="en-GB"/>
        </w:rPr>
      </w:pPr>
      <w:proofErr w:type="spellStart"/>
      <w:r w:rsidRPr="002121A4">
        <w:rPr>
          <w:rFonts w:cs="Times New Roman"/>
          <w:b/>
          <w:sz w:val="19"/>
          <w:szCs w:val="19"/>
          <w:lang w:val="en-GB"/>
        </w:rPr>
        <w:t>Vorzugsaktie</w:t>
      </w:r>
      <w:proofErr w:type="spellEnd"/>
      <w:r w:rsidRPr="002121A4">
        <w:rPr>
          <w:rFonts w:cs="Times New Roman"/>
          <w:sz w:val="19"/>
          <w:szCs w:val="19"/>
          <w:lang w:val="en-GB"/>
        </w:rPr>
        <w:t>  → preferred stock</w:t>
      </w:r>
    </w:p>
    <w:p w14:paraId="1FDCD4EB" w14:textId="4DDAF0E5" w:rsidR="0099496E" w:rsidRPr="00503463" w:rsidRDefault="0099496E" w:rsidP="002F0E86">
      <w:pPr>
        <w:rPr>
          <w:rFonts w:cs="Times New Roman"/>
          <w:sz w:val="19"/>
          <w:szCs w:val="19"/>
          <w:lang w:val="en-GB"/>
        </w:rPr>
      </w:pPr>
      <w:r w:rsidRPr="002121A4">
        <w:rPr>
          <w:rFonts w:cs="Times New Roman"/>
          <w:b/>
          <w:sz w:val="19"/>
          <w:szCs w:val="19"/>
          <w:lang w:val="en-GB"/>
        </w:rPr>
        <w:t>Wholesale transaction </w:t>
      </w:r>
      <w:r w:rsidRPr="002121A4">
        <w:rPr>
          <w:rFonts w:cs="Times New Roman"/>
          <w:sz w:val="19"/>
          <w:szCs w:val="19"/>
          <w:lang w:val="en-GB"/>
        </w:rPr>
        <w:t> </w:t>
      </w:r>
      <w:r w:rsidRPr="002121A4">
        <w:rPr>
          <w:sz w:val="19"/>
          <w:szCs w:val="19"/>
          <w:lang w:val="en-GB"/>
        </w:rPr>
        <w:t xml:space="preserve">Refers to an exemption under the </w:t>
      </w:r>
      <w:r w:rsidRPr="002121A4">
        <w:rPr>
          <w:rFonts w:cs="Times New Roman"/>
          <w:sz w:val="19"/>
          <w:szCs w:val="19"/>
          <w:lang w:val="en-GB"/>
        </w:rPr>
        <w:t>→</w:t>
      </w:r>
      <w:r w:rsidRPr="002121A4">
        <w:rPr>
          <w:sz w:val="19"/>
          <w:szCs w:val="19"/>
          <w:lang w:val="en-GB"/>
        </w:rPr>
        <w:t> PR, see para. </w:t>
      </w:r>
      <w:r w:rsidRPr="002121A4">
        <w:rPr>
          <w:sz w:val="19"/>
          <w:szCs w:val="19"/>
          <w:lang w:val="en-GB"/>
        </w:rPr>
        <w:fldChar w:fldCharType="begin"/>
      </w:r>
      <w:r w:rsidRPr="002121A4">
        <w:rPr>
          <w:sz w:val="19"/>
          <w:szCs w:val="19"/>
          <w:lang w:val="en-GB"/>
        </w:rPr>
        <w:instrText xml:space="preserve"> REF _Ref130830685 \r \h </w:instrText>
      </w:r>
      <w:r w:rsidRPr="002121A4">
        <w:rPr>
          <w:sz w:val="19"/>
          <w:szCs w:val="19"/>
          <w:lang w:val="en-GB"/>
        </w:rPr>
      </w:r>
      <w:r w:rsidRPr="002121A4">
        <w:rPr>
          <w:sz w:val="19"/>
          <w:szCs w:val="19"/>
          <w:lang w:val="en-GB"/>
        </w:rPr>
        <w:fldChar w:fldCharType="separate"/>
      </w:r>
      <w:r w:rsidR="00D56145" w:rsidRPr="00503463">
        <w:rPr>
          <w:sz w:val="19"/>
          <w:szCs w:val="19"/>
          <w:lang w:val="en-GB"/>
        </w:rPr>
        <w:t>79</w:t>
      </w:r>
      <w:r w:rsidRPr="002121A4">
        <w:rPr>
          <w:sz w:val="19"/>
          <w:szCs w:val="19"/>
          <w:lang w:val="en-GB"/>
        </w:rPr>
        <w:fldChar w:fldCharType="end"/>
      </w:r>
    </w:p>
    <w:p w14:paraId="7FC20039" w14:textId="58F9B835" w:rsidR="007247DC" w:rsidRPr="00503463" w:rsidRDefault="007247DC" w:rsidP="002F0E86">
      <w:pPr>
        <w:rPr>
          <w:rFonts w:cs="Times New Roman"/>
          <w:b/>
          <w:sz w:val="19"/>
          <w:szCs w:val="19"/>
          <w:lang w:val="en-GB"/>
        </w:rPr>
      </w:pPr>
      <w:proofErr w:type="spellStart"/>
      <w:r w:rsidRPr="00503463">
        <w:rPr>
          <w:rFonts w:cs="Times New Roman"/>
          <w:b/>
          <w:sz w:val="19"/>
          <w:szCs w:val="19"/>
          <w:lang w:val="en-GB"/>
        </w:rPr>
        <w:t>WpAV</w:t>
      </w:r>
      <w:proofErr w:type="spellEnd"/>
      <w:r w:rsidRPr="00503463">
        <w:rPr>
          <w:rFonts w:cs="Times New Roman"/>
          <w:b/>
          <w:sz w:val="19"/>
          <w:szCs w:val="19"/>
          <w:lang w:val="en-GB"/>
        </w:rPr>
        <w:t>  </w:t>
      </w:r>
      <w:proofErr w:type="spellStart"/>
      <w:r w:rsidRPr="00503463">
        <w:rPr>
          <w:rFonts w:cs="Times New Roman"/>
          <w:sz w:val="19"/>
          <w:szCs w:val="19"/>
          <w:lang w:val="en-GB"/>
        </w:rPr>
        <w:t>Wertpapierhandelsanzeigeverordnung</w:t>
      </w:r>
      <w:proofErr w:type="spellEnd"/>
    </w:p>
    <w:p w14:paraId="6D5A8254" w14:textId="3FAA350D" w:rsidR="00A14116" w:rsidRPr="00503463" w:rsidRDefault="00A14116" w:rsidP="002F0E86">
      <w:pPr>
        <w:rPr>
          <w:rFonts w:cs="Times New Roman"/>
          <w:sz w:val="19"/>
          <w:szCs w:val="19"/>
          <w:lang w:val="en-GB"/>
        </w:rPr>
      </w:pPr>
      <w:proofErr w:type="spellStart"/>
      <w:r w:rsidRPr="00503463">
        <w:rPr>
          <w:rFonts w:cs="Times New Roman"/>
          <w:b/>
          <w:sz w:val="19"/>
          <w:szCs w:val="19"/>
          <w:lang w:val="en-GB"/>
        </w:rPr>
        <w:t>WpHG</w:t>
      </w:r>
      <w:proofErr w:type="spellEnd"/>
      <w:r w:rsidRPr="00503463">
        <w:rPr>
          <w:rFonts w:cs="Times New Roman"/>
          <w:sz w:val="19"/>
          <w:szCs w:val="19"/>
          <w:lang w:val="en-GB"/>
        </w:rPr>
        <w:t>  </w:t>
      </w:r>
      <w:proofErr w:type="spellStart"/>
      <w:r w:rsidRPr="00503463">
        <w:rPr>
          <w:rFonts w:cs="Times New Roman"/>
          <w:sz w:val="19"/>
          <w:szCs w:val="19"/>
          <w:lang w:val="en-GB"/>
        </w:rPr>
        <w:t>Wertpapierhandelsgesetz</w:t>
      </w:r>
      <w:proofErr w:type="spellEnd"/>
    </w:p>
    <w:p w14:paraId="3B972046" w14:textId="79C318AB" w:rsidR="001D2451" w:rsidRPr="00503463" w:rsidRDefault="001D2451" w:rsidP="002F0E86">
      <w:pPr>
        <w:rPr>
          <w:rFonts w:cs="Times New Roman"/>
          <w:sz w:val="19"/>
          <w:szCs w:val="19"/>
          <w:lang w:val="en-GB"/>
        </w:rPr>
      </w:pPr>
      <w:proofErr w:type="spellStart"/>
      <w:r w:rsidRPr="00503463">
        <w:rPr>
          <w:rFonts w:cs="Times New Roman"/>
          <w:b/>
          <w:sz w:val="19"/>
          <w:szCs w:val="19"/>
          <w:lang w:val="en-GB"/>
        </w:rPr>
        <w:t>WpPG</w:t>
      </w:r>
      <w:proofErr w:type="spellEnd"/>
      <w:r w:rsidRPr="00503463">
        <w:rPr>
          <w:rFonts w:cs="Times New Roman"/>
          <w:sz w:val="19"/>
          <w:szCs w:val="19"/>
          <w:lang w:val="en-GB"/>
        </w:rPr>
        <w:t>  </w:t>
      </w:r>
      <w:proofErr w:type="spellStart"/>
      <w:r w:rsidRPr="00503463">
        <w:rPr>
          <w:rFonts w:cs="Times New Roman"/>
          <w:sz w:val="19"/>
          <w:szCs w:val="19"/>
          <w:lang w:val="en-GB"/>
        </w:rPr>
        <w:t>Wertpapierprospektgesetz</w:t>
      </w:r>
      <w:proofErr w:type="spellEnd"/>
    </w:p>
    <w:p w14:paraId="4C9657B9" w14:textId="49A1E2B0" w:rsidR="00F37D3E" w:rsidRPr="00503463" w:rsidRDefault="00F37D3E" w:rsidP="00D52D2E">
      <w:pPr>
        <w:jc w:val="left"/>
        <w:rPr>
          <w:rFonts w:cs="Times New Roman"/>
          <w:sz w:val="19"/>
          <w:szCs w:val="19"/>
          <w:lang w:val="en-GB"/>
        </w:rPr>
      </w:pPr>
      <w:proofErr w:type="spellStart"/>
      <w:r w:rsidRPr="00503463">
        <w:rPr>
          <w:rFonts w:cs="Times New Roman"/>
          <w:b/>
          <w:sz w:val="19"/>
          <w:szCs w:val="19"/>
          <w:lang w:val="en-GB"/>
        </w:rPr>
        <w:t>WpÜG</w:t>
      </w:r>
      <w:proofErr w:type="spellEnd"/>
      <w:r w:rsidRPr="00503463">
        <w:rPr>
          <w:rFonts w:cs="Times New Roman"/>
          <w:sz w:val="19"/>
          <w:szCs w:val="19"/>
          <w:lang w:val="en-GB"/>
        </w:rPr>
        <w:t>  </w:t>
      </w:r>
      <w:proofErr w:type="spellStart"/>
      <w:r w:rsidRPr="00503463">
        <w:rPr>
          <w:rFonts w:cs="Times New Roman"/>
          <w:sz w:val="19"/>
          <w:szCs w:val="19"/>
          <w:lang w:val="en-GB"/>
        </w:rPr>
        <w:t>Wertpapiererwerbs</w:t>
      </w:r>
      <w:proofErr w:type="spellEnd"/>
      <w:r w:rsidRPr="00503463">
        <w:rPr>
          <w:rFonts w:cs="Times New Roman"/>
          <w:sz w:val="19"/>
          <w:szCs w:val="19"/>
          <w:lang w:val="en-GB"/>
        </w:rPr>
        <w:t xml:space="preserve">- und </w:t>
      </w:r>
      <w:proofErr w:type="spellStart"/>
      <w:r w:rsidR="00D52D2E" w:rsidRPr="00503463">
        <w:rPr>
          <w:rFonts w:cs="Times New Roman"/>
          <w:sz w:val="19"/>
          <w:szCs w:val="19"/>
          <w:lang w:val="en-GB"/>
        </w:rPr>
        <w:t>Übernahmegesetz</w:t>
      </w:r>
      <w:proofErr w:type="spellEnd"/>
    </w:p>
    <w:p w14:paraId="62825281" w14:textId="6226AEE4" w:rsidR="00C80210" w:rsidRPr="00503463" w:rsidRDefault="00C80210" w:rsidP="00D52D2E">
      <w:pPr>
        <w:jc w:val="left"/>
        <w:rPr>
          <w:rFonts w:cs="Times New Roman"/>
          <w:sz w:val="19"/>
          <w:szCs w:val="19"/>
          <w:lang w:val="en-GB"/>
        </w:rPr>
      </w:pPr>
      <w:proofErr w:type="spellStart"/>
      <w:r w:rsidRPr="00503463">
        <w:rPr>
          <w:rFonts w:cs="Times New Roman"/>
          <w:b/>
          <w:sz w:val="19"/>
          <w:szCs w:val="19"/>
          <w:lang w:val="en-GB"/>
        </w:rPr>
        <w:t>WpÜG</w:t>
      </w:r>
      <w:proofErr w:type="spellEnd"/>
      <w:r w:rsidRPr="00503463">
        <w:rPr>
          <w:rFonts w:cs="Times New Roman"/>
          <w:b/>
          <w:sz w:val="19"/>
          <w:szCs w:val="19"/>
          <w:lang w:val="en-GB"/>
        </w:rPr>
        <w:t>-AV</w:t>
      </w:r>
      <w:r w:rsidRPr="00503463">
        <w:rPr>
          <w:rFonts w:cs="Times New Roman"/>
          <w:sz w:val="19"/>
          <w:szCs w:val="19"/>
          <w:lang w:val="en-GB"/>
        </w:rPr>
        <w:t>  </w:t>
      </w:r>
      <w:proofErr w:type="spellStart"/>
      <w:r w:rsidRPr="00503463">
        <w:rPr>
          <w:rFonts w:cs="Times New Roman"/>
          <w:sz w:val="19"/>
          <w:szCs w:val="19"/>
          <w:lang w:val="en-GB"/>
        </w:rPr>
        <w:t>WpÜG-Angebotsverordnung</w:t>
      </w:r>
      <w:proofErr w:type="spellEnd"/>
    </w:p>
    <w:p w14:paraId="7DC83A6F" w14:textId="0576B67B" w:rsidR="00593593" w:rsidRPr="00503463" w:rsidRDefault="00593593">
      <w:pPr>
        <w:spacing w:before="0" w:after="160" w:line="259" w:lineRule="auto"/>
        <w:jc w:val="left"/>
        <w:rPr>
          <w:rFonts w:cs="Times New Roman"/>
          <w:sz w:val="19"/>
          <w:szCs w:val="19"/>
          <w:lang w:val="en-GB"/>
        </w:rPr>
      </w:pPr>
      <w:r w:rsidRPr="00503463">
        <w:rPr>
          <w:rFonts w:cs="Times New Roman"/>
          <w:sz w:val="19"/>
          <w:szCs w:val="19"/>
          <w:lang w:val="en-GB"/>
        </w:rPr>
        <w:br w:type="page"/>
      </w:r>
    </w:p>
    <w:p w14:paraId="09567EE5" w14:textId="77777777" w:rsidR="00593593" w:rsidRPr="00503463" w:rsidRDefault="00593593" w:rsidP="00D52D2E">
      <w:pPr>
        <w:jc w:val="left"/>
        <w:rPr>
          <w:sz w:val="19"/>
          <w:szCs w:val="19"/>
          <w:lang w:val="en-GB"/>
        </w:rPr>
        <w:sectPr w:rsidR="00593593" w:rsidRPr="00503463" w:rsidSect="00B020B1">
          <w:type w:val="continuous"/>
          <w:pgSz w:w="11906" w:h="16838"/>
          <w:pgMar w:top="1418" w:right="1440" w:bottom="1418" w:left="1440" w:header="426" w:footer="724" w:gutter="0"/>
          <w:cols w:num="2" w:space="708"/>
          <w:titlePg/>
          <w:docGrid w:linePitch="360"/>
        </w:sectPr>
      </w:pPr>
    </w:p>
    <w:p w14:paraId="36432D6E" w14:textId="6FDF6EE5" w:rsidR="00593593" w:rsidRDefault="00593593" w:rsidP="007460AB">
      <w:pPr>
        <w:pStyle w:val="berschrift1"/>
        <w:rPr>
          <w:lang w:val="en-GB"/>
        </w:rPr>
      </w:pPr>
      <w:bookmarkStart w:id="173" w:name="_Toc194577787"/>
      <w:r w:rsidRPr="002121A4">
        <w:rPr>
          <w:lang w:val="en-GB"/>
        </w:rPr>
        <w:lastRenderedPageBreak/>
        <w:t>Case Notes</w:t>
      </w:r>
      <w:bookmarkEnd w:id="173"/>
    </w:p>
    <w:p w14:paraId="53784792" w14:textId="280D710E" w:rsidR="00E65F07" w:rsidRDefault="00EE6417" w:rsidP="00EE6417">
      <w:pPr>
        <w:rPr>
          <w:sz w:val="19"/>
          <w:szCs w:val="19"/>
          <w:lang w:val="en-GB"/>
        </w:rPr>
      </w:pPr>
      <w:proofErr w:type="spellStart"/>
      <w:r w:rsidRPr="00EE6417">
        <w:rPr>
          <w:sz w:val="19"/>
          <w:szCs w:val="19"/>
          <w:lang w:val="en-GB"/>
        </w:rPr>
        <w:t>Notabene</w:t>
      </w:r>
      <w:proofErr w:type="spellEnd"/>
      <w:r w:rsidRPr="00EE6417">
        <w:rPr>
          <w:sz w:val="19"/>
          <w:szCs w:val="19"/>
          <w:lang w:val="en-GB"/>
        </w:rPr>
        <w:t xml:space="preserve">: These notes </w:t>
      </w:r>
      <w:r w:rsidR="00533ECE">
        <w:rPr>
          <w:sz w:val="19"/>
          <w:szCs w:val="19"/>
          <w:lang w:val="en-GB"/>
        </w:rPr>
        <w:t xml:space="preserve">only </w:t>
      </w:r>
      <w:r w:rsidRPr="00EE6417">
        <w:rPr>
          <w:sz w:val="19"/>
          <w:szCs w:val="19"/>
          <w:lang w:val="en-GB"/>
        </w:rPr>
        <w:t xml:space="preserve">serve the purpose of “refreshing” </w:t>
      </w:r>
      <w:r w:rsidR="00533ECE">
        <w:rPr>
          <w:sz w:val="19"/>
          <w:szCs w:val="19"/>
          <w:lang w:val="en-GB"/>
        </w:rPr>
        <w:t xml:space="preserve">notes taken </w:t>
      </w:r>
      <w:r w:rsidRPr="00EE6417">
        <w:rPr>
          <w:sz w:val="19"/>
          <w:szCs w:val="19"/>
          <w:lang w:val="en-GB"/>
        </w:rPr>
        <w:t xml:space="preserve">in class. </w:t>
      </w:r>
      <w:r w:rsidR="00E65F07">
        <w:rPr>
          <w:sz w:val="19"/>
          <w:szCs w:val="19"/>
          <w:lang w:val="en-GB"/>
        </w:rPr>
        <w:t>They are not an equivalent for the reading assignments (see end of each chapter) and the case law referred to in this course booklet.</w:t>
      </w:r>
    </w:p>
    <w:p w14:paraId="5E8E1882" w14:textId="51403432" w:rsidR="00593593" w:rsidRPr="002121A4" w:rsidRDefault="00593593" w:rsidP="003B56F6">
      <w:pPr>
        <w:rPr>
          <w:sz w:val="19"/>
          <w:szCs w:val="19"/>
          <w:lang w:val="en-GB"/>
        </w:rPr>
      </w:pPr>
      <w:r w:rsidRPr="002121A4">
        <w:rPr>
          <w:b/>
          <w:sz w:val="19"/>
          <w:szCs w:val="19"/>
          <w:lang w:val="en-GB"/>
        </w:rPr>
        <w:fldChar w:fldCharType="begin"/>
      </w:r>
      <w:r w:rsidRPr="002121A4">
        <w:rPr>
          <w:b/>
          <w:sz w:val="19"/>
          <w:szCs w:val="19"/>
          <w:lang w:val="en-GB"/>
        </w:rPr>
        <w:instrText xml:space="preserve"> REF _Ref163121297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_Ref163121297 \h </w:instrText>
      </w:r>
      <w:r w:rsidRPr="002121A4">
        <w:rPr>
          <w:b/>
          <w:sz w:val="19"/>
          <w:szCs w:val="19"/>
          <w:lang w:val="en-GB"/>
        </w:rPr>
      </w:r>
      <w:r w:rsidRPr="002121A4">
        <w:rPr>
          <w:b/>
          <w:sz w:val="19"/>
          <w:szCs w:val="19"/>
          <w:lang w:val="en-GB"/>
        </w:rPr>
        <w:fldChar w:fldCharType="separate"/>
      </w:r>
      <w:r w:rsidR="00D56145">
        <w:rPr>
          <w:b/>
          <w:noProof/>
          <w:sz w:val="19"/>
          <w:szCs w:val="19"/>
          <w:lang w:val="en-GB"/>
        </w:rPr>
        <w:t>4</w:t>
      </w:r>
      <w:r w:rsidRPr="002121A4">
        <w:rPr>
          <w:b/>
          <w:sz w:val="19"/>
          <w:szCs w:val="19"/>
          <w:lang w:val="en-GB"/>
        </w:rPr>
        <w:fldChar w:fldCharType="end"/>
      </w:r>
      <w:r w:rsidRPr="002121A4">
        <w:rPr>
          <w:b/>
          <w:sz w:val="19"/>
          <w:szCs w:val="19"/>
          <w:lang w:val="en-GB"/>
        </w:rPr>
        <w:t>).</w:t>
      </w:r>
      <w:r w:rsidRPr="002121A4">
        <w:rPr>
          <w:sz w:val="19"/>
          <w:szCs w:val="19"/>
          <w:lang w:val="en-GB"/>
        </w:rPr>
        <w:t xml:space="preserve"> The case study shows how English language and</w:t>
      </w:r>
      <w:r w:rsidR="0023410D">
        <w:rPr>
          <w:sz w:val="19"/>
          <w:szCs w:val="19"/>
          <w:lang w:val="en-GB"/>
        </w:rPr>
        <w:t xml:space="preserve"> English</w:t>
      </w:r>
      <w:r w:rsidRPr="002121A4">
        <w:rPr>
          <w:sz w:val="19"/>
          <w:szCs w:val="19"/>
          <w:lang w:val="en-GB"/>
        </w:rPr>
        <w:t xml:space="preserve"> legal terminology is important for capital market law and practice: EU legislation is drafted and agreed in English, and translations in other EU languages are often affected by inaccuracies and errors</w:t>
      </w:r>
      <w:r w:rsidR="0023410D">
        <w:rPr>
          <w:sz w:val="19"/>
          <w:szCs w:val="19"/>
          <w:lang w:val="en-GB"/>
        </w:rPr>
        <w:t xml:space="preserve"> (and, as the example of the Listing Act shows, may only be available with significant delay)</w:t>
      </w:r>
      <w:r w:rsidRPr="002121A4">
        <w:rPr>
          <w:sz w:val="19"/>
          <w:szCs w:val="19"/>
          <w:lang w:val="en-GB"/>
        </w:rPr>
        <w:t>. In addition, there is a tendency to use English for transactional documents and disclosures whenever possible. Last but not least, some commentary and administrative guidance is prepared in English only, as is the case for the ESMA Single Rulebook.</w:t>
      </w:r>
    </w:p>
    <w:p w14:paraId="03BE3982" w14:textId="478B3486" w:rsidR="007460AB" w:rsidRPr="002121A4" w:rsidRDefault="007460AB" w:rsidP="00D52D2E">
      <w:pPr>
        <w:jc w:val="left"/>
        <w:rPr>
          <w:b/>
          <w:sz w:val="19"/>
          <w:szCs w:val="19"/>
          <w:lang w:val="en-GB"/>
        </w:rPr>
      </w:pPr>
      <w:r w:rsidRPr="002121A4">
        <w:rPr>
          <w:b/>
          <w:sz w:val="19"/>
          <w:szCs w:val="19"/>
          <w:lang w:val="en-GB"/>
        </w:rPr>
        <w:fldChar w:fldCharType="begin"/>
      </w:r>
      <w:r w:rsidRPr="002121A4">
        <w:rPr>
          <w:b/>
          <w:sz w:val="19"/>
          <w:szCs w:val="19"/>
          <w:lang w:val="en-GB"/>
        </w:rPr>
        <w:instrText xml:space="preserve"> REF _Ref150080601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_Ref150080601 \h </w:instrText>
      </w:r>
      <w:r w:rsidRPr="002121A4">
        <w:rPr>
          <w:b/>
          <w:sz w:val="19"/>
          <w:szCs w:val="19"/>
          <w:lang w:val="en-GB"/>
        </w:rPr>
      </w:r>
      <w:r w:rsidRPr="002121A4">
        <w:rPr>
          <w:b/>
          <w:sz w:val="19"/>
          <w:szCs w:val="19"/>
          <w:lang w:val="en-GB"/>
        </w:rPr>
        <w:fldChar w:fldCharType="separate"/>
      </w:r>
      <w:r w:rsidR="00D56145">
        <w:rPr>
          <w:b/>
          <w:noProof/>
          <w:sz w:val="19"/>
          <w:szCs w:val="19"/>
          <w:lang w:val="en-GB"/>
        </w:rPr>
        <w:t>5</w:t>
      </w:r>
      <w:r w:rsidRPr="002121A4">
        <w:rPr>
          <w:b/>
          <w:sz w:val="19"/>
          <w:szCs w:val="19"/>
          <w:lang w:val="en-GB"/>
        </w:rPr>
        <w:fldChar w:fldCharType="end"/>
      </w:r>
      <w:r w:rsidRPr="002121A4">
        <w:rPr>
          <w:b/>
          <w:sz w:val="19"/>
          <w:szCs w:val="19"/>
          <w:lang w:val="en-GB"/>
        </w:rPr>
        <w:t>).</w:t>
      </w:r>
    </w:p>
    <w:tbl>
      <w:tblPr>
        <w:tblW w:w="8364" w:type="dxa"/>
        <w:tblInd w:w="557" w:type="dxa"/>
        <w:tblLayout w:type="fixed"/>
        <w:tblCellMar>
          <w:left w:w="0" w:type="dxa"/>
          <w:right w:w="0" w:type="dxa"/>
        </w:tblCellMar>
        <w:tblLook w:val="04A0" w:firstRow="1" w:lastRow="0" w:firstColumn="1" w:lastColumn="0" w:noHBand="0" w:noVBand="1"/>
      </w:tblPr>
      <w:tblGrid>
        <w:gridCol w:w="1134"/>
        <w:gridCol w:w="1205"/>
        <w:gridCol w:w="1205"/>
        <w:gridCol w:w="1205"/>
        <w:gridCol w:w="1205"/>
        <w:gridCol w:w="1205"/>
        <w:gridCol w:w="1205"/>
      </w:tblGrid>
      <w:tr w:rsidR="007460AB" w:rsidRPr="002121A4" w14:paraId="13334291" w14:textId="77777777" w:rsidTr="00312881">
        <w:trPr>
          <w:trHeight w:val="1302"/>
        </w:trPr>
        <w:tc>
          <w:tcPr>
            <w:tcW w:w="1134"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70BF3493" w14:textId="77777777" w:rsidR="007460AB" w:rsidRPr="002121A4" w:rsidRDefault="007460AB" w:rsidP="00312881">
            <w:pPr>
              <w:jc w:val="right"/>
              <w:rPr>
                <w:sz w:val="18"/>
                <w:szCs w:val="18"/>
                <w:lang w:val="en-GB"/>
              </w:rPr>
            </w:pPr>
            <w:r w:rsidRPr="002121A4">
              <w:rPr>
                <w:sz w:val="18"/>
                <w:szCs w:val="18"/>
                <w:lang w:val="en-GB"/>
              </w:rPr>
              <w:t>Investors’ view</w:t>
            </w:r>
          </w:p>
          <w:p w14:paraId="7250E1A3" w14:textId="77777777" w:rsidR="007460AB" w:rsidRPr="002121A4" w:rsidRDefault="007460AB" w:rsidP="00312881">
            <w:pPr>
              <w:jc w:val="left"/>
              <w:rPr>
                <w:sz w:val="18"/>
                <w:szCs w:val="18"/>
                <w:lang w:val="en-GB"/>
              </w:rPr>
            </w:pPr>
            <w:r w:rsidRPr="002121A4">
              <w:rPr>
                <w:sz w:val="18"/>
                <w:szCs w:val="18"/>
                <w:lang w:val="en-GB"/>
              </w:rPr>
              <w:t xml:space="preserve">Type of </w:t>
            </w:r>
            <w:r w:rsidRPr="002121A4">
              <w:rPr>
                <w:sz w:val="18"/>
                <w:szCs w:val="18"/>
                <w:lang w:val="en-GB"/>
              </w:rPr>
              <w:br/>
              <w:t>instrument</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3ED1C55" w14:textId="77777777" w:rsidR="007460AB" w:rsidRPr="002121A4" w:rsidRDefault="007460AB" w:rsidP="00312881">
            <w:pPr>
              <w:jc w:val="center"/>
              <w:rPr>
                <w:sz w:val="18"/>
                <w:szCs w:val="18"/>
                <w:lang w:val="en-GB"/>
              </w:rPr>
            </w:pPr>
            <w:r w:rsidRPr="002121A4">
              <w:rPr>
                <w:sz w:val="18"/>
                <w:szCs w:val="18"/>
                <w:lang w:val="en-GB"/>
              </w:rPr>
              <w:t>Legal texts determining investors’ rights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5A64B4EE" w14:textId="77777777" w:rsidR="007460AB" w:rsidRPr="002121A4" w:rsidRDefault="007460AB" w:rsidP="00312881">
            <w:pPr>
              <w:jc w:val="center"/>
              <w:rPr>
                <w:sz w:val="18"/>
                <w:szCs w:val="18"/>
                <w:lang w:val="en-GB"/>
              </w:rPr>
            </w:pPr>
            <w:r w:rsidRPr="002121A4">
              <w:rPr>
                <w:sz w:val="18"/>
                <w:szCs w:val="18"/>
                <w:lang w:val="en-GB"/>
              </w:rPr>
              <w:t>Investors’ economic motivation</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647DF64F" w14:textId="77777777" w:rsidR="007460AB" w:rsidRPr="002121A4" w:rsidRDefault="007460AB" w:rsidP="00312881">
            <w:pPr>
              <w:jc w:val="center"/>
              <w:rPr>
                <w:sz w:val="18"/>
                <w:szCs w:val="18"/>
                <w:lang w:val="en-GB"/>
              </w:rPr>
            </w:pPr>
            <w:r w:rsidRPr="002121A4">
              <w:rPr>
                <w:sz w:val="18"/>
                <w:szCs w:val="18"/>
                <w:lang w:val="en-GB"/>
              </w:rPr>
              <w:t>Investors’ exposure to losses</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F5F2B76" w14:textId="77777777" w:rsidR="007460AB" w:rsidRPr="002121A4" w:rsidRDefault="007460AB" w:rsidP="00312881">
            <w:pPr>
              <w:jc w:val="center"/>
              <w:rPr>
                <w:sz w:val="18"/>
                <w:szCs w:val="18"/>
                <w:lang w:val="en-GB"/>
              </w:rPr>
            </w:pPr>
            <w:r w:rsidRPr="002121A4">
              <w:rPr>
                <w:sz w:val="18"/>
                <w:szCs w:val="18"/>
                <w:lang w:val="en-GB"/>
              </w:rPr>
              <w:t xml:space="preserve">Investors’ </w:t>
            </w:r>
            <w:r w:rsidRPr="002121A4">
              <w:rPr>
                <w:sz w:val="18"/>
                <w:szCs w:val="18"/>
                <w:lang w:val="en-GB"/>
              </w:rPr>
              <w:br/>
              <w:t>in</w:t>
            </w:r>
            <w:r w:rsidRPr="002121A4">
              <w:rPr>
                <w:sz w:val="18"/>
                <w:szCs w:val="18"/>
                <w:lang w:val="en-GB"/>
              </w:rPr>
              <w:softHyphen/>
              <w:t>fluence on issuer</w:t>
            </w:r>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111323E3" w14:textId="77777777" w:rsidR="007460AB" w:rsidRPr="00F9205E" w:rsidRDefault="007460AB" w:rsidP="00312881">
            <w:pPr>
              <w:jc w:val="center"/>
              <w:rPr>
                <w:sz w:val="18"/>
                <w:szCs w:val="18"/>
                <w:lang w:val="it-IT"/>
              </w:rPr>
            </w:pPr>
            <w:proofErr w:type="spellStart"/>
            <w:r w:rsidRPr="00F9205E">
              <w:rPr>
                <w:sz w:val="18"/>
                <w:szCs w:val="18"/>
                <w:lang w:val="it-IT"/>
              </w:rPr>
              <w:t>Investors</w:t>
            </w:r>
            <w:proofErr w:type="spellEnd"/>
            <w:r w:rsidRPr="00F9205E">
              <w:rPr>
                <w:sz w:val="18"/>
                <w:szCs w:val="18"/>
                <w:lang w:val="it-IT"/>
              </w:rPr>
              <w:t xml:space="preserve">’ </w:t>
            </w:r>
            <w:r w:rsidRPr="00F9205E">
              <w:rPr>
                <w:sz w:val="18"/>
                <w:szCs w:val="18"/>
                <w:lang w:val="it-IT"/>
              </w:rPr>
              <w:br/>
              <w:t>po</w:t>
            </w:r>
            <w:r w:rsidRPr="00F9205E">
              <w:rPr>
                <w:sz w:val="18"/>
                <w:szCs w:val="18"/>
                <w:lang w:val="it-IT"/>
              </w:rPr>
              <w:softHyphen/>
              <w:t>si</w:t>
            </w:r>
            <w:r w:rsidRPr="00F9205E">
              <w:rPr>
                <w:sz w:val="18"/>
                <w:szCs w:val="18"/>
                <w:lang w:val="it-IT"/>
              </w:rPr>
              <w:softHyphen/>
              <w:t xml:space="preserve">tion in </w:t>
            </w:r>
            <w:proofErr w:type="spellStart"/>
            <w:r w:rsidRPr="00F9205E">
              <w:rPr>
                <w:sz w:val="18"/>
                <w:szCs w:val="18"/>
                <w:lang w:val="it-IT"/>
              </w:rPr>
              <w:t>issuer’s</w:t>
            </w:r>
            <w:proofErr w:type="spellEnd"/>
            <w:r w:rsidRPr="00F9205E">
              <w:rPr>
                <w:sz w:val="18"/>
                <w:szCs w:val="18"/>
                <w:lang w:val="it-IT"/>
              </w:rPr>
              <w:t xml:space="preserve"> </w:t>
            </w:r>
            <w:proofErr w:type="spellStart"/>
            <w:r w:rsidRPr="00F9205E">
              <w:rPr>
                <w:sz w:val="18"/>
                <w:szCs w:val="18"/>
                <w:lang w:val="it-IT"/>
              </w:rPr>
              <w:t>insolvency</w:t>
            </w:r>
            <w:proofErr w:type="spellEnd"/>
          </w:p>
        </w:tc>
        <w:tc>
          <w:tcPr>
            <w:tcW w:w="1205"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6548306" w14:textId="77777777" w:rsidR="007460AB" w:rsidRPr="002121A4" w:rsidRDefault="007460AB" w:rsidP="00312881">
            <w:pPr>
              <w:jc w:val="center"/>
              <w:rPr>
                <w:sz w:val="18"/>
                <w:szCs w:val="18"/>
                <w:lang w:val="en-GB"/>
              </w:rPr>
            </w:pPr>
            <w:r w:rsidRPr="002121A4">
              <w:rPr>
                <w:sz w:val="18"/>
                <w:szCs w:val="18"/>
                <w:lang w:val="en-GB"/>
              </w:rPr>
              <w:t xml:space="preserve">Investors’ </w:t>
            </w:r>
            <w:r w:rsidRPr="002121A4">
              <w:rPr>
                <w:sz w:val="18"/>
                <w:szCs w:val="18"/>
                <w:lang w:val="en-GB"/>
              </w:rPr>
              <w:br/>
              <w:t>risk by comparison</w:t>
            </w:r>
          </w:p>
        </w:tc>
      </w:tr>
      <w:tr w:rsidR="007460AB" w:rsidRPr="002121A4" w14:paraId="336CA7C3" w14:textId="77777777" w:rsidTr="00312881">
        <w:trPr>
          <w:trHeight w:val="854"/>
        </w:trPr>
        <w:tc>
          <w:tcPr>
            <w:tcW w:w="1134" w:type="dxa"/>
            <w:tcBorders>
              <w:top w:val="single" w:sz="24"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vAlign w:val="center"/>
            <w:hideMark/>
          </w:tcPr>
          <w:p w14:paraId="308D6FCC" w14:textId="77777777" w:rsidR="007460AB" w:rsidRPr="002121A4" w:rsidRDefault="007460AB" w:rsidP="00312881">
            <w:pPr>
              <w:rPr>
                <w:sz w:val="18"/>
                <w:szCs w:val="18"/>
                <w:lang w:val="en-GB"/>
              </w:rPr>
            </w:pPr>
            <w:r w:rsidRPr="002121A4">
              <w:rPr>
                <w:sz w:val="18"/>
                <w:szCs w:val="18"/>
                <w:lang w:val="en-GB"/>
              </w:rPr>
              <w:t>Ordinary</w:t>
            </w:r>
            <w:r w:rsidRPr="002121A4">
              <w:rPr>
                <w:sz w:val="18"/>
                <w:szCs w:val="18"/>
                <w:lang w:val="en-GB"/>
              </w:rPr>
              <w:br/>
              <w:t>Shares</w:t>
            </w:r>
            <w:r w:rsidRPr="002121A4">
              <w:rPr>
                <w:sz w:val="18"/>
                <w:szCs w:val="18"/>
                <w:lang w:val="en-GB"/>
              </w:rPr>
              <w:br/>
              <w:t xml:space="preserve">(equity </w:t>
            </w:r>
            <w:r w:rsidRPr="002121A4">
              <w:rPr>
                <w:sz w:val="18"/>
                <w:szCs w:val="18"/>
                <w:lang w:val="en-GB"/>
              </w:rPr>
              <w:br/>
              <w:t>investment)</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D06A4A6" w14:textId="77777777" w:rsidR="007460AB" w:rsidRPr="002121A4" w:rsidRDefault="007460AB" w:rsidP="00312881">
            <w:pPr>
              <w:jc w:val="left"/>
              <w:rPr>
                <w:sz w:val="16"/>
                <w:szCs w:val="16"/>
                <w:lang w:val="en-GB"/>
              </w:rPr>
            </w:pPr>
            <w:r w:rsidRPr="002121A4">
              <w:rPr>
                <w:sz w:val="16"/>
                <w:szCs w:val="16"/>
                <w:lang w:val="en-GB"/>
              </w:rPr>
              <w:t>Stock company law, by-laws or articles of association</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42E74F58" w14:textId="77777777" w:rsidR="007460AB" w:rsidRPr="002121A4" w:rsidRDefault="007460AB" w:rsidP="00312881">
            <w:pPr>
              <w:jc w:val="left"/>
              <w:rPr>
                <w:sz w:val="18"/>
                <w:szCs w:val="18"/>
                <w:lang w:val="en-GB"/>
              </w:rPr>
            </w:pPr>
            <w:r w:rsidRPr="002121A4">
              <w:rPr>
                <w:sz w:val="16"/>
                <w:szCs w:val="16"/>
                <w:lang w:val="en-GB"/>
              </w:rPr>
              <w:t>Profit participation (dividend, increase in company value), voting right</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EDBB10B" w14:textId="77777777" w:rsidR="007460AB" w:rsidRPr="002121A4" w:rsidRDefault="007460AB" w:rsidP="00312881">
            <w:pPr>
              <w:rPr>
                <w:sz w:val="18"/>
                <w:szCs w:val="18"/>
                <w:lang w:val="en-GB"/>
              </w:rPr>
            </w:pPr>
            <w:r w:rsidRPr="002121A4">
              <w:rPr>
                <w:sz w:val="16"/>
                <w:szCs w:val="16"/>
                <w:lang w:val="en-GB"/>
              </w:rPr>
              <w:t>High (losses will directly affect dividend p</w:t>
            </w:r>
            <w:r w:rsidRPr="002121A4">
              <w:rPr>
                <w:sz w:val="18"/>
                <w:szCs w:val="18"/>
                <w:lang w:val="en-GB"/>
              </w:rPr>
              <w:t>ayment capacity and company value)</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0D23D72E" w14:textId="77777777" w:rsidR="007460AB" w:rsidRPr="002121A4" w:rsidRDefault="007460AB" w:rsidP="00312881">
            <w:pPr>
              <w:jc w:val="left"/>
              <w:rPr>
                <w:sz w:val="16"/>
                <w:szCs w:val="16"/>
                <w:lang w:val="en-GB"/>
              </w:rPr>
            </w:pPr>
            <w:r w:rsidRPr="002121A4">
              <w:rPr>
                <w:sz w:val="16"/>
                <w:szCs w:val="16"/>
                <w:lang w:val="en-GB"/>
              </w:rPr>
              <w:t>High (shareholders vote at shareholder assembly, in particular, as regards supervisory board composition</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3302AD91" w14:textId="77777777" w:rsidR="007460AB" w:rsidRPr="002121A4" w:rsidRDefault="007460AB" w:rsidP="00312881">
            <w:pPr>
              <w:jc w:val="left"/>
              <w:rPr>
                <w:sz w:val="16"/>
                <w:szCs w:val="16"/>
                <w:lang w:val="en-GB"/>
              </w:rPr>
            </w:pPr>
            <w:r w:rsidRPr="002121A4">
              <w:rPr>
                <w:sz w:val="16"/>
                <w:szCs w:val="16"/>
                <w:lang w:val="en-GB"/>
              </w:rPr>
              <w:t>Shareholders rank last in distribution of dissolution proceeds</w:t>
            </w:r>
          </w:p>
        </w:tc>
        <w:tc>
          <w:tcPr>
            <w:tcW w:w="1205" w:type="dxa"/>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08C973D0" w14:textId="77777777" w:rsidR="007460AB" w:rsidRPr="002121A4" w:rsidRDefault="007460AB" w:rsidP="00312881">
            <w:pPr>
              <w:jc w:val="left"/>
              <w:rPr>
                <w:sz w:val="16"/>
                <w:szCs w:val="16"/>
                <w:lang w:val="en-GB"/>
              </w:rPr>
            </w:pPr>
            <w:r w:rsidRPr="002121A4">
              <w:rPr>
                <w:sz w:val="16"/>
                <w:szCs w:val="16"/>
                <w:lang w:val="en-GB"/>
              </w:rPr>
              <w:t>High</w:t>
            </w:r>
          </w:p>
        </w:tc>
      </w:tr>
      <w:tr w:rsidR="007460AB" w:rsidRPr="002121A4" w14:paraId="696EB6A4" w14:textId="77777777" w:rsidTr="00312881">
        <w:trPr>
          <w:trHeight w:val="557"/>
        </w:trPr>
        <w:tc>
          <w:tcPr>
            <w:tcW w:w="1134"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6A6CBC54" w14:textId="77777777" w:rsidR="007460AB" w:rsidRPr="002121A4" w:rsidRDefault="007460AB" w:rsidP="00312881">
            <w:pPr>
              <w:rPr>
                <w:sz w:val="18"/>
                <w:szCs w:val="18"/>
                <w:lang w:val="en-GB"/>
              </w:rPr>
            </w:pPr>
            <w:r w:rsidRPr="002121A4">
              <w:rPr>
                <w:sz w:val="18"/>
                <w:szCs w:val="18"/>
                <w:lang w:val="en-GB"/>
              </w:rPr>
              <w:t>Standard Bonds</w:t>
            </w:r>
            <w:r w:rsidRPr="002121A4">
              <w:rPr>
                <w:sz w:val="18"/>
                <w:szCs w:val="18"/>
                <w:lang w:val="en-GB"/>
              </w:rPr>
              <w:br/>
              <w:t>(debt</w:t>
            </w:r>
            <w:r w:rsidRPr="002121A4">
              <w:rPr>
                <w:sz w:val="18"/>
                <w:szCs w:val="18"/>
                <w:lang w:val="en-GB"/>
              </w:rPr>
              <w:br/>
              <w:t>investment)</w:t>
            </w:r>
          </w:p>
          <w:p w14:paraId="6881D035" w14:textId="77777777" w:rsidR="007460AB" w:rsidRPr="002121A4" w:rsidRDefault="007460AB" w:rsidP="00312881">
            <w:pPr>
              <w:rPr>
                <w:sz w:val="18"/>
                <w:szCs w:val="18"/>
                <w:lang w:val="en-GB"/>
              </w:rPr>
            </w:pP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571D7E75" w14:textId="77777777" w:rsidR="007460AB" w:rsidRPr="002121A4" w:rsidRDefault="007460AB" w:rsidP="00312881">
            <w:pPr>
              <w:jc w:val="left"/>
              <w:rPr>
                <w:sz w:val="18"/>
                <w:szCs w:val="18"/>
                <w:lang w:val="en-GB"/>
              </w:rPr>
            </w:pPr>
            <w:r w:rsidRPr="002121A4">
              <w:rPr>
                <w:sz w:val="16"/>
                <w:szCs w:val="16"/>
                <w:lang w:val="en-GB"/>
              </w:rPr>
              <w:t>Terms and conditions of the bond</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21893C5A" w14:textId="77777777" w:rsidR="007460AB" w:rsidRPr="002121A4" w:rsidRDefault="007460AB" w:rsidP="00312881">
            <w:pPr>
              <w:jc w:val="left"/>
              <w:rPr>
                <w:sz w:val="18"/>
                <w:szCs w:val="18"/>
                <w:lang w:val="en-GB"/>
              </w:rPr>
            </w:pPr>
            <w:r w:rsidRPr="002121A4">
              <w:rPr>
                <w:sz w:val="16"/>
                <w:szCs w:val="16"/>
                <w:lang w:val="en-GB"/>
              </w:rPr>
              <w:t>Payment of interest, and redemption of principal at maturity</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28DD071D" w14:textId="77777777" w:rsidR="007460AB" w:rsidRPr="002121A4" w:rsidRDefault="007460AB" w:rsidP="00312881">
            <w:pPr>
              <w:jc w:val="left"/>
              <w:rPr>
                <w:sz w:val="16"/>
                <w:szCs w:val="16"/>
                <w:lang w:val="en-GB"/>
              </w:rPr>
            </w:pPr>
            <w:r w:rsidRPr="002121A4">
              <w:rPr>
                <w:sz w:val="16"/>
                <w:szCs w:val="16"/>
                <w:lang w:val="en-GB"/>
              </w:rPr>
              <w:t>Low (absent insolvency, losses do not affect bondholder rights)</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4266A2C6" w14:textId="77777777" w:rsidR="007460AB" w:rsidRPr="002121A4" w:rsidRDefault="007460AB" w:rsidP="00312881">
            <w:pPr>
              <w:jc w:val="left"/>
              <w:rPr>
                <w:sz w:val="16"/>
                <w:szCs w:val="16"/>
                <w:lang w:val="en-GB"/>
              </w:rPr>
            </w:pPr>
            <w:r w:rsidRPr="002121A4">
              <w:rPr>
                <w:sz w:val="16"/>
                <w:szCs w:val="16"/>
                <w:lang w:val="en-GB"/>
              </w:rPr>
              <w:t>Low (bondholders have no voting rights at shareholder assembly)</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767F6B74" w14:textId="77777777" w:rsidR="007460AB" w:rsidRPr="002121A4" w:rsidRDefault="007460AB" w:rsidP="00312881">
            <w:pPr>
              <w:jc w:val="left"/>
              <w:rPr>
                <w:sz w:val="16"/>
                <w:szCs w:val="16"/>
                <w:lang w:val="en-GB"/>
              </w:rPr>
            </w:pPr>
            <w:r w:rsidRPr="002121A4">
              <w:rPr>
                <w:sz w:val="16"/>
                <w:szCs w:val="16"/>
                <w:lang w:val="en-GB"/>
              </w:rPr>
              <w:t>Bondholders rank prior to shareholders in distribution of dissolution proceeds</w:t>
            </w:r>
          </w:p>
        </w:tc>
        <w:tc>
          <w:tcPr>
            <w:tcW w:w="1205"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08" w:type="dxa"/>
              <w:bottom w:w="0" w:type="dxa"/>
              <w:right w:w="108" w:type="dxa"/>
            </w:tcMar>
          </w:tcPr>
          <w:p w14:paraId="114A4611" w14:textId="77777777" w:rsidR="007460AB" w:rsidRPr="002121A4" w:rsidRDefault="007460AB" w:rsidP="00312881">
            <w:pPr>
              <w:jc w:val="left"/>
              <w:rPr>
                <w:sz w:val="16"/>
                <w:szCs w:val="16"/>
                <w:lang w:val="en-GB"/>
              </w:rPr>
            </w:pPr>
            <w:r w:rsidRPr="002121A4">
              <w:rPr>
                <w:sz w:val="16"/>
                <w:szCs w:val="16"/>
                <w:lang w:val="en-GB"/>
              </w:rPr>
              <w:t>Low</w:t>
            </w:r>
          </w:p>
        </w:tc>
      </w:tr>
    </w:tbl>
    <w:p w14:paraId="3734697A" w14:textId="18F0BC2A" w:rsidR="007460AB" w:rsidRPr="002121A4" w:rsidRDefault="00F901D7" w:rsidP="003B56F6">
      <w:pPr>
        <w:rPr>
          <w:sz w:val="19"/>
          <w:szCs w:val="19"/>
          <w:lang w:val="en-GB"/>
        </w:rPr>
      </w:pPr>
      <w:r w:rsidRPr="002121A4">
        <w:rPr>
          <w:b/>
          <w:sz w:val="19"/>
          <w:szCs w:val="19"/>
          <w:lang w:val="en-GB"/>
        </w:rPr>
        <w:fldChar w:fldCharType="begin"/>
      </w:r>
      <w:r w:rsidRPr="002121A4">
        <w:rPr>
          <w:b/>
          <w:sz w:val="19"/>
          <w:szCs w:val="19"/>
          <w:lang w:val="en-GB"/>
        </w:rPr>
        <w:instrText xml:space="preserve"> REF _Ref132838330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_Ref132838330 \h </w:instrText>
      </w:r>
      <w:r w:rsidRPr="002121A4">
        <w:rPr>
          <w:b/>
          <w:sz w:val="19"/>
          <w:szCs w:val="19"/>
          <w:lang w:val="en-GB"/>
        </w:rPr>
      </w:r>
      <w:r w:rsidRPr="002121A4">
        <w:rPr>
          <w:b/>
          <w:sz w:val="19"/>
          <w:szCs w:val="19"/>
          <w:lang w:val="en-GB"/>
        </w:rPr>
        <w:fldChar w:fldCharType="separate"/>
      </w:r>
      <w:r w:rsidR="00D56145">
        <w:rPr>
          <w:b/>
          <w:noProof/>
          <w:sz w:val="19"/>
          <w:szCs w:val="19"/>
          <w:lang w:val="en-GB"/>
        </w:rPr>
        <w:t>8</w:t>
      </w:r>
      <w:r w:rsidRPr="002121A4">
        <w:rPr>
          <w:b/>
          <w:sz w:val="19"/>
          <w:szCs w:val="19"/>
          <w:lang w:val="en-GB"/>
        </w:rPr>
        <w:fldChar w:fldCharType="end"/>
      </w:r>
      <w:r w:rsidRPr="002121A4">
        <w:rPr>
          <w:b/>
          <w:sz w:val="19"/>
          <w:szCs w:val="19"/>
          <w:lang w:val="en-GB"/>
        </w:rPr>
        <w:t>)</w:t>
      </w:r>
      <w:r w:rsidRPr="002121A4">
        <w:rPr>
          <w:sz w:val="19"/>
          <w:szCs w:val="19"/>
          <w:lang w:val="en-GB"/>
        </w:rPr>
        <w:t xml:space="preserve">. The role of regulated markets is not only to provide opportunities for </w:t>
      </w:r>
      <w:r w:rsidRPr="004C01F9">
        <w:rPr>
          <w:i/>
          <w:sz w:val="19"/>
          <w:szCs w:val="19"/>
          <w:lang w:val="en-GB"/>
        </w:rPr>
        <w:t>investment</w:t>
      </w:r>
      <w:r w:rsidRPr="002121A4">
        <w:rPr>
          <w:sz w:val="19"/>
          <w:szCs w:val="19"/>
          <w:lang w:val="en-GB"/>
        </w:rPr>
        <w:t xml:space="preserve">, but also for </w:t>
      </w:r>
      <w:r w:rsidRPr="004C01F9">
        <w:rPr>
          <w:i/>
          <w:sz w:val="19"/>
          <w:szCs w:val="19"/>
          <w:lang w:val="en-GB"/>
        </w:rPr>
        <w:t>divestment</w:t>
      </w:r>
      <w:r w:rsidRPr="002121A4">
        <w:rPr>
          <w:sz w:val="19"/>
          <w:szCs w:val="19"/>
          <w:lang w:val="en-GB"/>
        </w:rPr>
        <w:t xml:space="preserve">. Where shares are delisted, the option to sell shares on the regulated market falls away. Typically, this will </w:t>
      </w:r>
      <w:r w:rsidR="004C01F9">
        <w:rPr>
          <w:sz w:val="19"/>
          <w:szCs w:val="19"/>
          <w:lang w:val="en-GB"/>
        </w:rPr>
        <w:t>negativ</w:t>
      </w:r>
      <w:r w:rsidRPr="002121A4">
        <w:rPr>
          <w:sz w:val="19"/>
          <w:szCs w:val="19"/>
          <w:lang w:val="en-GB"/>
        </w:rPr>
        <w:t>ely affect the share price. In situations where events affect the price of financial instruments significantly, the Market Abuse Regulation requires the issuer to make this information public to make sure that existing and potential investors are “on a level playing field”.</w:t>
      </w:r>
      <w:r w:rsidR="003F7861">
        <w:rPr>
          <w:sz w:val="19"/>
          <w:szCs w:val="19"/>
          <w:lang w:val="en-GB"/>
        </w:rPr>
        <w:t xml:space="preserve"> On subsequent litigation in this case, LG Berlin II, 19 April 2024 – 96 O 44/21.</w:t>
      </w:r>
    </w:p>
    <w:p w14:paraId="3C22FCE9" w14:textId="2313A7FC" w:rsidR="00033A42" w:rsidRPr="002121A4" w:rsidRDefault="00033A42" w:rsidP="00D52D2E">
      <w:pPr>
        <w:jc w:val="left"/>
        <w:rPr>
          <w:b/>
          <w:sz w:val="19"/>
          <w:szCs w:val="19"/>
          <w:lang w:val="en-GB"/>
        </w:rPr>
      </w:pPr>
      <w:r w:rsidRPr="002121A4">
        <w:rPr>
          <w:b/>
          <w:sz w:val="19"/>
          <w:szCs w:val="19"/>
          <w:lang w:val="en-GB"/>
        </w:rPr>
        <w:fldChar w:fldCharType="begin"/>
      </w:r>
      <w:r w:rsidRPr="002121A4">
        <w:rPr>
          <w:b/>
          <w:sz w:val="19"/>
          <w:szCs w:val="19"/>
          <w:lang w:val="en-GB"/>
        </w:rPr>
        <w:instrText xml:space="preserve"> REF _Ref163121747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_Ref163121747 \h </w:instrText>
      </w:r>
      <w:r w:rsidRPr="002121A4">
        <w:rPr>
          <w:b/>
          <w:sz w:val="19"/>
          <w:szCs w:val="19"/>
          <w:lang w:val="en-GB"/>
        </w:rPr>
      </w:r>
      <w:r w:rsidRPr="002121A4">
        <w:rPr>
          <w:b/>
          <w:sz w:val="19"/>
          <w:szCs w:val="19"/>
          <w:lang w:val="en-GB"/>
        </w:rPr>
        <w:fldChar w:fldCharType="separate"/>
      </w:r>
      <w:r w:rsidR="00D56145">
        <w:rPr>
          <w:b/>
          <w:noProof/>
          <w:sz w:val="19"/>
          <w:szCs w:val="19"/>
          <w:lang w:val="en-GB"/>
        </w:rPr>
        <w:t>9</w:t>
      </w:r>
      <w:r w:rsidRPr="002121A4">
        <w:rPr>
          <w:b/>
          <w:sz w:val="19"/>
          <w:szCs w:val="19"/>
          <w:lang w:val="en-GB"/>
        </w:rPr>
        <w:fldChar w:fldCharType="end"/>
      </w:r>
      <w:r w:rsidRPr="002121A4">
        <w:rPr>
          <w:b/>
          <w:sz w:val="19"/>
          <w:szCs w:val="19"/>
          <w:lang w:val="en-GB"/>
        </w:rPr>
        <w:t>).</w:t>
      </w:r>
    </w:p>
    <w:p w14:paraId="48BA6DAD" w14:textId="16F7871D" w:rsidR="00033A42" w:rsidRPr="002121A4" w:rsidRDefault="00DC365D" w:rsidP="00CC4B36">
      <w:r w:rsidRPr="002121A4">
        <w:rPr>
          <w:noProof/>
        </w:rPr>
        <w:lastRenderedPageBreak/>
        <mc:AlternateContent>
          <mc:Choice Requires="wps">
            <w:drawing>
              <wp:anchor distT="45720" distB="45720" distL="114300" distR="114300" simplePos="0" relativeHeight="251705856" behindDoc="0" locked="0" layoutInCell="1" allowOverlap="1" wp14:anchorId="6F889623" wp14:editId="50EFAED4">
                <wp:simplePos x="0" y="0"/>
                <wp:positionH relativeFrom="margin">
                  <wp:posOffset>309760</wp:posOffset>
                </wp:positionH>
                <wp:positionV relativeFrom="paragraph">
                  <wp:posOffset>1640648</wp:posOffset>
                </wp:positionV>
                <wp:extent cx="892455" cy="328930"/>
                <wp:effectExtent l="0" t="0" r="0" b="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25E9B9E5" w14:textId="77777777" w:rsidR="00033A42" w:rsidRPr="00671D26" w:rsidRDefault="00033A42" w:rsidP="00033A42">
                            <w:pPr>
                              <w:rPr>
                                <w:sz w:val="14"/>
                                <w:szCs w:val="14"/>
                              </w:rPr>
                            </w:pPr>
                            <w:r>
                              <w:rPr>
                                <w:sz w:val="14"/>
                                <w:szCs w:val="14"/>
                              </w:rPr>
                              <w:t>Listing Agent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89623" id="_x0000_s1043" type="#_x0000_t202" style="position:absolute;left:0;text-align:left;margin-left:24.4pt;margin-top:129.2pt;width:70.25pt;height:25.9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" filled="f" stroked="f">
                <v:textbox>
                  <w:txbxContent>
                    <w:p w14:paraId="25E9B9E5" w14:textId="77777777" w:rsidR="00033A42" w:rsidRPr="00671D26" w:rsidRDefault="00033A42" w:rsidP="00033A42">
                      <w:pPr>
                        <w:rPr>
                          <w:sz w:val="14"/>
                          <w:szCs w:val="14"/>
                        </w:rPr>
                      </w:pPr>
                      <w:r>
                        <w:rPr>
                          <w:sz w:val="14"/>
                          <w:szCs w:val="14"/>
                        </w:rPr>
                        <w:t>Listing Agent</w:t>
                      </w:r>
                    </w:p>
                  </w:txbxContent>
                </v:textbox>
                <w10:wrap anchorx="margin"/>
              </v:shape>
            </w:pict>
          </mc:Fallback>
        </mc:AlternateContent>
      </w:r>
      <w:r w:rsidRPr="002121A4">
        <w:rPr>
          <w:noProof/>
        </w:rPr>
        <mc:AlternateContent>
          <mc:Choice Requires="wps">
            <w:drawing>
              <wp:anchor distT="45720" distB="45720" distL="114300" distR="114300" simplePos="0" relativeHeight="251706880" behindDoc="0" locked="0" layoutInCell="1" allowOverlap="1" wp14:anchorId="0E610CFF" wp14:editId="7A259FCC">
                <wp:simplePos x="0" y="0"/>
                <wp:positionH relativeFrom="margin">
                  <wp:posOffset>238532</wp:posOffset>
                </wp:positionH>
                <wp:positionV relativeFrom="paragraph">
                  <wp:posOffset>2107517</wp:posOffset>
                </wp:positionV>
                <wp:extent cx="892455" cy="328930"/>
                <wp:effectExtent l="0" t="0" r="0" b="0"/>
                <wp:wrapNone/>
                <wp:docPr id="2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53DAA878" w14:textId="77777777" w:rsidR="00033A42" w:rsidRPr="00671D26" w:rsidRDefault="00033A42" w:rsidP="00033A42">
                            <w:pPr>
                              <w:rPr>
                                <w:sz w:val="14"/>
                                <w:szCs w:val="14"/>
                              </w:rPr>
                            </w:pPr>
                            <w:r>
                              <w:rPr>
                                <w:sz w:val="14"/>
                                <w:szCs w:val="14"/>
                              </w:rPr>
                              <w:t>Market Operators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10CFF" id="_x0000_s1044" type="#_x0000_t202" style="position:absolute;left:0;text-align:left;margin-left:18.8pt;margin-top:165.95pt;width:70.25pt;height:25.9pt;z-index:25170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" filled="f" stroked="f">
                <v:textbox>
                  <w:txbxContent>
                    <w:p w14:paraId="53DAA878" w14:textId="77777777" w:rsidR="00033A42" w:rsidRPr="00671D26" w:rsidRDefault="00033A42" w:rsidP="00033A42">
                      <w:pPr>
                        <w:rPr>
                          <w:sz w:val="14"/>
                          <w:szCs w:val="14"/>
                        </w:rPr>
                      </w:pPr>
                      <w:r>
                        <w:rPr>
                          <w:sz w:val="14"/>
                          <w:szCs w:val="14"/>
                        </w:rPr>
                        <w:t>Market Operators</w:t>
                      </w:r>
                    </w:p>
                  </w:txbxContent>
                </v:textbox>
                <w10:wrap anchorx="margin"/>
              </v:shape>
            </w:pict>
          </mc:Fallback>
        </mc:AlternateContent>
      </w:r>
      <w:r w:rsidRPr="002121A4">
        <w:rPr>
          <w:noProof/>
        </w:rPr>
        <mc:AlternateContent>
          <mc:Choice Requires="wps">
            <w:drawing>
              <wp:anchor distT="45720" distB="45720" distL="114300" distR="114300" simplePos="0" relativeHeight="251704832" behindDoc="0" locked="0" layoutInCell="1" allowOverlap="1" wp14:anchorId="74CD457C" wp14:editId="22A2C0A5">
                <wp:simplePos x="0" y="0"/>
                <wp:positionH relativeFrom="margin">
                  <wp:posOffset>1838337</wp:posOffset>
                </wp:positionH>
                <wp:positionV relativeFrom="paragraph">
                  <wp:posOffset>2058035</wp:posOffset>
                </wp:positionV>
                <wp:extent cx="892455" cy="373075"/>
                <wp:effectExtent l="0" t="0" r="0" b="0"/>
                <wp:wrapNone/>
                <wp:docPr id="3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73075"/>
                        </a:xfrm>
                        <a:prstGeom prst="rect">
                          <a:avLst/>
                        </a:prstGeom>
                        <a:noFill/>
                        <a:ln w="9525">
                          <a:noFill/>
                          <a:miter lim="800000"/>
                          <a:headEnd/>
                          <a:tailEnd/>
                        </a:ln>
                      </wps:spPr>
                      <wps:txbx>
                        <w:txbxContent>
                          <w:p w14:paraId="5145CBA2" w14:textId="77777777" w:rsidR="00033A42" w:rsidRPr="00671D26" w:rsidRDefault="00033A42" w:rsidP="00033A42">
                            <w:pPr>
                              <w:jc w:val="center"/>
                              <w:rPr>
                                <w:sz w:val="14"/>
                                <w:szCs w:val="14"/>
                              </w:rPr>
                            </w:pPr>
                            <w:r>
                              <w:rPr>
                                <w:sz w:val="14"/>
                                <w:szCs w:val="14"/>
                              </w:rPr>
                              <w:t xml:space="preserve">Central Securities </w:t>
                            </w:r>
                            <w:r>
                              <w:rPr>
                                <w:sz w:val="14"/>
                                <w:szCs w:val="14"/>
                              </w:rPr>
                              <w:t>Depositary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D457C" id="_x0000_s1045" type="#_x0000_t202" style="position:absolute;left:0;text-align:left;margin-left:144.75pt;margin-top:162.05pt;width:70.25pt;height:29.4pt;z-index:25170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" filled="f" stroked="f">
                <v:textbox>
                  <w:txbxContent>
                    <w:p w14:paraId="5145CBA2" w14:textId="77777777" w:rsidR="00033A42" w:rsidRPr="00671D26" w:rsidRDefault="00033A42" w:rsidP="00033A42">
                      <w:pPr>
                        <w:jc w:val="center"/>
                        <w:rPr>
                          <w:sz w:val="14"/>
                          <w:szCs w:val="14"/>
                        </w:rPr>
                      </w:pPr>
                      <w:r>
                        <w:rPr>
                          <w:sz w:val="14"/>
                          <w:szCs w:val="14"/>
                        </w:rPr>
                        <w:t xml:space="preserve">Central Securities </w:t>
                      </w:r>
                      <w:r>
                        <w:rPr>
                          <w:sz w:val="14"/>
                          <w:szCs w:val="14"/>
                        </w:rPr>
                        <w:t>Depositary</w:t>
                      </w:r>
                    </w:p>
                  </w:txbxContent>
                </v:textbox>
                <w10:wrap anchorx="margin"/>
              </v:shape>
            </w:pict>
          </mc:Fallback>
        </mc:AlternateContent>
      </w:r>
      <w:r w:rsidRPr="002121A4">
        <w:rPr>
          <w:noProof/>
        </w:rPr>
        <mc:AlternateContent>
          <mc:Choice Requires="wps">
            <w:drawing>
              <wp:anchor distT="45720" distB="45720" distL="114300" distR="114300" simplePos="0" relativeHeight="251703808" behindDoc="0" locked="0" layoutInCell="1" allowOverlap="1" wp14:anchorId="4768CC68" wp14:editId="278B0C46">
                <wp:simplePos x="0" y="0"/>
                <wp:positionH relativeFrom="margin">
                  <wp:posOffset>1836923</wp:posOffset>
                </wp:positionH>
                <wp:positionV relativeFrom="paragraph">
                  <wp:posOffset>1635568</wp:posOffset>
                </wp:positionV>
                <wp:extent cx="892175" cy="328930"/>
                <wp:effectExtent l="0" t="0" r="0"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4F95205C" w14:textId="77777777" w:rsidR="00033A42" w:rsidRPr="00671D26" w:rsidRDefault="00033A42" w:rsidP="00033A42">
                            <w:pPr>
                              <w:jc w:val="center"/>
                              <w:rPr>
                                <w:sz w:val="14"/>
                                <w:szCs w:val="14"/>
                              </w:rPr>
                            </w:pPr>
                            <w:r>
                              <w:rPr>
                                <w:sz w:val="14"/>
                                <w:szCs w:val="14"/>
                              </w:rPr>
                              <w:t>Fiscal Agent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8CC68" id="_x0000_s1046" type="#_x0000_t202" style="position:absolute;left:0;text-align:left;margin-left:144.65pt;margin-top:128.8pt;width:70.25pt;height:25.9pt;z-index:25170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" filled="f" stroked="f">
                <v:textbox>
                  <w:txbxContent>
                    <w:p w14:paraId="4F95205C" w14:textId="77777777" w:rsidR="00033A42" w:rsidRPr="00671D26" w:rsidRDefault="00033A42" w:rsidP="00033A42">
                      <w:pPr>
                        <w:jc w:val="center"/>
                        <w:rPr>
                          <w:sz w:val="14"/>
                          <w:szCs w:val="14"/>
                        </w:rPr>
                      </w:pPr>
                      <w:r>
                        <w:rPr>
                          <w:sz w:val="14"/>
                          <w:szCs w:val="14"/>
                        </w:rPr>
                        <w:t>Fiscal Agent</w:t>
                      </w:r>
                    </w:p>
                  </w:txbxContent>
                </v:textbox>
                <w10:wrap anchorx="margin"/>
              </v:shape>
            </w:pict>
          </mc:Fallback>
        </mc:AlternateContent>
      </w:r>
      <w:r w:rsidRPr="002121A4">
        <w:rPr>
          <w:noProof/>
        </w:rPr>
        <mc:AlternateContent>
          <mc:Choice Requires="wps">
            <w:drawing>
              <wp:anchor distT="45720" distB="45720" distL="114300" distR="114300" simplePos="0" relativeHeight="251702784" behindDoc="0" locked="0" layoutInCell="1" allowOverlap="1" wp14:anchorId="5E06C23F" wp14:editId="75C9AEB6">
                <wp:simplePos x="0" y="0"/>
                <wp:positionH relativeFrom="margin">
                  <wp:posOffset>1912584</wp:posOffset>
                </wp:positionH>
                <wp:positionV relativeFrom="paragraph">
                  <wp:posOffset>1038680</wp:posOffset>
                </wp:positionV>
                <wp:extent cx="892455" cy="328930"/>
                <wp:effectExtent l="0" t="0" r="0" b="0"/>
                <wp:wrapNone/>
                <wp:docPr id="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4887BE85" w14:textId="77777777" w:rsidR="00033A42" w:rsidRPr="00671D26" w:rsidRDefault="00033A42" w:rsidP="00033A42">
                            <w:pPr>
                              <w:rPr>
                                <w:sz w:val="14"/>
                                <w:szCs w:val="14"/>
                              </w:rPr>
                            </w:pPr>
                            <w:r>
                              <w:rPr>
                                <w:sz w:val="14"/>
                                <w:szCs w:val="14"/>
                              </w:rPr>
                              <w:t>Investment Firm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6C23F" id="_x0000_s1047" type="#_x0000_t202" style="position:absolute;left:0;text-align:left;margin-left:150.6pt;margin-top:81.8pt;width:70.25pt;height:25.9pt;z-index:25170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" filled="f" stroked="f">
                <v:textbox>
                  <w:txbxContent>
                    <w:p w14:paraId="4887BE85" w14:textId="77777777" w:rsidR="00033A42" w:rsidRPr="00671D26" w:rsidRDefault="00033A42" w:rsidP="00033A42">
                      <w:pPr>
                        <w:rPr>
                          <w:sz w:val="14"/>
                          <w:szCs w:val="14"/>
                        </w:rPr>
                      </w:pPr>
                      <w:r>
                        <w:rPr>
                          <w:sz w:val="14"/>
                          <w:szCs w:val="14"/>
                        </w:rPr>
                        <w:t>Investment Firm</w:t>
                      </w:r>
                    </w:p>
                  </w:txbxContent>
                </v:textbox>
                <w10:wrap anchorx="margin"/>
              </v:shape>
            </w:pict>
          </mc:Fallback>
        </mc:AlternateContent>
      </w:r>
      <w:r w:rsidRPr="002121A4">
        <w:rPr>
          <w:noProof/>
        </w:rPr>
        <mc:AlternateContent>
          <mc:Choice Requires="wps">
            <w:drawing>
              <wp:anchor distT="45720" distB="45720" distL="114300" distR="114300" simplePos="0" relativeHeight="251708928" behindDoc="0" locked="0" layoutInCell="1" allowOverlap="1" wp14:anchorId="4F6CF4BA" wp14:editId="5B546E7C">
                <wp:simplePos x="0" y="0"/>
                <wp:positionH relativeFrom="margin">
                  <wp:posOffset>3465711</wp:posOffset>
                </wp:positionH>
                <wp:positionV relativeFrom="paragraph">
                  <wp:posOffset>1680282</wp:posOffset>
                </wp:positionV>
                <wp:extent cx="1168842" cy="477078"/>
                <wp:effectExtent l="0" t="0" r="0" b="0"/>
                <wp:wrapNone/>
                <wp:docPr id="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842" cy="477078"/>
                        </a:xfrm>
                        <a:prstGeom prst="rect">
                          <a:avLst/>
                        </a:prstGeom>
                        <a:noFill/>
                        <a:ln w="9525">
                          <a:noFill/>
                          <a:miter lim="800000"/>
                          <a:headEnd/>
                          <a:tailEnd/>
                        </a:ln>
                      </wps:spPr>
                      <wps:txbx>
                        <w:txbxContent>
                          <w:p w14:paraId="5BE8BBCE" w14:textId="77777777" w:rsidR="00033A42" w:rsidRPr="00671D26" w:rsidRDefault="00033A42" w:rsidP="00033A42">
                            <w:pPr>
                              <w:rPr>
                                <w:sz w:val="14"/>
                                <w:szCs w:val="14"/>
                                <w:lang w:val="en-GB"/>
                              </w:rPr>
                            </w:pPr>
                            <w:r>
                              <w:rPr>
                                <w:sz w:val="14"/>
                                <w:szCs w:val="14"/>
                                <w:lang w:val="en-GB"/>
                              </w:rPr>
                              <w:t>“Wholesale”</w:t>
                            </w:r>
                            <w:r w:rsidRPr="00671D26">
                              <w:rPr>
                                <w:sz w:val="14"/>
                                <w:szCs w:val="14"/>
                                <w:lang w:val="en-GB"/>
                              </w:rPr>
                              <w:t xml:space="preserve"> investors</w:t>
                            </w:r>
                            <w:r>
                              <w:rPr>
                                <w:sz w:val="14"/>
                                <w:szCs w:val="14"/>
                                <w:lang w:val="en-GB"/>
                              </w:rPr>
                              <w:t xml:space="preserve"> (professionals, institutional investors)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CF4BA" id="_x0000_s1048" type="#_x0000_t202" style="position:absolute;left:0;text-align:left;margin-left:272.9pt;margin-top:132.3pt;width:92.05pt;height:37.55pt;z-index:25170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" filled="f" stroked="f">
                <v:textbox>
                  <w:txbxContent>
                    <w:p w14:paraId="5BE8BBCE" w14:textId="77777777" w:rsidR="00033A42" w:rsidRPr="00671D26" w:rsidRDefault="00033A42" w:rsidP="00033A42">
                      <w:pPr>
                        <w:rPr>
                          <w:sz w:val="14"/>
                          <w:szCs w:val="14"/>
                          <w:lang w:val="en-GB"/>
                        </w:rPr>
                      </w:pPr>
                      <w:r>
                        <w:rPr>
                          <w:sz w:val="14"/>
                          <w:szCs w:val="14"/>
                          <w:lang w:val="en-GB"/>
                        </w:rPr>
                        <w:t>“Wholesale”</w:t>
                      </w:r>
                      <w:r w:rsidRPr="00671D26">
                        <w:rPr>
                          <w:sz w:val="14"/>
                          <w:szCs w:val="14"/>
                          <w:lang w:val="en-GB"/>
                        </w:rPr>
                        <w:t xml:space="preserve"> investors</w:t>
                      </w:r>
                      <w:r>
                        <w:rPr>
                          <w:sz w:val="14"/>
                          <w:szCs w:val="14"/>
                          <w:lang w:val="en-GB"/>
                        </w:rPr>
                        <w:t xml:space="preserve"> (professionals, institutional investors)</w:t>
                      </w:r>
                    </w:p>
                  </w:txbxContent>
                </v:textbox>
                <w10:wrap anchorx="margin"/>
              </v:shape>
            </w:pict>
          </mc:Fallback>
        </mc:AlternateContent>
      </w:r>
      <w:r w:rsidRPr="002121A4">
        <w:rPr>
          <w:noProof/>
        </w:rPr>
        <mc:AlternateContent>
          <mc:Choice Requires="wps">
            <w:drawing>
              <wp:anchor distT="45720" distB="45720" distL="114300" distR="114300" simplePos="0" relativeHeight="251707904" behindDoc="0" locked="0" layoutInCell="1" allowOverlap="1" wp14:anchorId="600FB428" wp14:editId="43E8B74F">
                <wp:simplePos x="0" y="0"/>
                <wp:positionH relativeFrom="margin">
                  <wp:posOffset>3533488</wp:posOffset>
                </wp:positionH>
                <wp:positionV relativeFrom="paragraph">
                  <wp:posOffset>753840</wp:posOffset>
                </wp:positionV>
                <wp:extent cx="892455" cy="328930"/>
                <wp:effectExtent l="0" t="0" r="0" b="0"/>
                <wp:wrapNone/>
                <wp:docPr id="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455" cy="328930"/>
                        </a:xfrm>
                        <a:prstGeom prst="rect">
                          <a:avLst/>
                        </a:prstGeom>
                        <a:noFill/>
                        <a:ln w="9525">
                          <a:noFill/>
                          <a:miter lim="800000"/>
                          <a:headEnd/>
                          <a:tailEnd/>
                        </a:ln>
                      </wps:spPr>
                      <wps:txbx>
                        <w:txbxContent>
                          <w:p w14:paraId="79D1961E" w14:textId="77777777" w:rsidR="00033A42" w:rsidRPr="00671D26" w:rsidRDefault="00033A42" w:rsidP="00033A42">
                            <w:pPr>
                              <w:rPr>
                                <w:sz w:val="14"/>
                                <w:szCs w:val="14"/>
                                <w:lang w:val="en-GB"/>
                              </w:rPr>
                            </w:pPr>
                            <w:r>
                              <w:rPr>
                                <w:sz w:val="14"/>
                                <w:szCs w:val="14"/>
                                <w:lang w:val="en-GB"/>
                              </w:rPr>
                              <w:t>“</w:t>
                            </w:r>
                            <w:r w:rsidRPr="00671D26">
                              <w:rPr>
                                <w:sz w:val="14"/>
                                <w:szCs w:val="14"/>
                                <w:lang w:val="en-GB"/>
                              </w:rPr>
                              <w:t>Retail</w:t>
                            </w:r>
                            <w:r>
                              <w:rPr>
                                <w:sz w:val="14"/>
                                <w:szCs w:val="14"/>
                                <w:lang w:val="en-GB"/>
                              </w:rPr>
                              <w:t>”</w:t>
                            </w:r>
                            <w:r w:rsidRPr="00671D26">
                              <w:rPr>
                                <w:sz w:val="14"/>
                                <w:szCs w:val="14"/>
                                <w:lang w:val="en-GB"/>
                              </w:rPr>
                              <w:t xml:space="preserve"> investors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FB428" id="_x0000_s1049" type="#_x0000_t202" style="position:absolute;left:0;text-align:left;margin-left:278.25pt;margin-top:59.35pt;width:70.25pt;height:25.9pt;z-index:25170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" filled="f" stroked="f">
                <v:textbox>
                  <w:txbxContent>
                    <w:p w14:paraId="79D1961E" w14:textId="77777777" w:rsidR="00033A42" w:rsidRPr="00671D26" w:rsidRDefault="00033A42" w:rsidP="00033A42">
                      <w:pPr>
                        <w:rPr>
                          <w:sz w:val="14"/>
                          <w:szCs w:val="14"/>
                          <w:lang w:val="en-GB"/>
                        </w:rPr>
                      </w:pPr>
                      <w:r>
                        <w:rPr>
                          <w:sz w:val="14"/>
                          <w:szCs w:val="14"/>
                          <w:lang w:val="en-GB"/>
                        </w:rPr>
                        <w:t>“</w:t>
                      </w:r>
                      <w:r w:rsidRPr="00671D26">
                        <w:rPr>
                          <w:sz w:val="14"/>
                          <w:szCs w:val="14"/>
                          <w:lang w:val="en-GB"/>
                        </w:rPr>
                        <w:t>Retail</w:t>
                      </w:r>
                      <w:r>
                        <w:rPr>
                          <w:sz w:val="14"/>
                          <w:szCs w:val="14"/>
                          <w:lang w:val="en-GB"/>
                        </w:rPr>
                        <w:t>”</w:t>
                      </w:r>
                      <w:r w:rsidRPr="00671D26">
                        <w:rPr>
                          <w:sz w:val="14"/>
                          <w:szCs w:val="14"/>
                          <w:lang w:val="en-GB"/>
                        </w:rPr>
                        <w:t xml:space="preserve"> investors</w:t>
                      </w:r>
                    </w:p>
                  </w:txbxContent>
                </v:textbox>
                <w10:wrap anchorx="margin"/>
              </v:shape>
            </w:pict>
          </mc:Fallback>
        </mc:AlternateContent>
      </w:r>
      <w:r w:rsidRPr="002121A4">
        <w:rPr>
          <w:noProof/>
        </w:rPr>
        <mc:AlternateContent>
          <mc:Choice Requires="wps">
            <w:drawing>
              <wp:anchor distT="45720" distB="45720" distL="114300" distR="114300" simplePos="0" relativeHeight="251701760" behindDoc="0" locked="0" layoutInCell="1" allowOverlap="1" wp14:anchorId="4FA09DED" wp14:editId="78FEFD27">
                <wp:simplePos x="0" y="0"/>
                <wp:positionH relativeFrom="column">
                  <wp:posOffset>1985980</wp:posOffset>
                </wp:positionH>
                <wp:positionV relativeFrom="paragraph">
                  <wp:posOffset>536826</wp:posOffset>
                </wp:positionV>
                <wp:extent cx="746125" cy="328930"/>
                <wp:effectExtent l="0" t="0" r="0" b="0"/>
                <wp:wrapNone/>
                <wp:docPr id="1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328930"/>
                        </a:xfrm>
                        <a:prstGeom prst="rect">
                          <a:avLst/>
                        </a:prstGeom>
                        <a:noFill/>
                        <a:ln w="9525">
                          <a:noFill/>
                          <a:miter lim="800000"/>
                          <a:headEnd/>
                          <a:tailEnd/>
                        </a:ln>
                      </wps:spPr>
                      <wps:txbx>
                        <w:txbxContent>
                          <w:p w14:paraId="41968E68" w14:textId="77777777" w:rsidR="00033A42" w:rsidRPr="00671D26" w:rsidRDefault="00033A42" w:rsidP="00033A42">
                            <w:pPr>
                              <w:rPr>
                                <w:sz w:val="14"/>
                                <w:szCs w:val="14"/>
                              </w:rPr>
                            </w:pPr>
                            <w:r w:rsidRPr="00671D26">
                              <w:rPr>
                                <w:sz w:val="14"/>
                                <w:szCs w:val="14"/>
                              </w:rPr>
                              <w:t>Prospectus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09DED" id="_x0000_s1050" type="#_x0000_t202" style="position:absolute;left:0;text-align:left;margin-left:156.4pt;margin-top:42.25pt;width:58.75pt;height:25.9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" filled="f" stroked="f">
                <v:textbox>
                  <w:txbxContent>
                    <w:p w14:paraId="41968E68" w14:textId="77777777" w:rsidR="00033A42" w:rsidRPr="00671D26" w:rsidRDefault="00033A42" w:rsidP="00033A42">
                      <w:pPr>
                        <w:rPr>
                          <w:sz w:val="14"/>
                          <w:szCs w:val="14"/>
                        </w:rPr>
                      </w:pPr>
                      <w:r w:rsidRPr="00671D26">
                        <w:rPr>
                          <w:sz w:val="14"/>
                          <w:szCs w:val="14"/>
                        </w:rPr>
                        <w:t>Prospectus</w:t>
                      </w:r>
                    </w:p>
                  </w:txbxContent>
                </v:textbox>
              </v:shape>
            </w:pict>
          </mc:Fallback>
        </mc:AlternateContent>
      </w:r>
      <w:r w:rsidR="00F07AA3" w:rsidRPr="002121A4">
        <w:object w:dxaOrig="8843" w:dyaOrig="4983" w14:anchorId="3C6918CA">
          <v:shape id="_x0000_i1028" type="#_x0000_t75" style="width:378.9pt;height:214.75pt" o:ole="">
            <v:imagedata r:id="rId10" o:title=""/>
          </v:shape>
          <o:OLEObject Type="Embed" ProgID="PowerPoint.Show.12" ShapeID="_x0000_i1028" DrawAspect="Content" ObjectID="_1823795037" r:id="rId35"/>
        </w:object>
      </w:r>
    </w:p>
    <w:p w14:paraId="330E51E7" w14:textId="6E170BD8" w:rsidR="00033A42" w:rsidRPr="002121A4" w:rsidRDefault="00DC365D" w:rsidP="00CC4B36">
      <w:pPr>
        <w:rPr>
          <w:lang w:val="en-GB"/>
        </w:rPr>
      </w:pPr>
      <w:r w:rsidRPr="002121A4">
        <w:rPr>
          <w:noProof/>
          <w:lang w:val="en-GB"/>
        </w:rPr>
        <mc:AlternateContent>
          <mc:Choice Requires="wps">
            <w:drawing>
              <wp:anchor distT="45720" distB="45720" distL="114300" distR="114300" simplePos="0" relativeHeight="251715072" behindDoc="0" locked="0" layoutInCell="1" allowOverlap="1" wp14:anchorId="10458DB3" wp14:editId="052E4A58">
                <wp:simplePos x="0" y="0"/>
                <wp:positionH relativeFrom="margin">
                  <wp:align>center</wp:align>
                </wp:positionH>
                <wp:positionV relativeFrom="paragraph">
                  <wp:posOffset>2450645</wp:posOffset>
                </wp:positionV>
                <wp:extent cx="892175" cy="328930"/>
                <wp:effectExtent l="0" t="0" r="0" b="0"/>
                <wp:wrapNone/>
                <wp:docPr id="1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600446D2" w14:textId="77777777" w:rsidR="00033A42" w:rsidRPr="00671D26" w:rsidRDefault="00033A42" w:rsidP="00033A42">
                            <w:pPr>
                              <w:rPr>
                                <w:sz w:val="14"/>
                                <w:szCs w:val="14"/>
                              </w:rPr>
                            </w:pPr>
                            <w:r>
                              <w:rPr>
                                <w:sz w:val="14"/>
                                <w:szCs w:val="14"/>
                              </w:rPr>
                              <w:t>Market Operator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58DB3" id="_x0000_s1051" type="#_x0000_t202" style="position:absolute;left:0;text-align:left;margin-left:0;margin-top:192.95pt;width:70.25pt;height:25.9pt;z-index:2517150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" filled="f" stroked="f">
                <v:textbox>
                  <w:txbxContent>
                    <w:p w14:paraId="600446D2" w14:textId="77777777" w:rsidR="00033A42" w:rsidRPr="00671D26" w:rsidRDefault="00033A42" w:rsidP="00033A42">
                      <w:pPr>
                        <w:rPr>
                          <w:sz w:val="14"/>
                          <w:szCs w:val="14"/>
                        </w:rPr>
                      </w:pPr>
                      <w:r>
                        <w:rPr>
                          <w:sz w:val="14"/>
                          <w:szCs w:val="14"/>
                        </w:rPr>
                        <w:t>Market Operator</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4048" behindDoc="0" locked="0" layoutInCell="1" allowOverlap="1" wp14:anchorId="2CDA5E15" wp14:editId="11BA70DA">
                <wp:simplePos x="0" y="0"/>
                <wp:positionH relativeFrom="margin">
                  <wp:posOffset>2335602</wp:posOffset>
                </wp:positionH>
                <wp:positionV relativeFrom="paragraph">
                  <wp:posOffset>1869464</wp:posOffset>
                </wp:positionV>
                <wp:extent cx="892175" cy="328930"/>
                <wp:effectExtent l="0" t="0" r="0" b="0"/>
                <wp:wrapNone/>
                <wp:docPr id="1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5457B88A" w14:textId="77777777" w:rsidR="00033A42" w:rsidRPr="00671D26" w:rsidRDefault="00033A42" w:rsidP="00033A42">
                            <w:pPr>
                              <w:rPr>
                                <w:sz w:val="14"/>
                                <w:szCs w:val="14"/>
                              </w:rPr>
                            </w:pPr>
                            <w:r>
                              <w:rPr>
                                <w:sz w:val="14"/>
                                <w:szCs w:val="14"/>
                              </w:rPr>
                              <w:t>Regulated Market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A5E15" id="_x0000_s1052" type="#_x0000_t202" style="position:absolute;left:0;text-align:left;margin-left:183.9pt;margin-top:147.2pt;width:70.25pt;height:25.9pt;z-index:25171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" filled="f" stroked="f">
                <v:textbox>
                  <w:txbxContent>
                    <w:p w14:paraId="5457B88A" w14:textId="77777777" w:rsidR="00033A42" w:rsidRPr="00671D26" w:rsidRDefault="00033A42" w:rsidP="00033A42">
                      <w:pPr>
                        <w:rPr>
                          <w:sz w:val="14"/>
                          <w:szCs w:val="14"/>
                        </w:rPr>
                      </w:pPr>
                      <w:r>
                        <w:rPr>
                          <w:sz w:val="14"/>
                          <w:szCs w:val="14"/>
                        </w:rPr>
                        <w:t>Regulated Market</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3024" behindDoc="0" locked="0" layoutInCell="1" allowOverlap="1" wp14:anchorId="14FACBFF" wp14:editId="3180A84F">
                <wp:simplePos x="0" y="0"/>
                <wp:positionH relativeFrom="margin">
                  <wp:posOffset>1680665</wp:posOffset>
                </wp:positionH>
                <wp:positionV relativeFrom="paragraph">
                  <wp:posOffset>1314486</wp:posOffset>
                </wp:positionV>
                <wp:extent cx="892175" cy="328930"/>
                <wp:effectExtent l="0" t="0" r="0" b="0"/>
                <wp:wrapNone/>
                <wp:docPr id="19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4EC78982" w14:textId="77777777" w:rsidR="00033A42" w:rsidRPr="00671D26" w:rsidRDefault="00033A42" w:rsidP="00033A42">
                            <w:pPr>
                              <w:rPr>
                                <w:sz w:val="14"/>
                                <w:szCs w:val="14"/>
                              </w:rPr>
                            </w:pPr>
                            <w:r>
                              <w:rPr>
                                <w:sz w:val="14"/>
                                <w:szCs w:val="14"/>
                              </w:rPr>
                              <w:t>Investment Firm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ACBFF" id="_x0000_s1053" type="#_x0000_t202" style="position:absolute;left:0;text-align:left;margin-left:132.35pt;margin-top:103.5pt;width:70.25pt;height:25.9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" filled="f" stroked="f">
                <v:textbox>
                  <w:txbxContent>
                    <w:p w14:paraId="4EC78982" w14:textId="77777777" w:rsidR="00033A42" w:rsidRPr="00671D26" w:rsidRDefault="00033A42" w:rsidP="00033A42">
                      <w:pPr>
                        <w:rPr>
                          <w:sz w:val="14"/>
                          <w:szCs w:val="14"/>
                        </w:rPr>
                      </w:pPr>
                      <w:r>
                        <w:rPr>
                          <w:sz w:val="14"/>
                          <w:szCs w:val="14"/>
                        </w:rPr>
                        <w:t>Investment Firm 1</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2000" behindDoc="0" locked="0" layoutInCell="1" allowOverlap="1" wp14:anchorId="6007053F" wp14:editId="74F4708D">
                <wp:simplePos x="0" y="0"/>
                <wp:positionH relativeFrom="margin">
                  <wp:posOffset>3047808</wp:posOffset>
                </wp:positionH>
                <wp:positionV relativeFrom="paragraph">
                  <wp:posOffset>1305596</wp:posOffset>
                </wp:positionV>
                <wp:extent cx="892175" cy="328930"/>
                <wp:effectExtent l="0" t="0" r="0" b="0"/>
                <wp:wrapNone/>
                <wp:docPr id="19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28930"/>
                        </a:xfrm>
                        <a:prstGeom prst="rect">
                          <a:avLst/>
                        </a:prstGeom>
                        <a:noFill/>
                        <a:ln w="9525">
                          <a:noFill/>
                          <a:miter lim="800000"/>
                          <a:headEnd/>
                          <a:tailEnd/>
                        </a:ln>
                      </wps:spPr>
                      <wps:txbx>
                        <w:txbxContent>
                          <w:p w14:paraId="32B1B5AF" w14:textId="77777777" w:rsidR="00033A42" w:rsidRPr="00671D26" w:rsidRDefault="00033A42" w:rsidP="00033A42">
                            <w:pPr>
                              <w:rPr>
                                <w:sz w:val="14"/>
                                <w:szCs w:val="14"/>
                              </w:rPr>
                            </w:pPr>
                            <w:r>
                              <w:rPr>
                                <w:sz w:val="14"/>
                                <w:szCs w:val="14"/>
                              </w:rPr>
                              <w:t>Investment Firm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7053F" id="_x0000_s1054" type="#_x0000_t202" style="position:absolute;left:0;text-align:left;margin-left:240pt;margin-top:102.8pt;width:70.25pt;height:25.9pt;z-index:25171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" filled="f" stroked="f">
                <v:textbox>
                  <w:txbxContent>
                    <w:p w14:paraId="32B1B5AF" w14:textId="77777777" w:rsidR="00033A42" w:rsidRPr="00671D26" w:rsidRDefault="00033A42" w:rsidP="00033A42">
                      <w:pPr>
                        <w:rPr>
                          <w:sz w:val="14"/>
                          <w:szCs w:val="14"/>
                        </w:rPr>
                      </w:pPr>
                      <w:r>
                        <w:rPr>
                          <w:sz w:val="14"/>
                          <w:szCs w:val="14"/>
                        </w:rPr>
                        <w:t>Investment Firm 2</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10976" behindDoc="0" locked="0" layoutInCell="1" allowOverlap="1" wp14:anchorId="2478A827" wp14:editId="72A1D194">
                <wp:simplePos x="0" y="0"/>
                <wp:positionH relativeFrom="margin">
                  <wp:posOffset>2299036</wp:posOffset>
                </wp:positionH>
                <wp:positionV relativeFrom="paragraph">
                  <wp:posOffset>588369</wp:posOffset>
                </wp:positionV>
                <wp:extent cx="892175" cy="372745"/>
                <wp:effectExtent l="0" t="0" r="0" b="0"/>
                <wp:wrapNone/>
                <wp:docPr id="1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72745"/>
                        </a:xfrm>
                        <a:prstGeom prst="rect">
                          <a:avLst/>
                        </a:prstGeom>
                        <a:noFill/>
                        <a:ln w="9525">
                          <a:noFill/>
                          <a:miter lim="800000"/>
                          <a:headEnd/>
                          <a:tailEnd/>
                        </a:ln>
                      </wps:spPr>
                      <wps:txbx>
                        <w:txbxContent>
                          <w:p w14:paraId="266F3680" w14:textId="77777777" w:rsidR="00033A42" w:rsidRPr="00671D26" w:rsidRDefault="00033A42" w:rsidP="00033A42">
                            <w:pPr>
                              <w:jc w:val="center"/>
                              <w:rPr>
                                <w:sz w:val="14"/>
                                <w:szCs w:val="14"/>
                              </w:rPr>
                            </w:pPr>
                            <w:r>
                              <w:rPr>
                                <w:sz w:val="14"/>
                                <w:szCs w:val="14"/>
                              </w:rPr>
                              <w:t xml:space="preserve">Central </w:t>
                            </w:r>
                            <w:r>
                              <w:rPr>
                                <w:sz w:val="14"/>
                                <w:szCs w:val="14"/>
                              </w:rPr>
                              <w:br/>
                              <w:t>Counter-Party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8A827" id="_x0000_s1055" type="#_x0000_t202" style="position:absolute;left:0;text-align:left;margin-left:181.05pt;margin-top:46.35pt;width:70.25pt;height:29.35pt;z-index:25171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" filled="f" stroked="f">
                <v:textbox>
                  <w:txbxContent>
                    <w:p w14:paraId="266F3680" w14:textId="77777777" w:rsidR="00033A42" w:rsidRPr="00671D26" w:rsidRDefault="00033A42" w:rsidP="00033A42">
                      <w:pPr>
                        <w:jc w:val="center"/>
                        <w:rPr>
                          <w:sz w:val="14"/>
                          <w:szCs w:val="14"/>
                        </w:rPr>
                      </w:pPr>
                      <w:r>
                        <w:rPr>
                          <w:sz w:val="14"/>
                          <w:szCs w:val="14"/>
                        </w:rPr>
                        <w:t xml:space="preserve">Central </w:t>
                      </w:r>
                      <w:r>
                        <w:rPr>
                          <w:sz w:val="14"/>
                          <w:szCs w:val="14"/>
                        </w:rPr>
                        <w:br/>
                        <w:t>Counter-Party</w:t>
                      </w:r>
                    </w:p>
                  </w:txbxContent>
                </v:textbox>
                <w10:wrap anchorx="margin"/>
              </v:shape>
            </w:pict>
          </mc:Fallback>
        </mc:AlternateContent>
      </w:r>
      <w:r w:rsidRPr="002121A4">
        <w:rPr>
          <w:noProof/>
          <w:lang w:val="en-GB"/>
        </w:rPr>
        <mc:AlternateContent>
          <mc:Choice Requires="wps">
            <w:drawing>
              <wp:anchor distT="45720" distB="45720" distL="114300" distR="114300" simplePos="0" relativeHeight="251709952" behindDoc="0" locked="0" layoutInCell="1" allowOverlap="1" wp14:anchorId="666F4D07" wp14:editId="50F05F9E">
                <wp:simplePos x="0" y="0"/>
                <wp:positionH relativeFrom="margin">
                  <wp:posOffset>2322902</wp:posOffset>
                </wp:positionH>
                <wp:positionV relativeFrom="paragraph">
                  <wp:posOffset>24550</wp:posOffset>
                </wp:positionV>
                <wp:extent cx="892175" cy="372745"/>
                <wp:effectExtent l="0" t="0" r="0" b="0"/>
                <wp:wrapNone/>
                <wp:docPr id="1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175" cy="372745"/>
                        </a:xfrm>
                        <a:prstGeom prst="rect">
                          <a:avLst/>
                        </a:prstGeom>
                        <a:noFill/>
                        <a:ln w="9525">
                          <a:noFill/>
                          <a:miter lim="800000"/>
                          <a:headEnd/>
                          <a:tailEnd/>
                        </a:ln>
                      </wps:spPr>
                      <wps:txbx>
                        <w:txbxContent>
                          <w:p w14:paraId="464627B1" w14:textId="77777777" w:rsidR="00033A42" w:rsidRPr="00671D26" w:rsidRDefault="00033A42" w:rsidP="00033A42">
                            <w:pPr>
                              <w:jc w:val="center"/>
                              <w:rPr>
                                <w:sz w:val="14"/>
                                <w:szCs w:val="14"/>
                              </w:rPr>
                            </w:pPr>
                            <w:r>
                              <w:rPr>
                                <w:sz w:val="14"/>
                                <w:szCs w:val="14"/>
                              </w:rPr>
                              <w:t xml:space="preserve">Central Securities </w:t>
                            </w:r>
                            <w:r>
                              <w:rPr>
                                <w:sz w:val="14"/>
                                <w:szCs w:val="14"/>
                              </w:rPr>
                              <w:t>Depositary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F4D07" id="_x0000_s1056" type="#_x0000_t202" style="position:absolute;left:0;text-align:left;margin-left:182.9pt;margin-top:1.95pt;width:70.25pt;height:29.35pt;z-index:25170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" filled="f" stroked="f">
                <v:textbox>
                  <w:txbxContent>
                    <w:p w14:paraId="464627B1" w14:textId="77777777" w:rsidR="00033A42" w:rsidRPr="00671D26" w:rsidRDefault="00033A42" w:rsidP="00033A42">
                      <w:pPr>
                        <w:jc w:val="center"/>
                        <w:rPr>
                          <w:sz w:val="14"/>
                          <w:szCs w:val="14"/>
                        </w:rPr>
                      </w:pPr>
                      <w:r>
                        <w:rPr>
                          <w:sz w:val="14"/>
                          <w:szCs w:val="14"/>
                        </w:rPr>
                        <w:t xml:space="preserve">Central Securities </w:t>
                      </w:r>
                      <w:r>
                        <w:rPr>
                          <w:sz w:val="14"/>
                          <w:szCs w:val="14"/>
                        </w:rPr>
                        <w:t>Depositary</w:t>
                      </w:r>
                    </w:p>
                  </w:txbxContent>
                </v:textbox>
                <w10:wrap anchorx="margin"/>
              </v:shape>
            </w:pict>
          </mc:Fallback>
        </mc:AlternateContent>
      </w:r>
      <w:r w:rsidR="00F07AA3" w:rsidRPr="002121A4">
        <w:rPr>
          <w:lang w:val="en-GB"/>
        </w:rPr>
        <w:object w:dxaOrig="9591" w:dyaOrig="5407" w14:anchorId="26E8E490">
          <v:shape id="_x0000_i1029" type="#_x0000_t75" style="width:434.45pt;height:244.15pt" o:ole="">
            <v:imagedata r:id="rId12" o:title=""/>
          </v:shape>
          <o:OLEObject Type="Embed" ProgID="PowerPoint.Show.12" ShapeID="_x0000_i1029" DrawAspect="Content" ObjectID="_1823795038" r:id="rId36"/>
        </w:object>
      </w:r>
    </w:p>
    <w:p w14:paraId="6CEC32E3" w14:textId="21CB7A93" w:rsidR="00033A42" w:rsidRPr="002121A4" w:rsidRDefault="00270434"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_Ref163121832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5</w:t>
      </w:r>
      <w:r w:rsidRPr="002121A4">
        <w:rPr>
          <w:b/>
          <w:sz w:val="19"/>
          <w:szCs w:val="19"/>
          <w:lang w:val="en-GB"/>
        </w:rPr>
        <w:fldChar w:fldCharType="end"/>
      </w:r>
      <w:r w:rsidRPr="002121A4">
        <w:rPr>
          <w:b/>
          <w:sz w:val="19"/>
          <w:szCs w:val="19"/>
          <w:lang w:val="en-GB"/>
        </w:rPr>
        <w:t xml:space="preserve"> (p. 10).</w:t>
      </w:r>
      <w:r w:rsidRPr="002121A4">
        <w:rPr>
          <w:sz w:val="19"/>
          <w:szCs w:val="19"/>
          <w:lang w:val="en-GB"/>
        </w:rPr>
        <w:t xml:space="preserve"> The notes are riskier than a “usual” bond of the type described in Case Study 2, p. 5 above because investors have no actionable claim to payment of interest or principal, and there is no scheduled maturity date. </w:t>
      </w:r>
      <w:r w:rsidR="0065682A">
        <w:rPr>
          <w:sz w:val="19"/>
          <w:szCs w:val="19"/>
          <w:lang w:val="en-GB"/>
        </w:rPr>
        <w:t xml:space="preserve">Exposure to risks of this type </w:t>
      </w:r>
      <w:r w:rsidRPr="002121A4">
        <w:rPr>
          <w:sz w:val="19"/>
          <w:szCs w:val="19"/>
          <w:lang w:val="en-GB"/>
        </w:rPr>
        <w:t xml:space="preserve">may be reflected in legislation at various levels: as regards marketing and distribution, one could think of limiting the permissible target markets, </w:t>
      </w:r>
      <w:r w:rsidR="00177262">
        <w:rPr>
          <w:sz w:val="19"/>
          <w:szCs w:val="19"/>
          <w:lang w:val="en-GB"/>
        </w:rPr>
        <w:t xml:space="preserve">and </w:t>
      </w:r>
      <w:r w:rsidRPr="002121A4">
        <w:rPr>
          <w:sz w:val="19"/>
          <w:szCs w:val="19"/>
          <w:lang w:val="en-GB"/>
        </w:rPr>
        <w:t>of creating requirements to give advice to prospective investors (see, e.g., MiFID II requirements for investment firms, section 3.3.1.3 p. 24). Distribution and/or admission to trading could also be made subject to disclosure obligations, e.g., a securities prospectus (see chapter 4, p. 31ff.). The issuer of instruments admitted to trading may be subject to subsequent disclosure obli</w:t>
      </w:r>
      <w:r w:rsidR="004A7D6C" w:rsidRPr="002121A4">
        <w:rPr>
          <w:sz w:val="19"/>
          <w:szCs w:val="19"/>
          <w:lang w:val="en-GB"/>
        </w:rPr>
        <w:t>g</w:t>
      </w:r>
      <w:r w:rsidRPr="002121A4">
        <w:rPr>
          <w:sz w:val="19"/>
          <w:szCs w:val="19"/>
          <w:lang w:val="en-GB"/>
        </w:rPr>
        <w:t>ations, e.g.</w:t>
      </w:r>
      <w:r w:rsidR="00EB2355">
        <w:rPr>
          <w:sz w:val="19"/>
          <w:szCs w:val="19"/>
          <w:lang w:val="en-GB"/>
        </w:rPr>
        <w:t>,</w:t>
      </w:r>
      <w:r w:rsidRPr="002121A4">
        <w:rPr>
          <w:sz w:val="19"/>
          <w:szCs w:val="19"/>
          <w:lang w:val="en-GB"/>
        </w:rPr>
        <w:t xml:space="preserve"> disclosures of recurring information (in particular, financial reports, see chapter 6, p. 55ff.) as well as singular events (in particular, inside information, see chapter 5 p.</w:t>
      </w:r>
      <w:r w:rsidR="003B56F6">
        <w:rPr>
          <w:sz w:val="19"/>
          <w:szCs w:val="19"/>
          <w:lang w:val="en-GB"/>
        </w:rPr>
        <w:t> </w:t>
      </w:r>
      <w:r w:rsidRPr="002121A4">
        <w:rPr>
          <w:sz w:val="19"/>
          <w:szCs w:val="19"/>
          <w:lang w:val="en-GB"/>
        </w:rPr>
        <w:t>40). Certain mechanisms of investor protection may apply in the context of takeover bids and the acquisition of a controlling stake (see chapter 7, p. 62ff.).</w:t>
      </w:r>
    </w:p>
    <w:p w14:paraId="703D4AC9" w14:textId="1612E7B9" w:rsidR="00890062" w:rsidRPr="002121A4" w:rsidRDefault="00890062" w:rsidP="00D66A13">
      <w:pPr>
        <w:rPr>
          <w:b/>
          <w:sz w:val="19"/>
          <w:szCs w:val="19"/>
          <w:lang w:val="en-GB"/>
        </w:rPr>
      </w:pPr>
      <w:r w:rsidRPr="002121A4">
        <w:rPr>
          <w:b/>
          <w:sz w:val="19"/>
          <w:szCs w:val="19"/>
          <w:lang w:val="en-GB"/>
        </w:rPr>
        <w:fldChar w:fldCharType="begin"/>
      </w:r>
      <w:r w:rsidRPr="002121A4">
        <w:rPr>
          <w:b/>
          <w:sz w:val="19"/>
          <w:szCs w:val="19"/>
          <w:lang w:val="en-GB"/>
        </w:rPr>
        <w:instrText xml:space="preserve"> REF _Ref163121987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_Ref163121987 \h </w:instrText>
      </w:r>
      <w:r w:rsidRPr="002121A4">
        <w:rPr>
          <w:b/>
          <w:sz w:val="19"/>
          <w:szCs w:val="19"/>
          <w:lang w:val="en-GB"/>
        </w:rPr>
      </w:r>
      <w:r w:rsidRPr="002121A4">
        <w:rPr>
          <w:b/>
          <w:sz w:val="19"/>
          <w:szCs w:val="19"/>
          <w:lang w:val="en-GB"/>
        </w:rPr>
        <w:fldChar w:fldCharType="separate"/>
      </w:r>
      <w:r w:rsidR="00D56145">
        <w:rPr>
          <w:b/>
          <w:noProof/>
          <w:sz w:val="19"/>
          <w:szCs w:val="19"/>
          <w:lang w:val="en-GB"/>
        </w:rPr>
        <w:t>12</w:t>
      </w:r>
      <w:r w:rsidRPr="002121A4">
        <w:rPr>
          <w:b/>
          <w:sz w:val="19"/>
          <w:szCs w:val="19"/>
          <w:lang w:val="en-GB"/>
        </w:rPr>
        <w:fldChar w:fldCharType="end"/>
      </w:r>
      <w:r w:rsidRPr="002121A4">
        <w:rPr>
          <w:b/>
          <w:sz w:val="19"/>
          <w:szCs w:val="19"/>
          <w:lang w:val="en-GB"/>
        </w:rPr>
        <w:t xml:space="preserve">). </w:t>
      </w:r>
    </w:p>
    <w:tbl>
      <w:tblPr>
        <w:tblpPr w:leftFromText="180" w:rightFromText="180" w:vertAnchor="text" w:tblpY="1"/>
        <w:tblOverlap w:val="never"/>
        <w:tblW w:w="9204" w:type="dxa"/>
        <w:tblLayout w:type="fixed"/>
        <w:tblCellMar>
          <w:left w:w="0" w:type="dxa"/>
          <w:right w:w="0" w:type="dxa"/>
        </w:tblCellMar>
        <w:tblLook w:val="04A0" w:firstRow="1" w:lastRow="0" w:firstColumn="1" w:lastColumn="0" w:noHBand="0" w:noVBand="1"/>
      </w:tblPr>
      <w:tblGrid>
        <w:gridCol w:w="2258"/>
        <w:gridCol w:w="6946"/>
      </w:tblGrid>
      <w:tr w:rsidR="00890062" w:rsidRPr="002121A4" w14:paraId="311BA425" w14:textId="77777777" w:rsidTr="00312881">
        <w:trPr>
          <w:trHeight w:val="340"/>
        </w:trPr>
        <w:tc>
          <w:tcPr>
            <w:tcW w:w="2258"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41E25A26" w14:textId="77777777" w:rsidR="00890062" w:rsidRPr="002121A4" w:rsidRDefault="00890062" w:rsidP="00312881">
            <w:pPr>
              <w:keepNext/>
              <w:jc w:val="center"/>
              <w:rPr>
                <w:b/>
                <w:sz w:val="18"/>
                <w:szCs w:val="18"/>
                <w:lang w:val="en-GB"/>
              </w:rPr>
            </w:pPr>
            <w:proofErr w:type="spellStart"/>
            <w:r w:rsidRPr="002121A4">
              <w:rPr>
                <w:b/>
                <w:sz w:val="18"/>
                <w:szCs w:val="18"/>
                <w:lang w:val="en-GB"/>
              </w:rPr>
              <w:t>Lamfalussy</w:t>
            </w:r>
            <w:proofErr w:type="spellEnd"/>
            <w:r w:rsidRPr="002121A4">
              <w:rPr>
                <w:b/>
                <w:sz w:val="18"/>
                <w:szCs w:val="18"/>
                <w:lang w:val="en-GB"/>
              </w:rPr>
              <w:t xml:space="preserve"> process levels</w:t>
            </w:r>
          </w:p>
        </w:tc>
        <w:tc>
          <w:tcPr>
            <w:tcW w:w="6946" w:type="dxa"/>
            <w:tcBorders>
              <w:top w:val="single" w:sz="8" w:space="0" w:color="FFFFFF"/>
              <w:left w:val="single" w:sz="8" w:space="0" w:color="FFFFFF"/>
              <w:bottom w:val="single" w:sz="24" w:space="0" w:color="FFFFFF"/>
              <w:right w:val="single" w:sz="8" w:space="0" w:color="FFFFFF"/>
            </w:tcBorders>
            <w:shd w:val="clear" w:color="auto" w:fill="D9E2F3" w:themeFill="accent1" w:themeFillTint="33"/>
            <w:tcMar>
              <w:top w:w="15" w:type="dxa"/>
              <w:left w:w="108" w:type="dxa"/>
              <w:bottom w:w="0" w:type="dxa"/>
              <w:right w:w="108" w:type="dxa"/>
            </w:tcMar>
            <w:hideMark/>
          </w:tcPr>
          <w:p w14:paraId="23A94DD5" w14:textId="77777777" w:rsidR="00890062" w:rsidRPr="002121A4" w:rsidRDefault="00890062" w:rsidP="00312881">
            <w:pPr>
              <w:keepNext/>
              <w:jc w:val="center"/>
              <w:rPr>
                <w:b/>
                <w:sz w:val="18"/>
                <w:szCs w:val="18"/>
                <w:lang w:val="en-GB"/>
              </w:rPr>
            </w:pPr>
            <w:r w:rsidRPr="002121A4">
              <w:rPr>
                <w:b/>
                <w:sz w:val="18"/>
                <w:szCs w:val="18"/>
                <w:lang w:val="en-GB"/>
              </w:rPr>
              <w:t>Instrument</w:t>
            </w:r>
          </w:p>
        </w:tc>
      </w:tr>
      <w:tr w:rsidR="00890062" w:rsidRPr="002121A4" w14:paraId="64BEAC21"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hideMark/>
          </w:tcPr>
          <w:p w14:paraId="0C74E906" w14:textId="77777777" w:rsidR="00890062" w:rsidRPr="002121A4" w:rsidRDefault="00890062" w:rsidP="00312881">
            <w:pPr>
              <w:keepNext/>
              <w:jc w:val="center"/>
              <w:rPr>
                <w:b/>
                <w:sz w:val="18"/>
                <w:szCs w:val="18"/>
                <w:lang w:val="en-GB"/>
              </w:rPr>
            </w:pPr>
            <w:r w:rsidRPr="002121A4">
              <w:rPr>
                <w:b/>
                <w:sz w:val="18"/>
                <w:szCs w:val="18"/>
                <w:lang w:val="en-GB"/>
              </w:rPr>
              <w:t>Level 1</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7C1C4CE3" w14:textId="77777777" w:rsidR="00890062" w:rsidRPr="002121A4" w:rsidRDefault="00890062" w:rsidP="00312881">
            <w:pPr>
              <w:keepNext/>
              <w:jc w:val="center"/>
              <w:rPr>
                <w:sz w:val="18"/>
                <w:szCs w:val="18"/>
                <w:lang w:val="en-GB"/>
              </w:rPr>
            </w:pPr>
            <w:r w:rsidRPr="002121A4">
              <w:rPr>
                <w:sz w:val="18"/>
                <w:szCs w:val="18"/>
                <w:lang w:val="en-GB"/>
              </w:rPr>
              <w:t>EU Prospectus Regulation 2017/1129 (PR)</w:t>
            </w:r>
          </w:p>
        </w:tc>
      </w:tr>
      <w:tr w:rsidR="00890062" w:rsidRPr="00080F04" w14:paraId="24F8E5F8"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01DE5E03" w14:textId="77777777" w:rsidR="00890062" w:rsidRPr="002121A4" w:rsidRDefault="00890062" w:rsidP="00312881">
            <w:pPr>
              <w:keepNext/>
              <w:jc w:val="center"/>
              <w:rPr>
                <w:b/>
                <w:sz w:val="18"/>
                <w:szCs w:val="18"/>
                <w:lang w:val="en-GB"/>
              </w:rPr>
            </w:pPr>
            <w:r w:rsidRPr="002121A4">
              <w:rPr>
                <w:b/>
                <w:sz w:val="18"/>
                <w:szCs w:val="18"/>
                <w:lang w:val="en-GB"/>
              </w:rPr>
              <w:t>Level 2</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4AC93B68" w14:textId="77777777" w:rsidR="00890062" w:rsidRPr="002121A4" w:rsidRDefault="00890062" w:rsidP="00312881">
            <w:pPr>
              <w:keepNext/>
              <w:jc w:val="center"/>
              <w:rPr>
                <w:sz w:val="18"/>
                <w:szCs w:val="18"/>
                <w:lang w:val="en-GB"/>
              </w:rPr>
            </w:pPr>
            <w:r w:rsidRPr="002121A4">
              <w:rPr>
                <w:sz w:val="18"/>
                <w:szCs w:val="18"/>
                <w:lang w:val="en-GB"/>
              </w:rPr>
              <w:t>Delegated Acts (e.g., regulations 979 and 980/2019)</w:t>
            </w:r>
          </w:p>
        </w:tc>
      </w:tr>
      <w:tr w:rsidR="00890062" w:rsidRPr="00080F04" w14:paraId="7A9067A8"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7B9B15C2" w14:textId="77777777" w:rsidR="00890062" w:rsidRPr="002121A4" w:rsidRDefault="00890062" w:rsidP="00312881">
            <w:pPr>
              <w:keepNext/>
              <w:jc w:val="center"/>
              <w:rPr>
                <w:b/>
                <w:sz w:val="18"/>
                <w:szCs w:val="18"/>
                <w:lang w:val="en-GB"/>
              </w:rPr>
            </w:pPr>
            <w:r w:rsidRPr="002121A4">
              <w:rPr>
                <w:b/>
                <w:sz w:val="18"/>
                <w:szCs w:val="18"/>
                <w:lang w:val="en-GB"/>
              </w:rPr>
              <w:lastRenderedPageBreak/>
              <w:t>Level 3</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079EBC4D" w14:textId="6544C065" w:rsidR="00890062" w:rsidRPr="002121A4" w:rsidRDefault="00890062" w:rsidP="00312881">
            <w:pPr>
              <w:keepNext/>
              <w:jc w:val="center"/>
              <w:rPr>
                <w:sz w:val="18"/>
                <w:szCs w:val="18"/>
                <w:lang w:val="en-GB"/>
              </w:rPr>
            </w:pPr>
            <w:r w:rsidRPr="002121A4">
              <w:rPr>
                <w:sz w:val="18"/>
                <w:szCs w:val="18"/>
                <w:lang w:val="en-GB"/>
              </w:rPr>
              <w:t>ESMA Guidelines on Risk Factors</w:t>
            </w:r>
            <w:r w:rsidRPr="002121A4">
              <w:rPr>
                <w:rStyle w:val="Funotenzeichen"/>
                <w:sz w:val="18"/>
                <w:szCs w:val="18"/>
                <w:lang w:val="en-GB"/>
              </w:rPr>
              <w:footnoteReference w:id="336"/>
            </w:r>
            <w:r w:rsidRPr="002121A4">
              <w:rPr>
                <w:sz w:val="18"/>
                <w:szCs w:val="18"/>
                <w:lang w:val="en-GB"/>
              </w:rPr>
              <w:t xml:space="preserve">: </w:t>
            </w:r>
            <w:r>
              <w:fldChar w:fldCharType="begin"/>
            </w:r>
            <w:r w:rsidRPr="00080F04">
              <w:rPr>
                <w:lang w:val="en-US"/>
              </w:rPr>
              <w:instrText>HYPERLINK "https://www.esma.europa.eu/document/guidelines-risk-factors-under-prospectus-regulation"</w:instrText>
            </w:r>
            <w:r>
              <w:fldChar w:fldCharType="separate"/>
            </w:r>
            <w:r w:rsidRPr="002121A4">
              <w:rPr>
                <w:rStyle w:val="Hyperlink"/>
                <w:sz w:val="18"/>
                <w:szCs w:val="18"/>
                <w:lang w:val="en-GB"/>
              </w:rPr>
              <w:t>https://www.esma.europa.eu/document/guidelines-risk-factors-under-prospectus-regulation</w:t>
            </w:r>
            <w:r>
              <w:fldChar w:fldCharType="end"/>
            </w:r>
            <w:r w:rsidRPr="002121A4">
              <w:rPr>
                <w:sz w:val="18"/>
                <w:szCs w:val="18"/>
                <w:lang w:val="en-GB"/>
              </w:rPr>
              <w:t xml:space="preserve">  </w:t>
            </w:r>
          </w:p>
          <w:p w14:paraId="6FAA7D28" w14:textId="2131F649" w:rsidR="00890062" w:rsidRPr="00F9205E" w:rsidRDefault="00890062" w:rsidP="00312881">
            <w:pPr>
              <w:keepNext/>
              <w:jc w:val="center"/>
              <w:rPr>
                <w:sz w:val="18"/>
                <w:szCs w:val="18"/>
                <w:lang w:val="pt-BR"/>
              </w:rPr>
            </w:pPr>
            <w:r w:rsidRPr="00F9205E">
              <w:rPr>
                <w:sz w:val="18"/>
                <w:szCs w:val="18"/>
                <w:lang w:val="pt-BR"/>
              </w:rPr>
              <w:t xml:space="preserve">ESMA </w:t>
            </w:r>
            <w:proofErr w:type="spellStart"/>
            <w:r w:rsidRPr="00F9205E">
              <w:rPr>
                <w:sz w:val="18"/>
                <w:szCs w:val="18"/>
                <w:lang w:val="pt-BR"/>
              </w:rPr>
              <w:t>Q&amp;As</w:t>
            </w:r>
            <w:proofErr w:type="spellEnd"/>
            <w:r w:rsidRPr="00F9205E">
              <w:rPr>
                <w:sz w:val="18"/>
                <w:szCs w:val="18"/>
                <w:lang w:val="pt-BR"/>
              </w:rPr>
              <w:t xml:space="preserve">: </w:t>
            </w:r>
            <w:r>
              <w:fldChar w:fldCharType="begin"/>
            </w:r>
            <w:r w:rsidRPr="00080F04">
              <w:rPr>
                <w:lang w:val="pt-BR"/>
              </w:rPr>
              <w:instrText>HYPERLINK "https://www.esma.europa.eu/document/qas-prospectus-regulation"</w:instrText>
            </w:r>
            <w:r>
              <w:fldChar w:fldCharType="separate"/>
            </w:r>
            <w:r w:rsidRPr="00F9205E">
              <w:rPr>
                <w:rStyle w:val="Hyperlink"/>
                <w:sz w:val="18"/>
                <w:szCs w:val="18"/>
                <w:lang w:val="pt-BR"/>
              </w:rPr>
              <w:t>https://www.esma.europa.eu/document/qas-prospectus-regulation</w:t>
            </w:r>
            <w:r>
              <w:fldChar w:fldCharType="end"/>
            </w:r>
            <w:r w:rsidRPr="00F9205E">
              <w:rPr>
                <w:sz w:val="18"/>
                <w:szCs w:val="18"/>
                <w:lang w:val="pt-BR"/>
              </w:rPr>
              <w:t xml:space="preserve"> </w:t>
            </w:r>
          </w:p>
        </w:tc>
      </w:tr>
      <w:tr w:rsidR="00890062" w:rsidRPr="002121A4" w14:paraId="354185B9"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10E58940" w14:textId="77777777" w:rsidR="00890062" w:rsidRPr="002121A4" w:rsidRDefault="00890062" w:rsidP="00312881">
            <w:pPr>
              <w:keepNext/>
              <w:jc w:val="center"/>
              <w:rPr>
                <w:b/>
                <w:sz w:val="18"/>
                <w:szCs w:val="18"/>
                <w:lang w:val="en-GB"/>
              </w:rPr>
            </w:pPr>
            <w:r w:rsidRPr="002121A4">
              <w:rPr>
                <w:b/>
                <w:sz w:val="18"/>
                <w:szCs w:val="18"/>
                <w:lang w:val="en-GB"/>
              </w:rPr>
              <w:t>Level 4</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50CF2168" w14:textId="77777777" w:rsidR="00890062" w:rsidRPr="002121A4" w:rsidRDefault="00890062" w:rsidP="00312881">
            <w:pPr>
              <w:keepNext/>
              <w:jc w:val="center"/>
              <w:rPr>
                <w:sz w:val="18"/>
                <w:szCs w:val="18"/>
                <w:lang w:val="en-GB"/>
              </w:rPr>
            </w:pPr>
            <w:r w:rsidRPr="002121A4">
              <w:rPr>
                <w:sz w:val="18"/>
                <w:szCs w:val="18"/>
                <w:lang w:val="en-GB"/>
              </w:rPr>
              <w:t>ESMA peer reviews</w:t>
            </w:r>
          </w:p>
        </w:tc>
      </w:tr>
      <w:tr w:rsidR="00890062" w:rsidRPr="002121A4" w14:paraId="493A86A2" w14:textId="77777777" w:rsidTr="00312881">
        <w:trPr>
          <w:trHeight w:val="340"/>
        </w:trPr>
        <w:tc>
          <w:tcPr>
            <w:tcW w:w="2258" w:type="dxa"/>
            <w:tcBorders>
              <w:top w:val="single" w:sz="8" w:space="0" w:color="FFFFFF"/>
              <w:left w:val="single" w:sz="8" w:space="0" w:color="FFFFFF"/>
              <w:bottom w:val="single" w:sz="8" w:space="0" w:color="FFFFFF"/>
              <w:right w:val="single" w:sz="8" w:space="0" w:color="FFFFFF"/>
            </w:tcBorders>
            <w:shd w:val="clear" w:color="auto" w:fill="D9E2F3" w:themeFill="accent1" w:themeFillTint="33"/>
            <w:tcMar>
              <w:top w:w="15" w:type="dxa"/>
              <w:left w:w="108" w:type="dxa"/>
              <w:bottom w:w="0" w:type="dxa"/>
              <w:right w:w="108" w:type="dxa"/>
            </w:tcMar>
          </w:tcPr>
          <w:p w14:paraId="2DB3D61C" w14:textId="77777777" w:rsidR="00890062" w:rsidRPr="002121A4" w:rsidRDefault="00890062" w:rsidP="00312881">
            <w:pPr>
              <w:keepNext/>
              <w:jc w:val="center"/>
              <w:rPr>
                <w:b/>
                <w:sz w:val="18"/>
                <w:szCs w:val="18"/>
                <w:lang w:val="en-GB"/>
              </w:rPr>
            </w:pPr>
            <w:r w:rsidRPr="002121A4">
              <w:rPr>
                <w:b/>
                <w:sz w:val="18"/>
                <w:szCs w:val="18"/>
                <w:lang w:val="en-GB"/>
              </w:rPr>
              <w:t>Role of German law</w:t>
            </w:r>
          </w:p>
        </w:tc>
        <w:tc>
          <w:tcPr>
            <w:tcW w:w="6946"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tcPr>
          <w:p w14:paraId="6729CA15" w14:textId="77777777" w:rsidR="00890062" w:rsidRPr="002121A4" w:rsidRDefault="00890062" w:rsidP="00312881">
            <w:pPr>
              <w:keepNext/>
              <w:jc w:val="center"/>
              <w:rPr>
                <w:sz w:val="18"/>
                <w:szCs w:val="18"/>
                <w:lang w:val="en-GB"/>
              </w:rPr>
            </w:pPr>
            <w:proofErr w:type="spellStart"/>
            <w:r w:rsidRPr="002121A4">
              <w:rPr>
                <w:sz w:val="18"/>
                <w:szCs w:val="18"/>
                <w:lang w:val="en-GB"/>
              </w:rPr>
              <w:t>Wertpapierprospektgesetz</w:t>
            </w:r>
            <w:proofErr w:type="spellEnd"/>
            <w:r w:rsidRPr="002121A4">
              <w:rPr>
                <w:sz w:val="18"/>
                <w:szCs w:val="18"/>
                <w:lang w:val="en-GB"/>
              </w:rPr>
              <w:t xml:space="preserve"> (</w:t>
            </w:r>
            <w:proofErr w:type="spellStart"/>
            <w:r w:rsidRPr="002121A4">
              <w:rPr>
                <w:sz w:val="18"/>
                <w:szCs w:val="18"/>
                <w:lang w:val="en-GB"/>
              </w:rPr>
              <w:t>WpPG</w:t>
            </w:r>
            <w:proofErr w:type="spellEnd"/>
            <w:r w:rsidRPr="002121A4">
              <w:rPr>
                <w:sz w:val="18"/>
                <w:szCs w:val="18"/>
                <w:lang w:val="en-GB"/>
              </w:rPr>
              <w:t>)</w:t>
            </w:r>
          </w:p>
        </w:tc>
      </w:tr>
    </w:tbl>
    <w:p w14:paraId="00C5DE00" w14:textId="0D50472F" w:rsidR="00890062" w:rsidRDefault="00A75C02"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_Ref163122061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_Ref163122061 \h </w:instrText>
      </w:r>
      <w:r w:rsidRPr="002121A4">
        <w:rPr>
          <w:b/>
          <w:sz w:val="19"/>
          <w:szCs w:val="19"/>
          <w:lang w:val="en-GB"/>
        </w:rPr>
      </w:r>
      <w:r w:rsidRPr="002121A4">
        <w:rPr>
          <w:b/>
          <w:sz w:val="19"/>
          <w:szCs w:val="19"/>
          <w:lang w:val="en-GB"/>
        </w:rPr>
        <w:fldChar w:fldCharType="separate"/>
      </w:r>
      <w:r w:rsidR="00D56145">
        <w:rPr>
          <w:b/>
          <w:noProof/>
          <w:sz w:val="19"/>
          <w:szCs w:val="19"/>
          <w:lang w:val="en-GB"/>
        </w:rPr>
        <w:t>13</w:t>
      </w:r>
      <w:r w:rsidRPr="002121A4">
        <w:rPr>
          <w:b/>
          <w:sz w:val="19"/>
          <w:szCs w:val="19"/>
          <w:lang w:val="en-GB"/>
        </w:rPr>
        <w:fldChar w:fldCharType="end"/>
      </w:r>
      <w:r w:rsidRPr="002121A4">
        <w:rPr>
          <w:b/>
          <w:sz w:val="19"/>
          <w:szCs w:val="19"/>
          <w:lang w:val="en-GB"/>
        </w:rPr>
        <w:t>).</w:t>
      </w:r>
      <w:r w:rsidRPr="002121A4">
        <w:rPr>
          <w:sz w:val="19"/>
          <w:szCs w:val="19"/>
          <w:lang w:val="en-GB"/>
        </w:rPr>
        <w:t xml:space="preserve"> Judicial review pursuant to article 263 TFEU is limited to measures with “binding</w:t>
      </w:r>
      <w:r w:rsidR="00C7518A">
        <w:rPr>
          <w:sz w:val="19"/>
          <w:szCs w:val="19"/>
          <w:lang w:val="en-GB"/>
        </w:rPr>
        <w:t>”</w:t>
      </w:r>
      <w:r w:rsidRPr="002121A4">
        <w:rPr>
          <w:sz w:val="19"/>
          <w:szCs w:val="19"/>
          <w:lang w:val="en-GB"/>
        </w:rPr>
        <w:t xml:space="preserve"> legal effect.</w:t>
      </w:r>
      <w:r w:rsidR="00C7518A">
        <w:rPr>
          <w:rStyle w:val="Funotenzeichen"/>
          <w:sz w:val="19"/>
          <w:szCs w:val="19"/>
          <w:lang w:val="en-GB"/>
        </w:rPr>
        <w:footnoteReference w:id="337"/>
      </w:r>
      <w:r w:rsidRPr="002121A4">
        <w:rPr>
          <w:sz w:val="19"/>
          <w:szCs w:val="19"/>
          <w:lang w:val="en-GB"/>
        </w:rPr>
        <w:t xml:space="preserve"> Accordingly, article 263 TFEU does not allow for review of guidelines as these instruments are not binding</w:t>
      </w:r>
      <w:r w:rsidR="00C0708B">
        <w:rPr>
          <w:sz w:val="19"/>
          <w:szCs w:val="19"/>
          <w:lang w:val="en-GB"/>
        </w:rPr>
        <w:t xml:space="preserve"> as is the case for ESMA guidelines pursuant to </w:t>
      </w:r>
      <w:r w:rsidRPr="002121A4">
        <w:rPr>
          <w:sz w:val="19"/>
          <w:szCs w:val="19"/>
          <w:lang w:val="en-GB"/>
        </w:rPr>
        <w:t>article 16(3) ESMA Regulation. By contrast, review pursuant article 267 TFEU extends to the validity of any EU act without exception</w:t>
      </w:r>
      <w:r w:rsidR="00D62A47">
        <w:rPr>
          <w:sz w:val="19"/>
          <w:szCs w:val="19"/>
          <w:lang w:val="en-GB"/>
        </w:rPr>
        <w:t>, so is not limited to acts with binding legal effects</w:t>
      </w:r>
      <w:r w:rsidRPr="002121A4">
        <w:rPr>
          <w:sz w:val="19"/>
          <w:szCs w:val="19"/>
          <w:lang w:val="en-GB"/>
        </w:rPr>
        <w:t>.</w:t>
      </w:r>
      <w:r w:rsidR="00D62A47">
        <w:rPr>
          <w:rStyle w:val="Funotenzeichen"/>
          <w:sz w:val="19"/>
          <w:szCs w:val="19"/>
          <w:lang w:val="en-GB"/>
        </w:rPr>
        <w:footnoteReference w:id="338"/>
      </w:r>
      <w:r w:rsidRPr="002121A4">
        <w:rPr>
          <w:sz w:val="19"/>
          <w:szCs w:val="19"/>
          <w:lang w:val="en-GB"/>
        </w:rPr>
        <w:t xml:space="preserve"> Accordingly, it is possible to put forward an argument based on the invalidity of the ESMA guidelines in any domestic litigation which would then allow for a request for a preliminary ruling under article 267 TFEU.</w:t>
      </w:r>
    </w:p>
    <w:p w14:paraId="00009EE3" w14:textId="753AEAD6" w:rsidR="002D0C0F" w:rsidRPr="00C114BE" w:rsidRDefault="002D0C0F" w:rsidP="002D0C0F">
      <w:pPr>
        <w:rPr>
          <w:sz w:val="19"/>
          <w:szCs w:val="19"/>
          <w:lang w:val="en-GB"/>
        </w:rPr>
      </w:pPr>
      <w:r w:rsidRPr="00C114BE">
        <w:rPr>
          <w:b/>
          <w:sz w:val="19"/>
          <w:szCs w:val="19"/>
          <w:lang w:val="en-GB"/>
        </w:rPr>
        <w:fldChar w:fldCharType="begin"/>
      </w:r>
      <w:r w:rsidRPr="00C114BE">
        <w:rPr>
          <w:b/>
          <w:sz w:val="19"/>
          <w:szCs w:val="19"/>
          <w:lang w:val="en-GB"/>
        </w:rPr>
        <w:instrText xml:space="preserve"> REF _Ref191905091 \r \h </w:instrText>
      </w:r>
      <w:r>
        <w:rPr>
          <w:b/>
          <w:sz w:val="19"/>
          <w:szCs w:val="19"/>
          <w:lang w:val="en-GB"/>
        </w:rPr>
        <w:instrText xml:space="preserve"> \* MERGEFORMAT </w:instrText>
      </w:r>
      <w:r w:rsidRPr="00C114BE">
        <w:rPr>
          <w:b/>
          <w:sz w:val="19"/>
          <w:szCs w:val="19"/>
          <w:lang w:val="en-GB"/>
        </w:rPr>
      </w:r>
      <w:r w:rsidRPr="00C114BE">
        <w:rPr>
          <w:b/>
          <w:sz w:val="19"/>
          <w:szCs w:val="19"/>
          <w:lang w:val="en-GB"/>
        </w:rPr>
        <w:fldChar w:fldCharType="separate"/>
      </w:r>
      <w:r w:rsidR="00D56145">
        <w:rPr>
          <w:b/>
          <w:sz w:val="19"/>
          <w:szCs w:val="19"/>
          <w:lang w:val="en-GB"/>
        </w:rPr>
        <w:t>Case Study 8</w:t>
      </w:r>
      <w:r w:rsidRPr="00C114BE">
        <w:rPr>
          <w:b/>
          <w:sz w:val="19"/>
          <w:szCs w:val="19"/>
          <w:lang w:val="en-GB"/>
        </w:rPr>
        <w:fldChar w:fldCharType="end"/>
      </w:r>
      <w:r w:rsidRPr="00C114BE">
        <w:rPr>
          <w:b/>
          <w:sz w:val="19"/>
          <w:szCs w:val="19"/>
          <w:lang w:val="en-GB"/>
        </w:rPr>
        <w:t xml:space="preserve"> (p. </w:t>
      </w:r>
      <w:r w:rsidRPr="00C114BE">
        <w:rPr>
          <w:b/>
          <w:sz w:val="19"/>
          <w:szCs w:val="19"/>
          <w:lang w:val="en-GB"/>
        </w:rPr>
        <w:fldChar w:fldCharType="begin"/>
      </w:r>
      <w:r w:rsidRPr="00C114BE">
        <w:rPr>
          <w:b/>
          <w:sz w:val="19"/>
          <w:szCs w:val="19"/>
          <w:lang w:val="en-GB"/>
        </w:rPr>
        <w:instrText xml:space="preserve"> PAGEREF _Ref191905091 \h </w:instrText>
      </w:r>
      <w:r w:rsidRPr="00C114BE">
        <w:rPr>
          <w:b/>
          <w:sz w:val="19"/>
          <w:szCs w:val="19"/>
          <w:lang w:val="en-GB"/>
        </w:rPr>
      </w:r>
      <w:r w:rsidRPr="00C114BE">
        <w:rPr>
          <w:b/>
          <w:sz w:val="19"/>
          <w:szCs w:val="19"/>
          <w:lang w:val="en-GB"/>
        </w:rPr>
        <w:fldChar w:fldCharType="separate"/>
      </w:r>
      <w:r w:rsidR="00D56145">
        <w:rPr>
          <w:b/>
          <w:noProof/>
          <w:sz w:val="19"/>
          <w:szCs w:val="19"/>
          <w:lang w:val="en-GB"/>
        </w:rPr>
        <w:t>16</w:t>
      </w:r>
      <w:r w:rsidRPr="00C114BE">
        <w:rPr>
          <w:b/>
          <w:sz w:val="19"/>
          <w:szCs w:val="19"/>
          <w:lang w:val="en-GB"/>
        </w:rPr>
        <w:fldChar w:fldCharType="end"/>
      </w:r>
      <w:r w:rsidRPr="00C114BE">
        <w:rPr>
          <w:b/>
          <w:lang w:val="en-US"/>
        </w:rPr>
        <w:t>).</w:t>
      </w:r>
      <w:r>
        <w:rPr>
          <w:b/>
          <w:lang w:val="en-US"/>
        </w:rPr>
        <w:t xml:space="preserve"> </w:t>
      </w:r>
      <w:r w:rsidRPr="0009572E">
        <w:rPr>
          <w:sz w:val="19"/>
          <w:szCs w:val="19"/>
          <w:lang w:val="en-GB"/>
        </w:rPr>
        <w:t>T</w:t>
      </w:r>
      <w:r w:rsidRPr="00C114BE">
        <w:rPr>
          <w:sz w:val="19"/>
          <w:szCs w:val="19"/>
          <w:lang w:val="en-GB"/>
        </w:rPr>
        <w:t xml:space="preserve">he terms ‘securities which are negotiable on the capital market’ within the meaning of </w:t>
      </w:r>
      <w:r>
        <w:rPr>
          <w:sz w:val="19"/>
          <w:szCs w:val="19"/>
          <w:lang w:val="en-GB"/>
        </w:rPr>
        <w:t>MiFID II must</w:t>
      </w:r>
      <w:r w:rsidRPr="00C114BE">
        <w:rPr>
          <w:sz w:val="19"/>
          <w:szCs w:val="19"/>
          <w:lang w:val="en-GB"/>
        </w:rPr>
        <w:t xml:space="preserve"> be interpreted broadly</w:t>
      </w:r>
      <w:r>
        <w:rPr>
          <w:sz w:val="19"/>
          <w:szCs w:val="19"/>
          <w:lang w:val="en-GB"/>
        </w:rPr>
        <w:t xml:space="preserve"> and includes </w:t>
      </w:r>
      <w:r w:rsidRPr="00C114BE">
        <w:rPr>
          <w:sz w:val="19"/>
          <w:szCs w:val="19"/>
          <w:lang w:val="en-GB"/>
        </w:rPr>
        <w:t>shares in companies, provided that the transfer of those securities is not subject to restrictions that would make their negotiability on the capital market impossible or extremely difficult.</w:t>
      </w:r>
      <w:r>
        <w:rPr>
          <w:rStyle w:val="Funotenzeichen"/>
          <w:sz w:val="19"/>
          <w:szCs w:val="19"/>
          <w:lang w:val="en-GB"/>
        </w:rPr>
        <w:footnoteReference w:id="339"/>
      </w:r>
      <w:r>
        <w:rPr>
          <w:sz w:val="19"/>
          <w:szCs w:val="19"/>
          <w:lang w:val="en-GB"/>
        </w:rPr>
        <w:t xml:space="preserve"> Such </w:t>
      </w:r>
      <w:r w:rsidRPr="00C114BE">
        <w:rPr>
          <w:sz w:val="19"/>
          <w:szCs w:val="19"/>
          <w:lang w:val="en-GB"/>
        </w:rPr>
        <w:t xml:space="preserve">broad interpretation of the concept of ‘securities’ follows from </w:t>
      </w:r>
      <w:r>
        <w:rPr>
          <w:sz w:val="19"/>
          <w:szCs w:val="19"/>
          <w:lang w:val="en-GB"/>
        </w:rPr>
        <w:t xml:space="preserve">recital </w:t>
      </w:r>
      <w:r w:rsidRPr="00C114BE">
        <w:rPr>
          <w:sz w:val="19"/>
          <w:szCs w:val="19"/>
          <w:lang w:val="en-GB"/>
        </w:rPr>
        <w:t xml:space="preserve">2 of the MiFID I Directive </w:t>
      </w:r>
      <w:r>
        <w:rPr>
          <w:sz w:val="19"/>
          <w:szCs w:val="19"/>
          <w:lang w:val="en-GB"/>
        </w:rPr>
        <w:t xml:space="preserve">(MiFID I </w:t>
      </w:r>
      <w:r w:rsidRPr="00C114BE">
        <w:rPr>
          <w:sz w:val="19"/>
          <w:szCs w:val="19"/>
          <w:lang w:val="en-GB"/>
        </w:rPr>
        <w:t xml:space="preserve">should encompass the </w:t>
      </w:r>
      <w:r>
        <w:rPr>
          <w:sz w:val="19"/>
          <w:szCs w:val="19"/>
          <w:lang w:val="en-GB"/>
        </w:rPr>
        <w:t>“</w:t>
      </w:r>
      <w:r w:rsidRPr="00C114BE">
        <w:rPr>
          <w:sz w:val="19"/>
          <w:szCs w:val="19"/>
          <w:lang w:val="en-GB"/>
        </w:rPr>
        <w:t>full range of investor-oriented activities</w:t>
      </w:r>
      <w:r>
        <w:rPr>
          <w:sz w:val="19"/>
          <w:szCs w:val="19"/>
          <w:lang w:val="en-GB"/>
        </w:rPr>
        <w:t xml:space="preserve">” and </w:t>
      </w:r>
      <w:r w:rsidRPr="00C114BE">
        <w:rPr>
          <w:sz w:val="19"/>
          <w:szCs w:val="19"/>
          <w:lang w:val="en-GB"/>
        </w:rPr>
        <w:t>recital 12 of the Prospectus Directive</w:t>
      </w:r>
      <w:r>
        <w:rPr>
          <w:sz w:val="19"/>
          <w:szCs w:val="19"/>
          <w:lang w:val="en-GB"/>
        </w:rPr>
        <w:t xml:space="preserve"> (</w:t>
      </w:r>
      <w:r w:rsidRPr="00C114BE">
        <w:rPr>
          <w:sz w:val="19"/>
          <w:szCs w:val="19"/>
          <w:lang w:val="en-GB"/>
        </w:rPr>
        <w:t xml:space="preserve">to ensure investor protection, </w:t>
      </w:r>
      <w:r>
        <w:rPr>
          <w:sz w:val="19"/>
          <w:szCs w:val="19"/>
          <w:lang w:val="en-GB"/>
        </w:rPr>
        <w:t xml:space="preserve">the directive adopts </w:t>
      </w:r>
      <w:r w:rsidRPr="00C114BE">
        <w:rPr>
          <w:sz w:val="19"/>
          <w:szCs w:val="19"/>
          <w:lang w:val="en-GB"/>
        </w:rPr>
        <w:t>a wide definition of the concept of ‘securities’</w:t>
      </w:r>
      <w:r>
        <w:rPr>
          <w:sz w:val="19"/>
          <w:szCs w:val="19"/>
          <w:lang w:val="en-GB"/>
        </w:rPr>
        <w:t>) and is consistent with the principles of investor protection and smooth market operation as per recital 44 MiFID I and recital 10 PD</w:t>
      </w:r>
      <w:r w:rsidRPr="00C114BE">
        <w:rPr>
          <w:sz w:val="19"/>
          <w:szCs w:val="19"/>
          <w:lang w:val="en-GB"/>
        </w:rPr>
        <w:t>.</w:t>
      </w:r>
      <w:r>
        <w:rPr>
          <w:rStyle w:val="Funotenzeichen"/>
          <w:sz w:val="19"/>
          <w:szCs w:val="19"/>
          <w:lang w:val="en-GB"/>
        </w:rPr>
        <w:footnoteReference w:id="340"/>
      </w:r>
      <w:r>
        <w:rPr>
          <w:sz w:val="19"/>
          <w:szCs w:val="19"/>
          <w:lang w:val="en-GB"/>
        </w:rPr>
        <w:t xml:space="preserve"> </w:t>
      </w:r>
      <w:r w:rsidRPr="00C114BE">
        <w:rPr>
          <w:sz w:val="19"/>
          <w:szCs w:val="19"/>
          <w:lang w:val="en-GB"/>
        </w:rPr>
        <w:t xml:space="preserve">Subject to verification by the referring court, </w:t>
      </w:r>
      <w:r>
        <w:rPr>
          <w:sz w:val="19"/>
          <w:szCs w:val="19"/>
          <w:lang w:val="en-GB"/>
        </w:rPr>
        <w:t xml:space="preserve">Holding Communal </w:t>
      </w:r>
      <w:r w:rsidRPr="00C114BE">
        <w:rPr>
          <w:sz w:val="19"/>
          <w:szCs w:val="19"/>
          <w:lang w:val="en-GB"/>
        </w:rPr>
        <w:t>shares do not appear to be subject to restrictions that make their trading between offerors of securities and investors impossible or extremely difficult, since those restrictions do not prevent those shares from being traded with a significant number of potential investors.</w:t>
      </w:r>
      <w:r>
        <w:rPr>
          <w:rStyle w:val="Funotenzeichen"/>
          <w:sz w:val="19"/>
          <w:szCs w:val="19"/>
          <w:lang w:val="en-GB"/>
        </w:rPr>
        <w:footnoteReference w:id="341"/>
      </w:r>
      <w:r>
        <w:rPr>
          <w:sz w:val="19"/>
          <w:szCs w:val="19"/>
          <w:lang w:val="en-GB"/>
        </w:rPr>
        <w:t xml:space="preserve"> The offer is not exempt from prospectus requirements as it is not one to “qualified investors” within the meaning of article 2(e) PR.</w:t>
      </w:r>
      <w:r>
        <w:rPr>
          <w:rStyle w:val="Funotenzeichen"/>
          <w:sz w:val="19"/>
          <w:szCs w:val="19"/>
          <w:lang w:val="en-GB"/>
        </w:rPr>
        <w:footnoteReference w:id="342"/>
      </w:r>
    </w:p>
    <w:p w14:paraId="39259713" w14:textId="7490845E" w:rsidR="00B361D3" w:rsidRPr="002121A4" w:rsidRDefault="00B361D3"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_Ref163122180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_Ref163122180 \h </w:instrText>
      </w:r>
      <w:r w:rsidRPr="002121A4">
        <w:rPr>
          <w:b/>
          <w:sz w:val="19"/>
          <w:szCs w:val="19"/>
          <w:lang w:val="en-GB"/>
        </w:rPr>
      </w:r>
      <w:r w:rsidRPr="002121A4">
        <w:rPr>
          <w:b/>
          <w:sz w:val="19"/>
          <w:szCs w:val="19"/>
          <w:lang w:val="en-GB"/>
        </w:rPr>
        <w:fldChar w:fldCharType="separate"/>
      </w:r>
      <w:r w:rsidR="00D56145">
        <w:rPr>
          <w:b/>
          <w:noProof/>
          <w:sz w:val="19"/>
          <w:szCs w:val="19"/>
          <w:lang w:val="en-GB"/>
        </w:rPr>
        <w:t>18</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Articles 56, 57, 85 CLD </w:t>
      </w:r>
      <w:r w:rsidR="00822260">
        <w:rPr>
          <w:sz w:val="19"/>
          <w:szCs w:val="19"/>
          <w:lang w:val="en-GB"/>
        </w:rPr>
        <w:t>“</w:t>
      </w:r>
      <w:r w:rsidR="00822260" w:rsidRPr="00822260">
        <w:rPr>
          <w:sz w:val="19"/>
          <w:szCs w:val="19"/>
          <w:lang w:val="en-GB"/>
        </w:rPr>
        <w:t xml:space="preserve">regulate only the legal relationships established between the company and its shareholders which derive exclusively from the memorandum and articles of association and </w:t>
      </w:r>
      <w:r w:rsidR="00FB1330">
        <w:rPr>
          <w:sz w:val="19"/>
          <w:szCs w:val="19"/>
          <w:lang w:val="en-GB"/>
        </w:rPr>
        <w:t xml:space="preserve">[…] </w:t>
      </w:r>
      <w:r w:rsidR="00822260" w:rsidRPr="00822260">
        <w:rPr>
          <w:sz w:val="19"/>
          <w:szCs w:val="19"/>
          <w:lang w:val="en-GB"/>
        </w:rPr>
        <w:t>are directed solely to internal relations within the company concerned</w:t>
      </w:r>
      <w:r w:rsidR="00822260">
        <w:rPr>
          <w:sz w:val="19"/>
          <w:szCs w:val="19"/>
          <w:lang w:val="en-GB"/>
        </w:rPr>
        <w:t>”</w:t>
      </w:r>
      <w:r w:rsidRPr="002121A4">
        <w:rPr>
          <w:sz w:val="19"/>
          <w:szCs w:val="19"/>
          <w:lang w:val="en-GB"/>
        </w:rPr>
        <w:t>.</w:t>
      </w:r>
      <w:r w:rsidR="00822260">
        <w:rPr>
          <w:rStyle w:val="Funotenzeichen"/>
          <w:sz w:val="19"/>
          <w:szCs w:val="19"/>
          <w:lang w:val="en-GB"/>
        </w:rPr>
        <w:footnoteReference w:id="343"/>
      </w:r>
      <w:r w:rsidRPr="002121A4">
        <w:rPr>
          <w:sz w:val="19"/>
          <w:szCs w:val="19"/>
          <w:lang w:val="en-GB"/>
        </w:rPr>
        <w:t xml:space="preserve"> Accordingly, they are no defence to prospectus liability claims. Prospectus liability does not breach the principle of equal treatment either in that shareholders who relied on the prospectus are not in the same position</w:t>
      </w:r>
      <w:r w:rsidR="009F008A">
        <w:rPr>
          <w:sz w:val="19"/>
          <w:szCs w:val="19"/>
          <w:lang w:val="en-GB"/>
        </w:rPr>
        <w:t xml:space="preserve"> as </w:t>
      </w:r>
      <w:r w:rsidR="009F008A" w:rsidRPr="002121A4">
        <w:rPr>
          <w:sz w:val="19"/>
          <w:szCs w:val="19"/>
          <w:lang w:val="en-GB"/>
        </w:rPr>
        <w:t>those who did not</w:t>
      </w:r>
      <w:r w:rsidR="009F008A">
        <w:rPr>
          <w:sz w:val="19"/>
          <w:szCs w:val="19"/>
          <w:lang w:val="en-GB"/>
        </w:rPr>
        <w:t xml:space="preserve"> rely on the prospectus</w:t>
      </w:r>
      <w:r w:rsidRPr="002121A4">
        <w:rPr>
          <w:sz w:val="19"/>
          <w:szCs w:val="19"/>
          <w:lang w:val="en-GB"/>
        </w:rPr>
        <w:t>.</w:t>
      </w:r>
      <w:r w:rsidR="00B96691">
        <w:rPr>
          <w:rStyle w:val="Funotenzeichen"/>
          <w:sz w:val="19"/>
          <w:szCs w:val="19"/>
          <w:lang w:val="en-GB"/>
        </w:rPr>
        <w:footnoteReference w:id="344"/>
      </w:r>
    </w:p>
    <w:p w14:paraId="4FBF42C5" w14:textId="777F4B33" w:rsidR="00B361D3" w:rsidRPr="002121A4" w:rsidRDefault="00B361D3"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_Ref130848508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_Ref130848508 \h </w:instrText>
      </w:r>
      <w:r w:rsidRPr="002121A4">
        <w:rPr>
          <w:b/>
          <w:sz w:val="19"/>
          <w:szCs w:val="19"/>
          <w:lang w:val="en-GB"/>
        </w:rPr>
      </w:r>
      <w:r w:rsidRPr="002121A4">
        <w:rPr>
          <w:b/>
          <w:sz w:val="19"/>
          <w:szCs w:val="19"/>
          <w:lang w:val="en-GB"/>
        </w:rPr>
        <w:fldChar w:fldCharType="separate"/>
      </w:r>
      <w:r w:rsidR="00D56145">
        <w:rPr>
          <w:b/>
          <w:noProof/>
          <w:sz w:val="19"/>
          <w:szCs w:val="19"/>
          <w:lang w:val="en-GB"/>
        </w:rPr>
        <w:t>19</w:t>
      </w:r>
      <w:r w:rsidRPr="002121A4">
        <w:rPr>
          <w:b/>
          <w:sz w:val="19"/>
          <w:szCs w:val="19"/>
          <w:lang w:val="en-GB"/>
        </w:rPr>
        <w:fldChar w:fldCharType="end"/>
      </w:r>
      <w:r w:rsidRPr="002121A4">
        <w:rPr>
          <w:b/>
          <w:sz w:val="19"/>
          <w:szCs w:val="19"/>
          <w:lang w:val="en-GB"/>
        </w:rPr>
        <w:t>).</w:t>
      </w:r>
      <w:r w:rsidRPr="002121A4">
        <w:rPr>
          <w:sz w:val="19"/>
          <w:szCs w:val="19"/>
          <w:lang w:val="en-GB"/>
        </w:rPr>
        <w:t xml:space="preserve"> Unlike traditional concepts, the EU law definition of securities does not require paper certification. In fact, article 4(1)(15) MiFID II specifically extends the scope of financial instruments to “instruments issued by means of distributed ledger technology”. Accordingly, if the legal and economic features of the tokens in question qualify as “bonds” and therefore as securities within the meaning of article 4(1)(44) MiFID II, this </w:t>
      </w:r>
      <w:r w:rsidR="00EB2355" w:rsidRPr="002121A4">
        <w:rPr>
          <w:sz w:val="19"/>
          <w:szCs w:val="19"/>
          <w:lang w:val="en-GB"/>
        </w:rPr>
        <w:t>triggers</w:t>
      </w:r>
      <w:r w:rsidRPr="002121A4">
        <w:rPr>
          <w:sz w:val="19"/>
          <w:szCs w:val="19"/>
          <w:lang w:val="en-GB"/>
        </w:rPr>
        <w:t xml:space="preserve"> a requirement to publish a prospectus under article 3(1) PR.</w:t>
      </w:r>
    </w:p>
    <w:p w14:paraId="05514EEF" w14:textId="6874DD8D" w:rsidR="00B361D3" w:rsidRPr="002121A4" w:rsidRDefault="00B361D3"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_Ref163122256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_Ref163122256 \h </w:instrText>
      </w:r>
      <w:r w:rsidRPr="002121A4">
        <w:rPr>
          <w:b/>
          <w:sz w:val="19"/>
          <w:szCs w:val="19"/>
          <w:lang w:val="en-GB"/>
        </w:rPr>
      </w:r>
      <w:r w:rsidRPr="002121A4">
        <w:rPr>
          <w:b/>
          <w:sz w:val="19"/>
          <w:szCs w:val="19"/>
          <w:lang w:val="en-GB"/>
        </w:rPr>
        <w:fldChar w:fldCharType="separate"/>
      </w:r>
      <w:r w:rsidR="00D56145">
        <w:rPr>
          <w:b/>
          <w:noProof/>
          <w:sz w:val="19"/>
          <w:szCs w:val="19"/>
          <w:lang w:val="en-GB"/>
        </w:rPr>
        <w:t>20</w:t>
      </w:r>
      <w:r w:rsidRPr="002121A4">
        <w:rPr>
          <w:b/>
          <w:sz w:val="19"/>
          <w:szCs w:val="19"/>
          <w:lang w:val="en-GB"/>
        </w:rPr>
        <w:fldChar w:fldCharType="end"/>
      </w:r>
      <w:r w:rsidRPr="002121A4">
        <w:rPr>
          <w:b/>
          <w:sz w:val="19"/>
          <w:szCs w:val="19"/>
          <w:lang w:val="en-GB"/>
        </w:rPr>
        <w:t>).</w:t>
      </w:r>
      <w:r w:rsidRPr="002121A4">
        <w:rPr>
          <w:sz w:val="19"/>
          <w:szCs w:val="19"/>
          <w:lang w:val="en-GB"/>
        </w:rPr>
        <w:t xml:space="preserve"> The principle is that consent from each and every bondholder is necessary to modify the terms and conditions of the bond. Accordingly, bond-holders who do not agree to a restructuring exercise (colloquially referred to as “hold-outs”) can claim what was initially agreed and are not bound by a majority resolution. The problem with </w:t>
      </w:r>
      <w:r w:rsidRPr="002121A4">
        <w:rPr>
          <w:sz w:val="19"/>
          <w:szCs w:val="19"/>
          <w:lang w:val="en-GB"/>
        </w:rPr>
        <w:lastRenderedPageBreak/>
        <w:t xml:space="preserve">this conventional solution is that it discourages </w:t>
      </w:r>
      <w:r w:rsidR="009B365B">
        <w:rPr>
          <w:sz w:val="19"/>
          <w:szCs w:val="19"/>
          <w:lang w:val="en-GB"/>
        </w:rPr>
        <w:t xml:space="preserve">investor </w:t>
      </w:r>
      <w:r w:rsidRPr="002121A4">
        <w:rPr>
          <w:sz w:val="19"/>
          <w:szCs w:val="19"/>
          <w:lang w:val="en-GB"/>
        </w:rPr>
        <w:t>consent in restructuring scenarios</w:t>
      </w:r>
      <w:r w:rsidR="009B365B">
        <w:rPr>
          <w:sz w:val="19"/>
          <w:szCs w:val="19"/>
          <w:lang w:val="en-GB"/>
        </w:rPr>
        <w:t xml:space="preserve">; hence the specific legislative solution under the </w:t>
      </w:r>
      <w:proofErr w:type="spellStart"/>
      <w:r w:rsidR="009B365B">
        <w:rPr>
          <w:sz w:val="19"/>
          <w:szCs w:val="19"/>
          <w:lang w:val="en-GB"/>
        </w:rPr>
        <w:t>SchVG</w:t>
      </w:r>
      <w:proofErr w:type="spellEnd"/>
      <w:r w:rsidR="009B365B">
        <w:rPr>
          <w:sz w:val="19"/>
          <w:szCs w:val="19"/>
          <w:lang w:val="en-GB"/>
        </w:rPr>
        <w:t xml:space="preserve"> (paras </w:t>
      </w:r>
      <w:r w:rsidR="009B365B">
        <w:rPr>
          <w:sz w:val="19"/>
          <w:szCs w:val="19"/>
          <w:lang w:val="en-GB"/>
        </w:rPr>
        <w:fldChar w:fldCharType="begin"/>
      </w:r>
      <w:r w:rsidR="009B365B">
        <w:rPr>
          <w:sz w:val="19"/>
          <w:szCs w:val="19"/>
          <w:lang w:val="en-GB"/>
        </w:rPr>
        <w:instrText xml:space="preserve"> REF _Ref170400633 \r \h </w:instrText>
      </w:r>
      <w:r w:rsidR="009B365B">
        <w:rPr>
          <w:sz w:val="19"/>
          <w:szCs w:val="19"/>
          <w:lang w:val="en-GB"/>
        </w:rPr>
      </w:r>
      <w:r w:rsidR="009B365B">
        <w:rPr>
          <w:sz w:val="19"/>
          <w:szCs w:val="19"/>
          <w:lang w:val="en-GB"/>
        </w:rPr>
        <w:fldChar w:fldCharType="separate"/>
      </w:r>
      <w:r w:rsidR="00D56145">
        <w:rPr>
          <w:sz w:val="19"/>
          <w:szCs w:val="19"/>
          <w:lang w:val="en-GB"/>
        </w:rPr>
        <w:t>40</w:t>
      </w:r>
      <w:r w:rsidR="009B365B">
        <w:rPr>
          <w:sz w:val="19"/>
          <w:szCs w:val="19"/>
          <w:lang w:val="en-GB"/>
        </w:rPr>
        <w:fldChar w:fldCharType="end"/>
      </w:r>
      <w:r w:rsidR="009B365B">
        <w:rPr>
          <w:sz w:val="19"/>
          <w:szCs w:val="19"/>
          <w:lang w:val="en-GB"/>
        </w:rPr>
        <w:t xml:space="preserve"> ff. above)</w:t>
      </w:r>
      <w:r w:rsidRPr="002121A4">
        <w:rPr>
          <w:sz w:val="19"/>
          <w:szCs w:val="19"/>
          <w:lang w:val="en-GB"/>
        </w:rPr>
        <w:t>.</w:t>
      </w:r>
    </w:p>
    <w:p w14:paraId="27510C36" w14:textId="1431305C" w:rsidR="00B5302F" w:rsidRPr="002121A4" w:rsidRDefault="00B5302F"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_Ref163122304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_Ref163122304 \h </w:instrText>
      </w:r>
      <w:r w:rsidRPr="002121A4">
        <w:rPr>
          <w:b/>
          <w:sz w:val="19"/>
          <w:szCs w:val="19"/>
          <w:lang w:val="en-GB"/>
        </w:rPr>
      </w:r>
      <w:r w:rsidRPr="002121A4">
        <w:rPr>
          <w:b/>
          <w:sz w:val="19"/>
          <w:szCs w:val="19"/>
          <w:lang w:val="en-GB"/>
        </w:rPr>
        <w:fldChar w:fldCharType="separate"/>
      </w:r>
      <w:r w:rsidR="00D56145">
        <w:rPr>
          <w:b/>
          <w:noProof/>
          <w:sz w:val="19"/>
          <w:szCs w:val="19"/>
          <w:lang w:val="en-GB"/>
        </w:rPr>
        <w:t>20</w:t>
      </w:r>
      <w:r w:rsidRPr="002121A4">
        <w:rPr>
          <w:b/>
          <w:sz w:val="19"/>
          <w:szCs w:val="19"/>
          <w:lang w:val="en-GB"/>
        </w:rPr>
        <w:fldChar w:fldCharType="end"/>
      </w:r>
      <w:r w:rsidRPr="002121A4">
        <w:rPr>
          <w:b/>
          <w:sz w:val="19"/>
          <w:szCs w:val="19"/>
          <w:lang w:val="en-GB"/>
        </w:rPr>
        <w:t>).</w:t>
      </w:r>
      <w:r w:rsidRPr="002121A4">
        <w:rPr>
          <w:sz w:val="19"/>
          <w:szCs w:val="19"/>
          <w:lang w:val="en-GB"/>
        </w:rPr>
        <w:t xml:space="preserve"> § 5 </w:t>
      </w:r>
      <w:proofErr w:type="spellStart"/>
      <w:r w:rsidRPr="002121A4">
        <w:rPr>
          <w:sz w:val="19"/>
          <w:szCs w:val="19"/>
          <w:lang w:val="en-GB"/>
        </w:rPr>
        <w:t>SchVG</w:t>
      </w:r>
      <w:proofErr w:type="spellEnd"/>
      <w:r w:rsidRPr="002121A4">
        <w:rPr>
          <w:sz w:val="19"/>
          <w:szCs w:val="19"/>
          <w:lang w:val="en-GB"/>
        </w:rPr>
        <w:t xml:space="preserve"> does allow for a majority resolution binding on all noteholders. However, restructuring under </w:t>
      </w:r>
      <w:proofErr w:type="spellStart"/>
      <w:r w:rsidRPr="002121A4">
        <w:rPr>
          <w:sz w:val="19"/>
          <w:szCs w:val="19"/>
          <w:lang w:val="en-GB"/>
        </w:rPr>
        <w:t>SchVG</w:t>
      </w:r>
      <w:proofErr w:type="spellEnd"/>
      <w:r w:rsidRPr="002121A4">
        <w:rPr>
          <w:sz w:val="19"/>
          <w:szCs w:val="19"/>
          <w:lang w:val="en-GB"/>
        </w:rPr>
        <w:t xml:space="preserve"> principles only applies to notes within the meaning of § 1 </w:t>
      </w:r>
      <w:proofErr w:type="spellStart"/>
      <w:r w:rsidRPr="002121A4">
        <w:rPr>
          <w:sz w:val="19"/>
          <w:szCs w:val="19"/>
          <w:lang w:val="en-GB"/>
        </w:rPr>
        <w:t>SchVG</w:t>
      </w:r>
      <w:proofErr w:type="spellEnd"/>
      <w:r w:rsidRPr="002121A4">
        <w:rPr>
          <w:sz w:val="19"/>
          <w:szCs w:val="19"/>
          <w:lang w:val="en-GB"/>
        </w:rPr>
        <w:t xml:space="preserve">. Outside the </w:t>
      </w:r>
      <w:proofErr w:type="spellStart"/>
      <w:r w:rsidRPr="002121A4">
        <w:rPr>
          <w:sz w:val="19"/>
          <w:szCs w:val="19"/>
          <w:lang w:val="en-GB"/>
        </w:rPr>
        <w:t>SchVG</w:t>
      </w:r>
      <w:proofErr w:type="spellEnd"/>
      <w:r w:rsidRPr="002121A4">
        <w:rPr>
          <w:sz w:val="19"/>
          <w:szCs w:val="19"/>
          <w:lang w:val="en-GB"/>
        </w:rPr>
        <w:t xml:space="preserve"> (as in this case), terms and conditions can provide for a majority resolution only within the limits of § 307 BGB. In the decision referred to above, the majority clause in the terms and conditions was held to be invalid pursuant to § 307 BGB.</w:t>
      </w:r>
    </w:p>
    <w:p w14:paraId="235E6583" w14:textId="32F6C66A" w:rsidR="00B5302F" w:rsidRPr="002121A4" w:rsidRDefault="00B5302F"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_Ref132305726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_Ref132305726 \h </w:instrText>
      </w:r>
      <w:r w:rsidRPr="002121A4">
        <w:rPr>
          <w:b/>
          <w:sz w:val="19"/>
          <w:szCs w:val="19"/>
          <w:lang w:val="en-GB"/>
        </w:rPr>
      </w:r>
      <w:r w:rsidRPr="002121A4">
        <w:rPr>
          <w:b/>
          <w:sz w:val="19"/>
          <w:szCs w:val="19"/>
          <w:lang w:val="en-GB"/>
        </w:rPr>
        <w:fldChar w:fldCharType="separate"/>
      </w:r>
      <w:r w:rsidR="00D56145">
        <w:rPr>
          <w:b/>
          <w:noProof/>
          <w:sz w:val="19"/>
          <w:szCs w:val="19"/>
          <w:lang w:val="en-GB"/>
        </w:rPr>
        <w:t>21</w:t>
      </w:r>
      <w:r w:rsidRPr="002121A4">
        <w:rPr>
          <w:b/>
          <w:sz w:val="19"/>
          <w:szCs w:val="19"/>
          <w:lang w:val="en-GB"/>
        </w:rPr>
        <w:fldChar w:fldCharType="end"/>
      </w:r>
      <w:r w:rsidRPr="002121A4">
        <w:rPr>
          <w:b/>
          <w:sz w:val="19"/>
          <w:szCs w:val="19"/>
          <w:lang w:val="en-GB"/>
        </w:rPr>
        <w:t>).</w:t>
      </w:r>
      <w:r w:rsidRPr="002121A4">
        <w:rPr>
          <w:sz w:val="19"/>
          <w:szCs w:val="19"/>
          <w:lang w:val="en-GB"/>
        </w:rPr>
        <w:t xml:space="preserve"> The resolution breaches the equality requirement of § 4 </w:t>
      </w:r>
      <w:proofErr w:type="spellStart"/>
      <w:r w:rsidRPr="002121A4">
        <w:rPr>
          <w:sz w:val="19"/>
          <w:szCs w:val="19"/>
          <w:lang w:val="en-GB"/>
        </w:rPr>
        <w:t>SchVG</w:t>
      </w:r>
      <w:proofErr w:type="spellEnd"/>
      <w:r w:rsidRPr="002121A4">
        <w:rPr>
          <w:sz w:val="19"/>
          <w:szCs w:val="19"/>
          <w:lang w:val="en-GB"/>
        </w:rPr>
        <w:t xml:space="preserve">, and is therefore invalid pursuant to § 5(2)(2) </w:t>
      </w:r>
      <w:proofErr w:type="spellStart"/>
      <w:r w:rsidRPr="002121A4">
        <w:rPr>
          <w:sz w:val="19"/>
          <w:szCs w:val="19"/>
          <w:lang w:val="en-GB"/>
        </w:rPr>
        <w:t>SchVG</w:t>
      </w:r>
      <w:proofErr w:type="spellEnd"/>
      <w:r w:rsidRPr="002121A4">
        <w:rPr>
          <w:sz w:val="19"/>
          <w:szCs w:val="19"/>
          <w:lang w:val="en-GB"/>
        </w:rPr>
        <w:t>. Noteholders can claim redemption at par in 2011.</w:t>
      </w:r>
    </w:p>
    <w:p w14:paraId="7D78D0F2" w14:textId="778BDDC8" w:rsidR="008B74A7"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_Ref131674326 \n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_Ref131674326 \h </w:instrText>
      </w:r>
      <w:r w:rsidRPr="002121A4">
        <w:rPr>
          <w:b/>
          <w:sz w:val="19"/>
          <w:szCs w:val="19"/>
          <w:lang w:val="en-GB"/>
        </w:rPr>
      </w:r>
      <w:r w:rsidRPr="002121A4">
        <w:rPr>
          <w:b/>
          <w:sz w:val="19"/>
          <w:szCs w:val="19"/>
          <w:lang w:val="en-GB"/>
        </w:rPr>
        <w:fldChar w:fldCharType="separate"/>
      </w:r>
      <w:r w:rsidR="00D56145">
        <w:rPr>
          <w:b/>
          <w:noProof/>
          <w:sz w:val="19"/>
          <w:szCs w:val="19"/>
          <w:lang w:val="en-GB"/>
        </w:rPr>
        <w:t>27</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310F20">
        <w:rPr>
          <w:sz w:val="19"/>
          <w:szCs w:val="19"/>
          <w:lang w:val="en-GB"/>
        </w:rPr>
        <w:t xml:space="preserve">While </w:t>
      </w:r>
      <w:r w:rsidRPr="002121A4">
        <w:rPr>
          <w:sz w:val="19"/>
          <w:szCs w:val="19"/>
          <w:lang w:val="en-GB"/>
        </w:rPr>
        <w:t xml:space="preserve">MiFID II </w:t>
      </w:r>
      <w:r w:rsidR="00310F20">
        <w:rPr>
          <w:sz w:val="19"/>
          <w:szCs w:val="19"/>
          <w:lang w:val="en-GB"/>
        </w:rPr>
        <w:t xml:space="preserve">provides for public enforcement mechanisms, it </w:t>
      </w:r>
      <w:r w:rsidRPr="002121A4">
        <w:rPr>
          <w:sz w:val="19"/>
          <w:szCs w:val="19"/>
          <w:lang w:val="en-GB"/>
        </w:rPr>
        <w:t>does not contain provisions on civil liability.</w:t>
      </w:r>
      <w:r w:rsidR="00310F20">
        <w:rPr>
          <w:rStyle w:val="Funotenzeichen"/>
          <w:sz w:val="19"/>
          <w:szCs w:val="19"/>
          <w:lang w:val="en-GB"/>
        </w:rPr>
        <w:footnoteReference w:id="345"/>
      </w:r>
      <w:r w:rsidRPr="002121A4">
        <w:rPr>
          <w:sz w:val="19"/>
          <w:szCs w:val="19"/>
          <w:lang w:val="en-GB"/>
        </w:rPr>
        <w:t xml:space="preserve"> Accordingly, damage claims are a matter of domestic law. However, domestic law on civil liability for breach of MiFID II provisions is subject to the principles of equivalence and effectiveness as established by ECJ case law</w:t>
      </w:r>
      <w:r w:rsidR="00310F20">
        <w:rPr>
          <w:sz w:val="19"/>
          <w:szCs w:val="19"/>
          <w:lang w:val="en-GB"/>
        </w:rPr>
        <w:t>.</w:t>
      </w:r>
      <w:r w:rsidR="00310F20">
        <w:rPr>
          <w:rStyle w:val="Funotenzeichen"/>
          <w:sz w:val="19"/>
          <w:szCs w:val="19"/>
          <w:lang w:val="en-GB"/>
        </w:rPr>
        <w:footnoteReference w:id="346"/>
      </w:r>
      <w:r w:rsidRPr="002121A4">
        <w:rPr>
          <w:sz w:val="19"/>
          <w:szCs w:val="19"/>
          <w:lang w:val="en-GB"/>
        </w:rPr>
        <w:t xml:space="preserve"> </w:t>
      </w:r>
      <w:r w:rsidR="00EC59DE">
        <w:rPr>
          <w:sz w:val="19"/>
          <w:szCs w:val="19"/>
          <w:lang w:val="en-GB"/>
        </w:rPr>
        <w:t>According to German case law, MiFID II requirements are of a public law nature only and do not modify the bases for civil liability</w:t>
      </w:r>
      <w:r w:rsidR="007A3A04">
        <w:rPr>
          <w:sz w:val="19"/>
          <w:szCs w:val="19"/>
          <w:lang w:val="en-GB"/>
        </w:rPr>
        <w:t>,</w:t>
      </w:r>
      <w:r w:rsidR="00EC59DE">
        <w:rPr>
          <w:rStyle w:val="Funotenzeichen"/>
          <w:sz w:val="19"/>
          <w:szCs w:val="19"/>
          <w:lang w:val="en-GB"/>
        </w:rPr>
        <w:footnoteReference w:id="347"/>
      </w:r>
      <w:r w:rsidR="007A3A04">
        <w:rPr>
          <w:sz w:val="19"/>
          <w:szCs w:val="19"/>
          <w:lang w:val="en-GB"/>
        </w:rPr>
        <w:t xml:space="preserve"> i.e., do not create contractual obligations, nor amount to protective norms within the meaning of § 8</w:t>
      </w:r>
      <w:r w:rsidR="00710A8F">
        <w:rPr>
          <w:sz w:val="19"/>
          <w:szCs w:val="19"/>
          <w:lang w:val="en-GB"/>
        </w:rPr>
        <w:t>23</w:t>
      </w:r>
      <w:r w:rsidR="007A3A04">
        <w:rPr>
          <w:sz w:val="19"/>
          <w:szCs w:val="19"/>
          <w:lang w:val="en-GB"/>
        </w:rPr>
        <w:t>(2) BGB.</w:t>
      </w:r>
      <w:r w:rsidR="007A3A04">
        <w:rPr>
          <w:rStyle w:val="Funotenzeichen"/>
          <w:sz w:val="19"/>
          <w:szCs w:val="19"/>
          <w:lang w:val="en-GB"/>
        </w:rPr>
        <w:footnoteReference w:id="348"/>
      </w:r>
      <w:r w:rsidR="007A3A04">
        <w:rPr>
          <w:sz w:val="19"/>
          <w:szCs w:val="19"/>
          <w:lang w:val="en-GB"/>
        </w:rPr>
        <w:t xml:space="preserve"> </w:t>
      </w:r>
      <w:r w:rsidR="00D35BDE">
        <w:rPr>
          <w:sz w:val="19"/>
          <w:szCs w:val="19"/>
          <w:lang w:val="en-GB"/>
        </w:rPr>
        <w:t xml:space="preserve">Liability therefore depends on </w:t>
      </w:r>
      <w:r w:rsidR="00AD5EF1">
        <w:rPr>
          <w:sz w:val="19"/>
          <w:szCs w:val="19"/>
          <w:lang w:val="en-GB"/>
        </w:rPr>
        <w:t xml:space="preserve">an assessment </w:t>
      </w:r>
      <w:r w:rsidR="00D35BDE">
        <w:rPr>
          <w:sz w:val="19"/>
          <w:szCs w:val="19"/>
          <w:lang w:val="en-GB"/>
        </w:rPr>
        <w:t>irrespective of MiFID II requirements</w:t>
      </w:r>
      <w:r w:rsidR="00AD5EF1">
        <w:rPr>
          <w:sz w:val="19"/>
          <w:szCs w:val="19"/>
          <w:lang w:val="en-GB"/>
        </w:rPr>
        <w:t xml:space="preserve"> to determine whether</w:t>
      </w:r>
      <w:r w:rsidR="00D35BDE">
        <w:rPr>
          <w:sz w:val="19"/>
          <w:szCs w:val="19"/>
          <w:lang w:val="en-GB"/>
        </w:rPr>
        <w:t xml:space="preserve"> the conduct in question amounts to a breach of contractual duties (whether express or implied), or </w:t>
      </w:r>
      <w:r w:rsidR="00AD5EF1">
        <w:rPr>
          <w:sz w:val="19"/>
          <w:szCs w:val="19"/>
          <w:lang w:val="en-GB"/>
        </w:rPr>
        <w:t xml:space="preserve">gives rise to a claim in tort (see box </w:t>
      </w:r>
      <w:r w:rsidR="00186C7F">
        <w:rPr>
          <w:sz w:val="19"/>
          <w:szCs w:val="19"/>
          <w:lang w:val="en-GB"/>
        </w:rPr>
        <w:t>in para. </w:t>
      </w:r>
      <w:r w:rsidR="00186C7F">
        <w:rPr>
          <w:sz w:val="19"/>
          <w:szCs w:val="19"/>
          <w:lang w:val="en-GB"/>
        </w:rPr>
        <w:fldChar w:fldCharType="begin"/>
      </w:r>
      <w:r w:rsidR="00186C7F">
        <w:rPr>
          <w:sz w:val="19"/>
          <w:szCs w:val="19"/>
          <w:lang w:val="en-GB"/>
        </w:rPr>
        <w:instrText xml:space="preserve"> REF _Ref170915834 \r \h </w:instrText>
      </w:r>
      <w:r w:rsidR="00186C7F">
        <w:rPr>
          <w:sz w:val="19"/>
          <w:szCs w:val="19"/>
          <w:lang w:val="en-GB"/>
        </w:rPr>
      </w:r>
      <w:r w:rsidR="00186C7F">
        <w:rPr>
          <w:sz w:val="19"/>
          <w:szCs w:val="19"/>
          <w:lang w:val="en-GB"/>
        </w:rPr>
        <w:fldChar w:fldCharType="separate"/>
      </w:r>
      <w:r w:rsidR="00D56145">
        <w:rPr>
          <w:sz w:val="19"/>
          <w:szCs w:val="19"/>
          <w:lang w:val="en-GB"/>
        </w:rPr>
        <w:t>67</w:t>
      </w:r>
      <w:r w:rsidR="00186C7F">
        <w:rPr>
          <w:sz w:val="19"/>
          <w:szCs w:val="19"/>
          <w:lang w:val="en-GB"/>
        </w:rPr>
        <w:fldChar w:fldCharType="end"/>
      </w:r>
      <w:r w:rsidR="00186C7F">
        <w:rPr>
          <w:sz w:val="19"/>
          <w:szCs w:val="19"/>
          <w:lang w:val="en-GB"/>
        </w:rPr>
        <w:t xml:space="preserve"> p. </w:t>
      </w:r>
      <w:r w:rsidR="00186C7F">
        <w:rPr>
          <w:sz w:val="19"/>
          <w:szCs w:val="19"/>
          <w:lang w:val="en-GB"/>
        </w:rPr>
        <w:fldChar w:fldCharType="begin"/>
      </w:r>
      <w:r w:rsidR="00186C7F">
        <w:rPr>
          <w:sz w:val="19"/>
          <w:szCs w:val="19"/>
          <w:lang w:val="en-GB"/>
        </w:rPr>
        <w:instrText xml:space="preserve"> PAGEREF _Ref170915834 \h </w:instrText>
      </w:r>
      <w:r w:rsidR="00186C7F">
        <w:rPr>
          <w:sz w:val="19"/>
          <w:szCs w:val="19"/>
          <w:lang w:val="en-GB"/>
        </w:rPr>
      </w:r>
      <w:r w:rsidR="00186C7F">
        <w:rPr>
          <w:sz w:val="19"/>
          <w:szCs w:val="19"/>
          <w:lang w:val="en-GB"/>
        </w:rPr>
        <w:fldChar w:fldCharType="separate"/>
      </w:r>
      <w:r w:rsidR="00D56145">
        <w:rPr>
          <w:noProof/>
          <w:sz w:val="19"/>
          <w:szCs w:val="19"/>
          <w:lang w:val="en-GB"/>
        </w:rPr>
        <w:t>27</w:t>
      </w:r>
      <w:r w:rsidR="00186C7F">
        <w:rPr>
          <w:sz w:val="19"/>
          <w:szCs w:val="19"/>
          <w:lang w:val="en-GB"/>
        </w:rPr>
        <w:fldChar w:fldCharType="end"/>
      </w:r>
      <w:r w:rsidR="00AD5EF1">
        <w:rPr>
          <w:sz w:val="19"/>
          <w:szCs w:val="19"/>
          <w:lang w:val="en-GB"/>
        </w:rPr>
        <w:t xml:space="preserve"> above)</w:t>
      </w:r>
      <w:r w:rsidR="00D35BDE">
        <w:rPr>
          <w:sz w:val="19"/>
          <w:szCs w:val="19"/>
          <w:lang w:val="en-GB"/>
        </w:rPr>
        <w:t>.</w:t>
      </w:r>
    </w:p>
    <w:p w14:paraId="2A3BCBDB" w14:textId="61965D94" w:rsidR="008B74A7"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_Ref163122491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15</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_Ref163122491 \h </w:instrText>
      </w:r>
      <w:r w:rsidRPr="002121A4">
        <w:rPr>
          <w:b/>
          <w:sz w:val="19"/>
          <w:szCs w:val="19"/>
          <w:lang w:val="en-GB"/>
        </w:rPr>
      </w:r>
      <w:r w:rsidRPr="002121A4">
        <w:rPr>
          <w:b/>
          <w:sz w:val="19"/>
          <w:szCs w:val="19"/>
          <w:lang w:val="en-GB"/>
        </w:rPr>
        <w:fldChar w:fldCharType="separate"/>
      </w:r>
      <w:r w:rsidR="00D56145">
        <w:rPr>
          <w:b/>
          <w:noProof/>
          <w:sz w:val="19"/>
          <w:szCs w:val="19"/>
          <w:lang w:val="en-GB"/>
        </w:rPr>
        <w:t>29</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14b(1)(n), (o) UCITS Directive requires deferment of variable remuneration in order to deter employees from taking excessive risks on behalf of the fund. For this to be achieved, the scope of “remuneration” has be interpreted broadly (article 14b(3): “any benefit of any type”), and thus includes dividend payments made by the management company.</w:t>
      </w:r>
    </w:p>
    <w:p w14:paraId="745BCCCB" w14:textId="70F4537A" w:rsidR="008B74A7" w:rsidRPr="002121A4"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_Ref143276504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_Ref143276504 \h </w:instrText>
      </w:r>
      <w:r w:rsidRPr="002121A4">
        <w:rPr>
          <w:b/>
          <w:sz w:val="19"/>
          <w:szCs w:val="19"/>
          <w:lang w:val="en-GB"/>
        </w:rPr>
      </w:r>
      <w:r w:rsidRPr="002121A4">
        <w:rPr>
          <w:b/>
          <w:sz w:val="19"/>
          <w:szCs w:val="19"/>
          <w:lang w:val="en-GB"/>
        </w:rPr>
        <w:fldChar w:fldCharType="separate"/>
      </w:r>
      <w:r w:rsidR="00D56145">
        <w:rPr>
          <w:b/>
          <w:noProof/>
          <w:sz w:val="19"/>
          <w:szCs w:val="19"/>
          <w:lang w:val="en-GB"/>
        </w:rPr>
        <w:t>32</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991D18">
        <w:rPr>
          <w:sz w:val="19"/>
          <w:szCs w:val="19"/>
          <w:lang w:val="en-GB"/>
        </w:rPr>
        <w:t xml:space="preserve">(Note: the PR is legislation with “EEA relevance” and therefore also applies in Liechtenstein.) a) </w:t>
      </w:r>
      <w:r w:rsidR="00CB0451">
        <w:rPr>
          <w:sz w:val="19"/>
          <w:szCs w:val="19"/>
          <w:lang w:val="en-GB"/>
        </w:rPr>
        <w:t xml:space="preserve">The requirement to publish a prospectus prior to an “offer to the public” </w:t>
      </w:r>
      <w:r w:rsidRPr="002121A4">
        <w:rPr>
          <w:sz w:val="19"/>
          <w:szCs w:val="19"/>
          <w:lang w:val="en-GB"/>
        </w:rPr>
        <w:t xml:space="preserve">within the meaning of article 2(d) PR </w:t>
      </w:r>
      <w:r w:rsidR="00CB0451">
        <w:rPr>
          <w:sz w:val="19"/>
          <w:szCs w:val="19"/>
          <w:lang w:val="en-GB"/>
        </w:rPr>
        <w:t>is aimed to protect investors, which requires a broad understanding of this provision.</w:t>
      </w:r>
      <w:r w:rsidR="00CB0451">
        <w:rPr>
          <w:rStyle w:val="Funotenzeichen"/>
          <w:sz w:val="19"/>
          <w:szCs w:val="19"/>
          <w:lang w:val="en-GB"/>
        </w:rPr>
        <w:footnoteReference w:id="349"/>
      </w:r>
      <w:r w:rsidR="00171179">
        <w:rPr>
          <w:sz w:val="19"/>
          <w:szCs w:val="19"/>
          <w:lang w:val="en-GB"/>
        </w:rPr>
        <w:t xml:space="preserve"> An “offer to the public” requires two key elements: communication by any means, and </w:t>
      </w:r>
      <w:r w:rsidR="00F70D84">
        <w:rPr>
          <w:sz w:val="19"/>
          <w:szCs w:val="19"/>
          <w:lang w:val="en-GB"/>
        </w:rPr>
        <w:t>“</w:t>
      </w:r>
      <w:r w:rsidR="00171179">
        <w:rPr>
          <w:sz w:val="19"/>
          <w:szCs w:val="19"/>
          <w:lang w:val="en-GB"/>
        </w:rPr>
        <w:t>sufficient information</w:t>
      </w:r>
      <w:r w:rsidR="00F70D84">
        <w:rPr>
          <w:sz w:val="19"/>
          <w:szCs w:val="19"/>
          <w:lang w:val="en-GB"/>
        </w:rPr>
        <w:t>”</w:t>
      </w:r>
      <w:r w:rsidR="00171179">
        <w:rPr>
          <w:sz w:val="19"/>
          <w:szCs w:val="19"/>
          <w:lang w:val="en-GB"/>
        </w:rPr>
        <w:t xml:space="preserve"> on terms of the offer.</w:t>
      </w:r>
      <w:r w:rsidR="00171179">
        <w:rPr>
          <w:rStyle w:val="Funotenzeichen"/>
          <w:sz w:val="19"/>
          <w:szCs w:val="19"/>
          <w:lang w:val="en-GB"/>
        </w:rPr>
        <w:footnoteReference w:id="350"/>
      </w:r>
      <w:r w:rsidR="00F70D84">
        <w:rPr>
          <w:sz w:val="19"/>
          <w:szCs w:val="19"/>
          <w:lang w:val="en-GB"/>
        </w:rPr>
        <w:t xml:space="preserve"> What is “sufficient” depends on the specific facts of the case,</w:t>
      </w:r>
      <w:r w:rsidR="00F70D84">
        <w:rPr>
          <w:rStyle w:val="Funotenzeichen"/>
          <w:sz w:val="19"/>
          <w:szCs w:val="19"/>
          <w:lang w:val="en-GB"/>
        </w:rPr>
        <w:footnoteReference w:id="351"/>
      </w:r>
      <w:r w:rsidR="00F70D84">
        <w:rPr>
          <w:sz w:val="19"/>
          <w:szCs w:val="19"/>
          <w:lang w:val="en-GB"/>
        </w:rPr>
        <w:t xml:space="preserve"> and can be the case for promotional messages containing key elements of the transaction.</w:t>
      </w:r>
      <w:r w:rsidR="00F70D84">
        <w:rPr>
          <w:rStyle w:val="Funotenzeichen"/>
          <w:sz w:val="19"/>
          <w:szCs w:val="19"/>
          <w:lang w:val="en-GB"/>
        </w:rPr>
        <w:footnoteReference w:id="352"/>
      </w:r>
      <w:r w:rsidR="00101DB7">
        <w:rPr>
          <w:sz w:val="19"/>
          <w:szCs w:val="19"/>
          <w:lang w:val="en-GB"/>
        </w:rPr>
        <w:t xml:space="preserve"> </w:t>
      </w:r>
      <w:r w:rsidRPr="002121A4">
        <w:rPr>
          <w:sz w:val="19"/>
          <w:szCs w:val="19"/>
          <w:lang w:val="en-GB"/>
        </w:rPr>
        <w:t xml:space="preserve">Communication of this type cannot be “disclaimed” by </w:t>
      </w:r>
      <w:r w:rsidR="00101DB7">
        <w:rPr>
          <w:sz w:val="19"/>
          <w:szCs w:val="19"/>
          <w:lang w:val="en-GB"/>
        </w:rPr>
        <w:t>referring potential investors to additional sources of information</w:t>
      </w:r>
      <w:r w:rsidRPr="002121A4">
        <w:rPr>
          <w:sz w:val="19"/>
          <w:szCs w:val="19"/>
          <w:lang w:val="en-GB"/>
        </w:rPr>
        <w:t>.</w:t>
      </w:r>
      <w:r w:rsidR="00101DB7">
        <w:rPr>
          <w:rStyle w:val="Funotenzeichen"/>
          <w:sz w:val="19"/>
          <w:szCs w:val="19"/>
          <w:lang w:val="en-GB"/>
        </w:rPr>
        <w:footnoteReference w:id="353"/>
      </w:r>
      <w:r w:rsidRPr="002121A4">
        <w:rPr>
          <w:sz w:val="19"/>
          <w:szCs w:val="19"/>
          <w:lang w:val="en-GB"/>
        </w:rPr>
        <w:t xml:space="preserve"> The exemption under article 1(4)(b) PR does not apply where an offer is published over the internet as it is then accessible to an undefined number of recipients</w:t>
      </w:r>
      <w:r w:rsidR="005337D4">
        <w:rPr>
          <w:sz w:val="19"/>
          <w:szCs w:val="19"/>
          <w:lang w:val="en-GB"/>
        </w:rPr>
        <w:t>, even where the issuer has the intention to only share full documentation with less than 150 recipients</w:t>
      </w:r>
      <w:r w:rsidRPr="002121A4">
        <w:rPr>
          <w:sz w:val="19"/>
          <w:szCs w:val="19"/>
          <w:lang w:val="en-GB"/>
        </w:rPr>
        <w:t>.</w:t>
      </w:r>
      <w:r w:rsidR="005337D4">
        <w:rPr>
          <w:rStyle w:val="Funotenzeichen"/>
          <w:sz w:val="19"/>
          <w:szCs w:val="19"/>
          <w:lang w:val="en-GB"/>
        </w:rPr>
        <w:footnoteReference w:id="354"/>
      </w:r>
      <w:r w:rsidR="00991D18">
        <w:rPr>
          <w:sz w:val="19"/>
          <w:szCs w:val="19"/>
          <w:lang w:val="en-GB"/>
        </w:rPr>
        <w:t xml:space="preserve"> b) The competent NCA is the Liechtenstein regulator, cf. article </w:t>
      </w:r>
      <w:r w:rsidR="007B223C">
        <w:rPr>
          <w:sz w:val="19"/>
          <w:szCs w:val="19"/>
          <w:lang w:val="en-GB"/>
        </w:rPr>
        <w:t xml:space="preserve">20(8) </w:t>
      </w:r>
      <w:r w:rsidR="00991D18">
        <w:rPr>
          <w:sz w:val="19"/>
          <w:szCs w:val="19"/>
          <w:lang w:val="en-GB"/>
        </w:rPr>
        <w:t>PR. c)</w:t>
      </w:r>
      <w:r w:rsidR="007B223C">
        <w:rPr>
          <w:sz w:val="19"/>
          <w:szCs w:val="19"/>
          <w:lang w:val="en-GB"/>
        </w:rPr>
        <w:t xml:space="preserve"> The Liechtenstein regulator can impose sanctions and measures provided for in article 38 PR, including a public statement and/or a cease and desist order pursuant to article 38(2)(a) and (b) PR.</w:t>
      </w:r>
      <w:r w:rsidR="00C3508C">
        <w:rPr>
          <w:sz w:val="19"/>
          <w:szCs w:val="19"/>
          <w:lang w:val="en-GB"/>
        </w:rPr>
        <w:t xml:space="preserve"> Civil enforcement depends on how prospectus liability under article 11 PR is implemented in domestic law (it is worth noting that German law provides for a specific basis for liability in cases where a prospectus is missing altogether: see § 14 </w:t>
      </w:r>
      <w:proofErr w:type="spellStart"/>
      <w:r w:rsidR="00C3508C">
        <w:rPr>
          <w:sz w:val="19"/>
          <w:szCs w:val="19"/>
          <w:lang w:val="en-GB"/>
        </w:rPr>
        <w:t>WpPG</w:t>
      </w:r>
      <w:proofErr w:type="spellEnd"/>
      <w:r w:rsidR="00C3508C">
        <w:rPr>
          <w:sz w:val="19"/>
          <w:szCs w:val="19"/>
          <w:lang w:val="en-GB"/>
        </w:rPr>
        <w:t xml:space="preserve">). </w:t>
      </w:r>
      <w:r w:rsidR="007B223C">
        <w:rPr>
          <w:sz w:val="19"/>
          <w:szCs w:val="19"/>
          <w:lang w:val="en-GB"/>
        </w:rPr>
        <w:t xml:space="preserve"> </w:t>
      </w:r>
      <w:r w:rsidR="00991D18">
        <w:rPr>
          <w:sz w:val="19"/>
          <w:szCs w:val="19"/>
          <w:lang w:val="en-GB"/>
        </w:rPr>
        <w:t xml:space="preserve"> </w:t>
      </w:r>
    </w:p>
    <w:p w14:paraId="6BAD7BEE" w14:textId="07A1A4AA" w:rsidR="008B74A7" w:rsidRPr="002121A4"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_Ref163122589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_Ref163122589 \h </w:instrText>
      </w:r>
      <w:r w:rsidRPr="002121A4">
        <w:rPr>
          <w:b/>
          <w:sz w:val="19"/>
          <w:szCs w:val="19"/>
          <w:lang w:val="en-GB"/>
        </w:rPr>
      </w:r>
      <w:r w:rsidRPr="002121A4">
        <w:rPr>
          <w:b/>
          <w:sz w:val="19"/>
          <w:szCs w:val="19"/>
          <w:lang w:val="en-GB"/>
        </w:rPr>
        <w:fldChar w:fldCharType="separate"/>
      </w:r>
      <w:r w:rsidR="00D56145">
        <w:rPr>
          <w:b/>
          <w:noProof/>
          <w:sz w:val="19"/>
          <w:szCs w:val="19"/>
          <w:lang w:val="en-GB"/>
        </w:rPr>
        <w:t>33</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6F3413">
        <w:rPr>
          <w:sz w:val="19"/>
          <w:szCs w:val="19"/>
          <w:lang w:val="en-GB"/>
        </w:rPr>
        <w:t>Where a prospectus contains a</w:t>
      </w:r>
      <w:r w:rsidRPr="002121A4">
        <w:rPr>
          <w:sz w:val="19"/>
          <w:szCs w:val="19"/>
          <w:lang w:val="en-GB"/>
        </w:rPr>
        <w:t xml:space="preserve"> </w:t>
      </w:r>
      <w:r w:rsidR="006F3413">
        <w:rPr>
          <w:sz w:val="19"/>
          <w:szCs w:val="19"/>
          <w:lang w:val="en-GB"/>
        </w:rPr>
        <w:t xml:space="preserve">forecast </w:t>
      </w:r>
      <w:r w:rsidRPr="002121A4">
        <w:rPr>
          <w:sz w:val="19"/>
          <w:szCs w:val="19"/>
          <w:lang w:val="en-GB"/>
        </w:rPr>
        <w:t>on future profits</w:t>
      </w:r>
      <w:r w:rsidR="006F3413">
        <w:rPr>
          <w:sz w:val="19"/>
          <w:szCs w:val="19"/>
          <w:lang w:val="en-GB"/>
        </w:rPr>
        <w:t>, this</w:t>
      </w:r>
      <w:r w:rsidRPr="002121A4">
        <w:rPr>
          <w:sz w:val="19"/>
          <w:szCs w:val="19"/>
          <w:lang w:val="en-GB"/>
        </w:rPr>
        <w:t xml:space="preserve"> </w:t>
      </w:r>
      <w:r w:rsidR="006F3413">
        <w:rPr>
          <w:sz w:val="19"/>
          <w:szCs w:val="19"/>
          <w:lang w:val="en-GB"/>
        </w:rPr>
        <w:t xml:space="preserve">cannot be understood as some kind of </w:t>
      </w:r>
      <w:r w:rsidRPr="002121A4">
        <w:rPr>
          <w:sz w:val="19"/>
          <w:szCs w:val="19"/>
          <w:lang w:val="en-GB"/>
        </w:rPr>
        <w:t>a “guarantee”</w:t>
      </w:r>
      <w:r w:rsidR="006F3413">
        <w:rPr>
          <w:sz w:val="19"/>
          <w:szCs w:val="19"/>
          <w:lang w:val="en-GB"/>
        </w:rPr>
        <w:t>.</w:t>
      </w:r>
      <w:r w:rsidR="006F3413">
        <w:rPr>
          <w:rStyle w:val="Funotenzeichen"/>
          <w:sz w:val="19"/>
          <w:szCs w:val="19"/>
          <w:lang w:val="en-GB"/>
        </w:rPr>
        <w:footnoteReference w:id="355"/>
      </w:r>
      <w:r w:rsidRPr="002121A4">
        <w:rPr>
          <w:sz w:val="19"/>
          <w:szCs w:val="19"/>
          <w:lang w:val="en-GB"/>
        </w:rPr>
        <w:t xml:space="preserve"> </w:t>
      </w:r>
      <w:r w:rsidR="00216368">
        <w:rPr>
          <w:sz w:val="19"/>
          <w:szCs w:val="19"/>
          <w:lang w:val="en-GB"/>
        </w:rPr>
        <w:t>If a forecast later turns out to be incorrect, it is compliant with prospectus</w:t>
      </w:r>
      <w:r w:rsidRPr="002121A4">
        <w:rPr>
          <w:sz w:val="19"/>
          <w:szCs w:val="19"/>
          <w:lang w:val="en-GB"/>
        </w:rPr>
        <w:t xml:space="preserve"> requirements </w:t>
      </w:r>
      <w:r w:rsidR="00216368">
        <w:rPr>
          <w:sz w:val="19"/>
          <w:szCs w:val="19"/>
          <w:lang w:val="en-GB"/>
        </w:rPr>
        <w:t xml:space="preserve">if the forecast </w:t>
      </w:r>
      <w:r w:rsidR="00216368">
        <w:rPr>
          <w:sz w:val="19"/>
          <w:szCs w:val="19"/>
          <w:lang w:val="en-GB"/>
        </w:rPr>
        <w:lastRenderedPageBreak/>
        <w:t>was based on a sound fact basis and if it was “</w:t>
      </w:r>
      <w:r w:rsidRPr="002121A4">
        <w:rPr>
          <w:sz w:val="19"/>
          <w:szCs w:val="19"/>
          <w:lang w:val="en-GB"/>
        </w:rPr>
        <w:t>defendable</w:t>
      </w:r>
      <w:r w:rsidR="00216368">
        <w:rPr>
          <w:sz w:val="19"/>
          <w:szCs w:val="19"/>
          <w:lang w:val="en-GB"/>
        </w:rPr>
        <w:t>” (“</w:t>
      </w:r>
      <w:proofErr w:type="spellStart"/>
      <w:r w:rsidR="00216368">
        <w:rPr>
          <w:sz w:val="19"/>
          <w:szCs w:val="19"/>
          <w:lang w:val="en-GB"/>
        </w:rPr>
        <w:t>vertretbar</w:t>
      </w:r>
      <w:proofErr w:type="spellEnd"/>
      <w:r w:rsidR="00216368">
        <w:rPr>
          <w:sz w:val="19"/>
          <w:szCs w:val="19"/>
          <w:lang w:val="en-GB"/>
        </w:rPr>
        <w:t>”)</w:t>
      </w:r>
      <w:r w:rsidRPr="002121A4">
        <w:rPr>
          <w:sz w:val="19"/>
          <w:szCs w:val="19"/>
          <w:lang w:val="en-GB"/>
        </w:rPr>
        <w:t>.</w:t>
      </w:r>
      <w:r w:rsidR="00D0384C">
        <w:rPr>
          <w:rStyle w:val="Funotenzeichen"/>
          <w:sz w:val="19"/>
          <w:szCs w:val="19"/>
          <w:lang w:val="en-GB"/>
        </w:rPr>
        <w:footnoteReference w:id="356"/>
      </w:r>
      <w:r w:rsidRPr="002121A4">
        <w:rPr>
          <w:sz w:val="19"/>
          <w:szCs w:val="19"/>
          <w:lang w:val="en-GB"/>
        </w:rPr>
        <w:t xml:space="preserve"> On this basis, the mere fact that actual profits deviate from the forecast does not make the prospectus “incorrect”.</w:t>
      </w:r>
    </w:p>
    <w:p w14:paraId="3612317F" w14:textId="2494DA88" w:rsidR="008B74A7" w:rsidRPr="002121A4" w:rsidRDefault="008B7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_Ref163122593 \r \h </w:instrText>
      </w:r>
      <w:r w:rsidR="00522CDA" w:rsidRPr="002121A4">
        <w:rPr>
          <w:b/>
          <w:sz w:val="19"/>
          <w:szCs w:val="19"/>
          <w:lang w:val="en-GB"/>
        </w:rPr>
        <w:instrText xml:space="preserve">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_Ref163122593 \h </w:instrText>
      </w:r>
      <w:r w:rsidRPr="002121A4">
        <w:rPr>
          <w:b/>
          <w:sz w:val="19"/>
          <w:szCs w:val="19"/>
          <w:lang w:val="en-GB"/>
        </w:rPr>
      </w:r>
      <w:r w:rsidRPr="002121A4">
        <w:rPr>
          <w:b/>
          <w:sz w:val="19"/>
          <w:szCs w:val="19"/>
          <w:lang w:val="en-GB"/>
        </w:rPr>
        <w:fldChar w:fldCharType="separate"/>
      </w:r>
      <w:r w:rsidR="00D56145">
        <w:rPr>
          <w:b/>
          <w:noProof/>
          <w:sz w:val="19"/>
          <w:szCs w:val="19"/>
          <w:lang w:val="en-GB"/>
        </w:rPr>
        <w:t>33</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522CDA" w:rsidRPr="002121A4">
        <w:rPr>
          <w:sz w:val="19"/>
          <w:szCs w:val="19"/>
          <w:lang w:val="en-GB"/>
        </w:rPr>
        <w:t>As regards valuation, the methodology only has to be disclosed if relevant for investors</w:t>
      </w:r>
      <w:r w:rsidR="000E15CA">
        <w:rPr>
          <w:sz w:val="19"/>
          <w:szCs w:val="19"/>
          <w:lang w:val="en-GB"/>
        </w:rPr>
        <w:t>.</w:t>
      </w:r>
      <w:r w:rsidR="000E15CA">
        <w:rPr>
          <w:rStyle w:val="Funotenzeichen"/>
          <w:sz w:val="19"/>
          <w:szCs w:val="19"/>
          <w:lang w:val="en-GB"/>
        </w:rPr>
        <w:footnoteReference w:id="357"/>
      </w:r>
      <w:r w:rsidR="00522CDA" w:rsidRPr="002121A4">
        <w:rPr>
          <w:sz w:val="19"/>
          <w:szCs w:val="19"/>
          <w:lang w:val="en-GB"/>
        </w:rPr>
        <w:t xml:space="preserve"> </w:t>
      </w:r>
      <w:r w:rsidR="00251613">
        <w:rPr>
          <w:sz w:val="19"/>
          <w:szCs w:val="19"/>
          <w:lang w:val="en-GB"/>
        </w:rPr>
        <w:t>T</w:t>
      </w:r>
      <w:r w:rsidR="00522CDA" w:rsidRPr="002121A4">
        <w:rPr>
          <w:sz w:val="19"/>
          <w:szCs w:val="19"/>
          <w:lang w:val="en-GB"/>
        </w:rPr>
        <w:t>he valuation result is not incorrect as long as it stays within acceptable boundaries</w:t>
      </w:r>
      <w:r w:rsidR="00251613">
        <w:rPr>
          <w:sz w:val="19"/>
          <w:szCs w:val="19"/>
          <w:lang w:val="en-GB"/>
        </w:rPr>
        <w:t xml:space="preserve"> (“</w:t>
      </w:r>
      <w:proofErr w:type="spellStart"/>
      <w:r w:rsidR="00251613" w:rsidRPr="00F70D84">
        <w:rPr>
          <w:i/>
          <w:sz w:val="19"/>
          <w:szCs w:val="19"/>
          <w:lang w:val="en-GB"/>
        </w:rPr>
        <w:t>im</w:t>
      </w:r>
      <w:proofErr w:type="spellEnd"/>
      <w:r w:rsidR="00251613" w:rsidRPr="00F70D84">
        <w:rPr>
          <w:i/>
          <w:sz w:val="19"/>
          <w:szCs w:val="19"/>
          <w:lang w:val="en-GB"/>
        </w:rPr>
        <w:t xml:space="preserve"> </w:t>
      </w:r>
      <w:proofErr w:type="spellStart"/>
      <w:r w:rsidR="00251613" w:rsidRPr="00F70D84">
        <w:rPr>
          <w:i/>
          <w:sz w:val="19"/>
          <w:szCs w:val="19"/>
          <w:lang w:val="en-GB"/>
        </w:rPr>
        <w:t>Rahmen</w:t>
      </w:r>
      <w:proofErr w:type="spellEnd"/>
      <w:r w:rsidR="00251613" w:rsidRPr="00F70D84">
        <w:rPr>
          <w:i/>
          <w:sz w:val="19"/>
          <w:szCs w:val="19"/>
          <w:lang w:val="en-GB"/>
        </w:rPr>
        <w:t xml:space="preserve"> </w:t>
      </w:r>
      <w:proofErr w:type="spellStart"/>
      <w:r w:rsidR="00251613" w:rsidRPr="00F70D84">
        <w:rPr>
          <w:i/>
          <w:sz w:val="19"/>
          <w:szCs w:val="19"/>
          <w:lang w:val="en-GB"/>
        </w:rPr>
        <w:t>zulässiger</w:t>
      </w:r>
      <w:proofErr w:type="spellEnd"/>
      <w:r w:rsidR="00251613" w:rsidRPr="00F70D84">
        <w:rPr>
          <w:i/>
          <w:sz w:val="19"/>
          <w:szCs w:val="19"/>
          <w:lang w:val="en-GB"/>
        </w:rPr>
        <w:t xml:space="preserve"> </w:t>
      </w:r>
      <w:proofErr w:type="spellStart"/>
      <w:r w:rsidR="00251613" w:rsidRPr="00F70D84">
        <w:rPr>
          <w:i/>
          <w:sz w:val="19"/>
          <w:szCs w:val="19"/>
          <w:lang w:val="en-GB"/>
        </w:rPr>
        <w:t>Toleranzen</w:t>
      </w:r>
      <w:proofErr w:type="spellEnd"/>
      <w:r w:rsidR="00251613">
        <w:rPr>
          <w:sz w:val="19"/>
          <w:szCs w:val="19"/>
          <w:lang w:val="en-GB"/>
        </w:rPr>
        <w:t>”)</w:t>
      </w:r>
      <w:r w:rsidR="00522CDA" w:rsidRPr="002121A4">
        <w:rPr>
          <w:sz w:val="19"/>
          <w:szCs w:val="19"/>
          <w:lang w:val="en-GB"/>
        </w:rPr>
        <w:t>.</w:t>
      </w:r>
      <w:r w:rsidR="00251613">
        <w:rPr>
          <w:rStyle w:val="Funotenzeichen"/>
          <w:sz w:val="19"/>
          <w:szCs w:val="19"/>
          <w:lang w:val="en-GB"/>
        </w:rPr>
        <w:footnoteReference w:id="358"/>
      </w:r>
      <w:r w:rsidR="00522CDA" w:rsidRPr="002121A4">
        <w:rPr>
          <w:sz w:val="19"/>
          <w:szCs w:val="19"/>
          <w:lang w:val="en-GB"/>
        </w:rPr>
        <w:t xml:space="preserve"> By contrast, the description of the internal “contribution in kind” as a “sale” is misleading in that the word “sale” suggests incorrectly that the risk of a decrease in value of the participation “sold” has passed to the buyer, while in the present case, the issuer still bears this risk on a consolidated basis.</w:t>
      </w:r>
      <w:r w:rsidR="002C7724">
        <w:rPr>
          <w:rStyle w:val="Funotenzeichen"/>
          <w:sz w:val="19"/>
          <w:szCs w:val="19"/>
          <w:lang w:val="en-GB"/>
        </w:rPr>
        <w:footnoteReference w:id="359"/>
      </w:r>
      <w:r w:rsidR="00522CDA" w:rsidRPr="002121A4">
        <w:rPr>
          <w:sz w:val="19"/>
          <w:szCs w:val="19"/>
          <w:lang w:val="en-GB"/>
        </w:rPr>
        <w:t xml:space="preserve"> As a result, the prospectus does not meet the disclosure requirements under article 6(1), (2) PR.</w:t>
      </w:r>
    </w:p>
    <w:p w14:paraId="37439966" w14:textId="3BAAA113" w:rsidR="00F70C8D" w:rsidRPr="002121A4" w:rsidRDefault="00F70C8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_Ref163122692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19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_Ref163122692 \h </w:instrText>
      </w:r>
      <w:r w:rsidRPr="002121A4">
        <w:rPr>
          <w:b/>
          <w:sz w:val="19"/>
          <w:szCs w:val="19"/>
          <w:lang w:val="en-GB"/>
        </w:rPr>
      </w:r>
      <w:r w:rsidRPr="002121A4">
        <w:rPr>
          <w:b/>
          <w:sz w:val="19"/>
          <w:szCs w:val="19"/>
          <w:lang w:val="en-GB"/>
        </w:rPr>
        <w:fldChar w:fldCharType="separate"/>
      </w:r>
      <w:r w:rsidR="00D56145">
        <w:rPr>
          <w:b/>
          <w:noProof/>
          <w:sz w:val="19"/>
          <w:szCs w:val="19"/>
          <w:lang w:val="en-GB"/>
        </w:rPr>
        <w:t>34</w:t>
      </w:r>
      <w:r w:rsidRPr="002121A4">
        <w:rPr>
          <w:b/>
          <w:sz w:val="19"/>
          <w:szCs w:val="19"/>
          <w:lang w:val="en-GB"/>
        </w:rPr>
        <w:fldChar w:fldCharType="end"/>
      </w:r>
      <w:r w:rsidRPr="002121A4">
        <w:rPr>
          <w:b/>
          <w:sz w:val="19"/>
          <w:szCs w:val="19"/>
          <w:lang w:val="en-GB"/>
        </w:rPr>
        <w:t>).</w:t>
      </w:r>
      <w:r w:rsidRPr="002121A4">
        <w:rPr>
          <w:sz w:val="19"/>
          <w:szCs w:val="19"/>
          <w:lang w:val="en-GB"/>
        </w:rPr>
        <w:t xml:space="preserve"> Completeness and </w:t>
      </w:r>
      <w:r w:rsidR="00EB2355" w:rsidRPr="002121A4">
        <w:rPr>
          <w:sz w:val="19"/>
          <w:szCs w:val="19"/>
          <w:lang w:val="en-GB"/>
        </w:rPr>
        <w:t>correctness</w:t>
      </w:r>
      <w:r w:rsidRPr="002121A4">
        <w:rPr>
          <w:sz w:val="19"/>
          <w:szCs w:val="19"/>
          <w:lang w:val="en-GB"/>
        </w:rPr>
        <w:t xml:space="preserve"> of a prospectus do not depend on single, isolated parts, but the “overall picture”.</w:t>
      </w:r>
      <w:r w:rsidR="00CC3CA3">
        <w:rPr>
          <w:rStyle w:val="Funotenzeichen"/>
          <w:sz w:val="19"/>
          <w:szCs w:val="19"/>
          <w:lang w:val="en-GB"/>
        </w:rPr>
        <w:footnoteReference w:id="360"/>
      </w:r>
      <w:r w:rsidRPr="002121A4">
        <w:rPr>
          <w:sz w:val="19"/>
          <w:szCs w:val="19"/>
          <w:lang w:val="en-GB"/>
        </w:rPr>
        <w:t xml:space="preserve"> A prospectus for a transaction raising capital for re-investment in a subsidiary of the issuer has to explain the subsidiary’s business model and attendant risks, but there is no express requirement for a balance sheet.</w:t>
      </w:r>
      <w:r w:rsidR="00022130">
        <w:rPr>
          <w:rStyle w:val="Funotenzeichen"/>
          <w:sz w:val="19"/>
          <w:szCs w:val="19"/>
          <w:lang w:val="en-GB"/>
        </w:rPr>
        <w:footnoteReference w:id="361"/>
      </w:r>
      <w:r w:rsidRPr="002121A4">
        <w:rPr>
          <w:sz w:val="19"/>
          <w:szCs w:val="19"/>
          <w:lang w:val="en-GB"/>
        </w:rPr>
        <w:t xml:space="preserve"> There is no need to indicate the equity ratio if the components of that ratio are part of the prospectus.</w:t>
      </w:r>
      <w:r w:rsidR="00022130">
        <w:rPr>
          <w:rStyle w:val="Funotenzeichen"/>
          <w:sz w:val="19"/>
          <w:szCs w:val="19"/>
          <w:lang w:val="en-GB"/>
        </w:rPr>
        <w:footnoteReference w:id="362"/>
      </w:r>
    </w:p>
    <w:p w14:paraId="123BF90B" w14:textId="5F673AB7" w:rsidR="00F70C8D" w:rsidRPr="002121A4" w:rsidRDefault="00F70C8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_Ref131682210 \r \h </w:instrText>
      </w:r>
      <w:r w:rsidRPr="002121A4">
        <w:rPr>
          <w:b/>
          <w:sz w:val="19"/>
          <w:szCs w:val="19"/>
          <w:lang w:val="en-GB"/>
        </w:rPr>
      </w:r>
      <w:r w:rsidRPr="002121A4">
        <w:rPr>
          <w:b/>
          <w:sz w:val="19"/>
          <w:szCs w:val="19"/>
          <w:lang w:val="en-GB"/>
        </w:rPr>
        <w:fldChar w:fldCharType="separate"/>
      </w:r>
      <w:r w:rsidR="00D56145">
        <w:rPr>
          <w:b/>
          <w:sz w:val="19"/>
          <w:szCs w:val="19"/>
          <w:lang w:val="en-GB"/>
        </w:rPr>
        <w:t>Case Study 20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_Ref131682210 \h </w:instrText>
      </w:r>
      <w:r w:rsidRPr="002121A4">
        <w:rPr>
          <w:b/>
          <w:sz w:val="19"/>
          <w:szCs w:val="19"/>
          <w:lang w:val="en-GB"/>
        </w:rPr>
      </w:r>
      <w:r w:rsidRPr="002121A4">
        <w:rPr>
          <w:b/>
          <w:sz w:val="19"/>
          <w:szCs w:val="19"/>
          <w:lang w:val="en-GB"/>
        </w:rPr>
        <w:fldChar w:fldCharType="separate"/>
      </w:r>
      <w:r w:rsidR="00D56145">
        <w:rPr>
          <w:b/>
          <w:noProof/>
          <w:sz w:val="19"/>
          <w:szCs w:val="19"/>
          <w:lang w:val="en-GB"/>
        </w:rPr>
        <w:t>34</w:t>
      </w:r>
      <w:r w:rsidRPr="002121A4">
        <w:rPr>
          <w:b/>
          <w:sz w:val="19"/>
          <w:szCs w:val="19"/>
          <w:lang w:val="en-GB"/>
        </w:rPr>
        <w:fldChar w:fldCharType="end"/>
      </w:r>
      <w:r w:rsidRPr="002121A4">
        <w:rPr>
          <w:b/>
          <w:sz w:val="19"/>
          <w:szCs w:val="19"/>
          <w:lang w:val="en-GB"/>
        </w:rPr>
        <w:t>).</w:t>
      </w:r>
      <w:r w:rsidRPr="002121A4">
        <w:rPr>
          <w:sz w:val="19"/>
          <w:szCs w:val="19"/>
          <w:lang w:val="en-GB"/>
        </w:rPr>
        <w:t xml:space="preserve"> a) The test for correctness of a prospectus depends on the perspective of an “average retail investor” with no special knowledge.</w:t>
      </w:r>
      <w:r w:rsidR="006328F5">
        <w:rPr>
          <w:rStyle w:val="Funotenzeichen"/>
          <w:sz w:val="19"/>
          <w:szCs w:val="19"/>
          <w:lang w:val="en-GB"/>
        </w:rPr>
        <w:footnoteReference w:id="363"/>
      </w:r>
      <w:r w:rsidRPr="002121A4">
        <w:rPr>
          <w:sz w:val="19"/>
          <w:szCs w:val="19"/>
          <w:lang w:val="en-GB"/>
        </w:rPr>
        <w:t xml:space="preserve"> Therefore, a prospectus must address the risk of adverse instruction</w:t>
      </w:r>
      <w:r w:rsidR="006D7380" w:rsidRPr="002121A4">
        <w:rPr>
          <w:sz w:val="19"/>
          <w:szCs w:val="19"/>
          <w:lang w:val="en-GB"/>
        </w:rPr>
        <w:t>s</w:t>
      </w:r>
      <w:r w:rsidRPr="002121A4">
        <w:rPr>
          <w:sz w:val="19"/>
          <w:szCs w:val="19"/>
          <w:lang w:val="en-GB"/>
        </w:rPr>
        <w:t xml:space="preserve"> from the controlling company</w:t>
      </w:r>
      <w:r w:rsidR="006D7380" w:rsidRPr="002121A4">
        <w:rPr>
          <w:sz w:val="19"/>
          <w:szCs w:val="19"/>
          <w:lang w:val="en-GB"/>
        </w:rPr>
        <w:t xml:space="preserve"> as this would not be something a retail investor would be aware of</w:t>
      </w:r>
      <w:r w:rsidRPr="002121A4">
        <w:rPr>
          <w:sz w:val="19"/>
          <w:szCs w:val="19"/>
          <w:lang w:val="en-GB"/>
        </w:rPr>
        <w:t>.</w:t>
      </w:r>
      <w:r w:rsidR="00B950C8">
        <w:rPr>
          <w:rStyle w:val="Funotenzeichen"/>
          <w:sz w:val="19"/>
          <w:szCs w:val="19"/>
          <w:lang w:val="en-GB"/>
        </w:rPr>
        <w:footnoteReference w:id="364"/>
      </w:r>
      <w:r w:rsidRPr="002121A4">
        <w:rPr>
          <w:sz w:val="19"/>
          <w:szCs w:val="19"/>
          <w:lang w:val="en-GB"/>
        </w:rPr>
        <w:t xml:space="preserve"> b) Liability of a person as an </w:t>
      </w:r>
      <w:r w:rsidR="006328F5">
        <w:rPr>
          <w:sz w:val="19"/>
          <w:szCs w:val="19"/>
          <w:lang w:val="en-GB"/>
        </w:rPr>
        <w:t>“</w:t>
      </w:r>
      <w:r w:rsidRPr="002121A4">
        <w:rPr>
          <w:sz w:val="19"/>
          <w:szCs w:val="19"/>
          <w:lang w:val="en-GB"/>
        </w:rPr>
        <w:t>initiator</w:t>
      </w:r>
      <w:r w:rsidR="006328F5">
        <w:rPr>
          <w:sz w:val="19"/>
          <w:szCs w:val="19"/>
          <w:lang w:val="en-GB"/>
        </w:rPr>
        <w:t xml:space="preserve">” (within the meaning of § 9(1) no. 2 </w:t>
      </w:r>
      <w:proofErr w:type="spellStart"/>
      <w:r w:rsidR="006328F5">
        <w:rPr>
          <w:sz w:val="19"/>
          <w:szCs w:val="19"/>
          <w:lang w:val="en-GB"/>
        </w:rPr>
        <w:t>WpPG</w:t>
      </w:r>
      <w:proofErr w:type="spellEnd"/>
      <w:r w:rsidR="006328F5">
        <w:rPr>
          <w:sz w:val="19"/>
          <w:szCs w:val="19"/>
          <w:lang w:val="en-GB"/>
        </w:rPr>
        <w:t>)</w:t>
      </w:r>
      <w:r w:rsidRPr="002121A4">
        <w:rPr>
          <w:sz w:val="19"/>
          <w:szCs w:val="19"/>
          <w:lang w:val="en-GB"/>
        </w:rPr>
        <w:t xml:space="preserve"> includes persons who have an own interest in the issuance of securities and who contribute to the preparation of the prospectus</w:t>
      </w:r>
      <w:r w:rsidR="001E1279">
        <w:rPr>
          <w:sz w:val="19"/>
          <w:szCs w:val="19"/>
          <w:lang w:val="en-GB"/>
        </w:rPr>
        <w:t>,</w:t>
      </w:r>
      <w:r w:rsidR="001E1279">
        <w:rPr>
          <w:rStyle w:val="Funotenzeichen"/>
          <w:sz w:val="19"/>
          <w:szCs w:val="19"/>
          <w:lang w:val="en-GB"/>
        </w:rPr>
        <w:footnoteReference w:id="365"/>
      </w:r>
      <w:r w:rsidRPr="002121A4">
        <w:rPr>
          <w:sz w:val="19"/>
          <w:szCs w:val="19"/>
          <w:lang w:val="en-GB"/>
        </w:rPr>
        <w:t xml:space="preserve"> as is the case for M.</w:t>
      </w:r>
    </w:p>
    <w:p w14:paraId="08C2191D" w14:textId="44A913D7" w:rsidR="00F70C8D" w:rsidRPr="002121A4" w:rsidRDefault="00DC34F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_Ref163123026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_Ref163123026 \h </w:instrText>
      </w:r>
      <w:r w:rsidRPr="002121A4">
        <w:rPr>
          <w:b/>
          <w:sz w:val="19"/>
          <w:szCs w:val="19"/>
          <w:lang w:val="en-GB"/>
        </w:rPr>
      </w:r>
      <w:r w:rsidRPr="002121A4">
        <w:rPr>
          <w:b/>
          <w:sz w:val="19"/>
          <w:szCs w:val="19"/>
          <w:lang w:val="en-GB"/>
        </w:rPr>
        <w:fldChar w:fldCharType="separate"/>
      </w:r>
      <w:r w:rsidR="00D56145">
        <w:rPr>
          <w:b/>
          <w:noProof/>
          <w:sz w:val="19"/>
          <w:szCs w:val="19"/>
          <w:lang w:val="en-GB"/>
        </w:rPr>
        <w:t>38</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proofErr w:type="spellStart"/>
      <w:r w:rsidRPr="002121A4">
        <w:rPr>
          <w:sz w:val="19"/>
          <w:szCs w:val="19"/>
          <w:lang w:val="en-GB"/>
        </w:rPr>
        <w:t>i</w:t>
      </w:r>
      <w:proofErr w:type="spellEnd"/>
      <w:r w:rsidRPr="002121A4">
        <w:rPr>
          <w:sz w:val="19"/>
          <w:szCs w:val="19"/>
          <w:lang w:val="en-GB"/>
        </w:rPr>
        <w:t xml:space="preserve">) The lack of impact on the market at large is irrelevant under § 12 </w:t>
      </w:r>
      <w:proofErr w:type="spellStart"/>
      <w:r w:rsidRPr="002121A4">
        <w:rPr>
          <w:sz w:val="19"/>
          <w:szCs w:val="19"/>
          <w:lang w:val="en-GB"/>
        </w:rPr>
        <w:t>WpPG</w:t>
      </w:r>
      <w:proofErr w:type="spellEnd"/>
      <w:r w:rsidR="00820237">
        <w:rPr>
          <w:sz w:val="19"/>
          <w:szCs w:val="19"/>
          <w:lang w:val="en-GB"/>
        </w:rPr>
        <w:t>.</w:t>
      </w:r>
      <w:r w:rsidRPr="002121A4">
        <w:rPr>
          <w:sz w:val="19"/>
          <w:szCs w:val="19"/>
          <w:lang w:val="en-GB"/>
        </w:rPr>
        <w:t xml:space="preserve"> </w:t>
      </w:r>
      <w:r w:rsidR="00820237">
        <w:rPr>
          <w:sz w:val="19"/>
          <w:szCs w:val="19"/>
          <w:lang w:val="en-GB"/>
        </w:rPr>
        <w:t>A</w:t>
      </w:r>
      <w:r w:rsidRPr="002121A4">
        <w:rPr>
          <w:sz w:val="19"/>
          <w:szCs w:val="19"/>
          <w:lang w:val="en-GB"/>
        </w:rPr>
        <w:t xml:space="preserve"> defence under §</w:t>
      </w:r>
      <w:r w:rsidR="005222B4">
        <w:rPr>
          <w:sz w:val="19"/>
          <w:szCs w:val="19"/>
          <w:lang w:val="en-GB"/>
        </w:rPr>
        <w:t> </w:t>
      </w:r>
      <w:r w:rsidRPr="002121A4">
        <w:rPr>
          <w:sz w:val="19"/>
          <w:szCs w:val="19"/>
          <w:lang w:val="en-GB"/>
        </w:rPr>
        <w:t>12(2)</w:t>
      </w:r>
      <w:r w:rsidR="004646FE">
        <w:rPr>
          <w:sz w:val="19"/>
          <w:szCs w:val="19"/>
          <w:lang w:val="en-GB"/>
        </w:rPr>
        <w:t xml:space="preserve"> no. </w:t>
      </w:r>
      <w:r w:rsidRPr="002121A4">
        <w:rPr>
          <w:sz w:val="19"/>
          <w:szCs w:val="19"/>
          <w:lang w:val="en-GB"/>
        </w:rPr>
        <w:t>1 only exists where there is proof that the individual investment decision was not influenced by the prospectus.</w:t>
      </w:r>
      <w:r w:rsidR="00687571">
        <w:rPr>
          <w:rStyle w:val="Funotenzeichen"/>
          <w:sz w:val="19"/>
          <w:szCs w:val="19"/>
          <w:lang w:val="en-GB"/>
        </w:rPr>
        <w:footnoteReference w:id="366"/>
      </w:r>
      <w:r w:rsidRPr="002121A4">
        <w:rPr>
          <w:sz w:val="19"/>
          <w:szCs w:val="19"/>
          <w:lang w:val="en-GB"/>
        </w:rPr>
        <w:t xml:space="preserve"> (ii) Whether the issue price adequately reflected risks is irrelevant under § 12</w:t>
      </w:r>
      <w:r w:rsidR="001E5301">
        <w:rPr>
          <w:sz w:val="19"/>
          <w:szCs w:val="19"/>
          <w:lang w:val="en-GB"/>
        </w:rPr>
        <w:t xml:space="preserve">(2) </w:t>
      </w:r>
      <w:proofErr w:type="spellStart"/>
      <w:r w:rsidRPr="002121A4">
        <w:rPr>
          <w:sz w:val="19"/>
          <w:szCs w:val="19"/>
          <w:lang w:val="en-GB"/>
        </w:rPr>
        <w:t>WpPG</w:t>
      </w:r>
      <w:proofErr w:type="spellEnd"/>
      <w:r w:rsidR="001E5301">
        <w:rPr>
          <w:sz w:val="19"/>
          <w:szCs w:val="19"/>
          <w:lang w:val="en-GB"/>
        </w:rPr>
        <w:t>.</w:t>
      </w:r>
      <w:r w:rsidRPr="002121A4">
        <w:rPr>
          <w:sz w:val="19"/>
          <w:szCs w:val="19"/>
          <w:lang w:val="en-GB"/>
        </w:rPr>
        <w:t xml:space="preserve"> </w:t>
      </w:r>
      <w:r w:rsidR="001E5301">
        <w:rPr>
          <w:sz w:val="19"/>
          <w:szCs w:val="19"/>
          <w:lang w:val="en-GB"/>
        </w:rPr>
        <w:t>A</w:t>
      </w:r>
      <w:r w:rsidRPr="002121A4">
        <w:rPr>
          <w:sz w:val="19"/>
          <w:szCs w:val="19"/>
          <w:lang w:val="en-GB"/>
        </w:rPr>
        <w:t xml:space="preserve"> defence under § 12(2) no. </w:t>
      </w:r>
      <w:r w:rsidR="001E5301">
        <w:rPr>
          <w:sz w:val="19"/>
          <w:szCs w:val="19"/>
          <w:lang w:val="en-GB"/>
        </w:rPr>
        <w:t>2</w:t>
      </w:r>
      <w:r w:rsidRPr="002121A4">
        <w:rPr>
          <w:sz w:val="19"/>
          <w:szCs w:val="19"/>
          <w:lang w:val="en-GB"/>
        </w:rPr>
        <w:t xml:space="preserve"> </w:t>
      </w:r>
      <w:proofErr w:type="spellStart"/>
      <w:r w:rsidRPr="002121A4">
        <w:rPr>
          <w:sz w:val="19"/>
          <w:szCs w:val="19"/>
          <w:lang w:val="en-GB"/>
        </w:rPr>
        <w:t>WpPG</w:t>
      </w:r>
      <w:proofErr w:type="spellEnd"/>
      <w:r w:rsidRPr="002121A4">
        <w:rPr>
          <w:sz w:val="19"/>
          <w:szCs w:val="19"/>
          <w:lang w:val="en-GB"/>
        </w:rPr>
        <w:t xml:space="preserve"> only exists where the undisclosed risks did not materialise and did not cause a reduction in price.</w:t>
      </w:r>
      <w:r w:rsidR="001E5301">
        <w:rPr>
          <w:rStyle w:val="Funotenzeichen"/>
          <w:sz w:val="19"/>
          <w:szCs w:val="19"/>
          <w:lang w:val="en-GB"/>
        </w:rPr>
        <w:footnoteReference w:id="367"/>
      </w:r>
      <w:r w:rsidRPr="002121A4">
        <w:rPr>
          <w:sz w:val="19"/>
          <w:szCs w:val="19"/>
          <w:lang w:val="en-GB"/>
        </w:rPr>
        <w:t xml:space="preserve"> (iii) The impact of the discovery of inaccuracies in the prospectus is irrelevant for defences under § 12 </w:t>
      </w:r>
      <w:proofErr w:type="spellStart"/>
      <w:r w:rsidRPr="002121A4">
        <w:rPr>
          <w:sz w:val="19"/>
          <w:szCs w:val="19"/>
          <w:lang w:val="en-GB"/>
        </w:rPr>
        <w:t>WpPG</w:t>
      </w:r>
      <w:proofErr w:type="spellEnd"/>
      <w:r w:rsidRPr="002121A4">
        <w:rPr>
          <w:sz w:val="19"/>
          <w:szCs w:val="19"/>
          <w:lang w:val="en-GB"/>
        </w:rPr>
        <w:t>.</w:t>
      </w:r>
      <w:r w:rsidR="002756CC">
        <w:rPr>
          <w:rStyle w:val="Funotenzeichen"/>
          <w:sz w:val="19"/>
          <w:szCs w:val="19"/>
          <w:lang w:val="en-GB"/>
        </w:rPr>
        <w:footnoteReference w:id="368"/>
      </w:r>
    </w:p>
    <w:p w14:paraId="3B676AE5" w14:textId="7FE21671" w:rsidR="00DC34FD" w:rsidRPr="002121A4" w:rsidRDefault="00DC34FD"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_Ref163123027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_Ref163123027 \h </w:instrText>
      </w:r>
      <w:r w:rsidRPr="002121A4">
        <w:rPr>
          <w:b/>
          <w:sz w:val="19"/>
          <w:szCs w:val="19"/>
          <w:lang w:val="en-GB"/>
        </w:rPr>
      </w:r>
      <w:r w:rsidRPr="002121A4">
        <w:rPr>
          <w:b/>
          <w:sz w:val="19"/>
          <w:szCs w:val="19"/>
          <w:lang w:val="en-GB"/>
        </w:rPr>
        <w:fldChar w:fldCharType="separate"/>
      </w:r>
      <w:r w:rsidR="00D56145">
        <w:rPr>
          <w:b/>
          <w:noProof/>
          <w:sz w:val="19"/>
          <w:szCs w:val="19"/>
          <w:lang w:val="en-GB"/>
        </w:rPr>
        <w:t>38</w:t>
      </w:r>
      <w:r w:rsidRPr="002121A4">
        <w:rPr>
          <w:b/>
          <w:sz w:val="19"/>
          <w:szCs w:val="19"/>
          <w:lang w:val="en-GB"/>
        </w:rPr>
        <w:fldChar w:fldCharType="end"/>
      </w:r>
      <w:r w:rsidRPr="002121A4">
        <w:rPr>
          <w:b/>
          <w:sz w:val="19"/>
          <w:szCs w:val="19"/>
          <w:lang w:val="en-GB"/>
        </w:rPr>
        <w:t>).</w:t>
      </w:r>
      <w:r w:rsidRPr="002121A4">
        <w:rPr>
          <w:sz w:val="19"/>
          <w:szCs w:val="19"/>
          <w:lang w:val="en-GB"/>
        </w:rPr>
        <w:t xml:space="preserve"> The Prospectus Regulation designed prospectuses as a tool to improve confidence in securities markets, so it is legitimate for any investor to rely on the contents of a prospectus.</w:t>
      </w:r>
      <w:r w:rsidR="0053445D">
        <w:rPr>
          <w:rStyle w:val="Funotenzeichen"/>
          <w:sz w:val="19"/>
          <w:szCs w:val="19"/>
          <w:lang w:val="en-GB"/>
        </w:rPr>
        <w:footnoteReference w:id="369"/>
      </w:r>
      <w:r w:rsidRPr="002121A4">
        <w:rPr>
          <w:sz w:val="19"/>
          <w:szCs w:val="19"/>
          <w:lang w:val="en-GB"/>
        </w:rPr>
        <w:t xml:space="preserve"> Article 1(4) PR does not exclude qualified investors from the scope of potential claimants.</w:t>
      </w:r>
      <w:r w:rsidR="00D744A6">
        <w:rPr>
          <w:rStyle w:val="Funotenzeichen"/>
          <w:sz w:val="19"/>
          <w:szCs w:val="19"/>
          <w:lang w:val="en-GB"/>
        </w:rPr>
        <w:footnoteReference w:id="370"/>
      </w:r>
      <w:r w:rsidRPr="002121A4">
        <w:rPr>
          <w:sz w:val="19"/>
          <w:szCs w:val="19"/>
          <w:lang w:val="en-GB"/>
        </w:rPr>
        <w:t xml:space="preserve"> As regards defences, Member states have discretion as to how they implement liability principles under article 11 PR, subject, however, to the principles of equivalence and effectiveness.</w:t>
      </w:r>
      <w:r w:rsidR="00AA6024">
        <w:rPr>
          <w:rStyle w:val="Funotenzeichen"/>
          <w:sz w:val="19"/>
          <w:szCs w:val="19"/>
          <w:lang w:val="en-GB"/>
        </w:rPr>
        <w:footnoteReference w:id="371"/>
      </w:r>
      <w:r w:rsidR="00AA6024">
        <w:rPr>
          <w:sz w:val="19"/>
          <w:szCs w:val="19"/>
          <w:lang w:val="en-GB"/>
        </w:rPr>
        <w:t xml:space="preserve"> If these conditions are met, domestic law on prospectus liability may allow a defence based on the investor’s awareness (or negligent failure to be aware) of the issuer’s economic situation.</w:t>
      </w:r>
      <w:r w:rsidR="005000F1">
        <w:rPr>
          <w:sz w:val="19"/>
          <w:szCs w:val="19"/>
          <w:lang w:val="en-GB"/>
        </w:rPr>
        <w:t xml:space="preserve"> </w:t>
      </w:r>
      <w:proofErr w:type="spellStart"/>
      <w:r w:rsidR="005000F1">
        <w:rPr>
          <w:sz w:val="19"/>
          <w:szCs w:val="19"/>
          <w:lang w:val="en-GB"/>
        </w:rPr>
        <w:t>Notabene</w:t>
      </w:r>
      <w:proofErr w:type="spellEnd"/>
      <w:r w:rsidR="005000F1">
        <w:rPr>
          <w:sz w:val="19"/>
          <w:szCs w:val="19"/>
          <w:lang w:val="en-GB"/>
        </w:rPr>
        <w:t xml:space="preserve">: </w:t>
      </w:r>
      <w:r w:rsidR="00A35C14">
        <w:rPr>
          <w:sz w:val="19"/>
          <w:szCs w:val="19"/>
          <w:lang w:val="en-GB"/>
        </w:rPr>
        <w:t xml:space="preserve">Unlike Spanish law, </w:t>
      </w:r>
      <w:r w:rsidR="005000F1">
        <w:rPr>
          <w:sz w:val="19"/>
          <w:szCs w:val="19"/>
          <w:lang w:val="en-GB"/>
        </w:rPr>
        <w:t>German prospect</w:t>
      </w:r>
      <w:r w:rsidR="00A35C14">
        <w:rPr>
          <w:sz w:val="19"/>
          <w:szCs w:val="19"/>
          <w:lang w:val="en-GB"/>
        </w:rPr>
        <w:t>u</w:t>
      </w:r>
      <w:r w:rsidR="005000F1">
        <w:rPr>
          <w:sz w:val="19"/>
          <w:szCs w:val="19"/>
          <w:lang w:val="en-GB"/>
        </w:rPr>
        <w:t xml:space="preserve">s liability law allows a defence only in case of positive knowledge, § 12(2) no. 3 </w:t>
      </w:r>
      <w:proofErr w:type="spellStart"/>
      <w:r w:rsidR="005000F1">
        <w:rPr>
          <w:sz w:val="19"/>
          <w:szCs w:val="19"/>
          <w:lang w:val="en-GB"/>
        </w:rPr>
        <w:t>WpPG</w:t>
      </w:r>
      <w:proofErr w:type="spellEnd"/>
      <w:r w:rsidR="005000F1">
        <w:rPr>
          <w:sz w:val="19"/>
          <w:szCs w:val="19"/>
          <w:lang w:val="en-GB"/>
        </w:rPr>
        <w:t>.</w:t>
      </w:r>
    </w:p>
    <w:p w14:paraId="23EA2A0A" w14:textId="76BF8610" w:rsidR="00DC34FD" w:rsidRPr="002121A4" w:rsidRDefault="004344A7"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_Ref163123118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_Ref163123118 \h </w:instrText>
      </w:r>
      <w:r w:rsidRPr="002121A4">
        <w:rPr>
          <w:b/>
          <w:sz w:val="19"/>
          <w:szCs w:val="19"/>
          <w:lang w:val="en-GB"/>
        </w:rPr>
      </w:r>
      <w:r w:rsidRPr="002121A4">
        <w:rPr>
          <w:b/>
          <w:sz w:val="19"/>
          <w:szCs w:val="19"/>
          <w:lang w:val="en-GB"/>
        </w:rPr>
        <w:fldChar w:fldCharType="separate"/>
      </w:r>
      <w:r w:rsidR="00D56145">
        <w:rPr>
          <w:b/>
          <w:noProof/>
          <w:sz w:val="19"/>
          <w:szCs w:val="19"/>
          <w:lang w:val="en-GB"/>
        </w:rPr>
        <w:t>39</w:t>
      </w:r>
      <w:r w:rsidRPr="002121A4">
        <w:rPr>
          <w:b/>
          <w:sz w:val="19"/>
          <w:szCs w:val="19"/>
          <w:lang w:val="en-GB"/>
        </w:rPr>
        <w:fldChar w:fldCharType="end"/>
      </w:r>
      <w:r w:rsidRPr="002121A4">
        <w:rPr>
          <w:b/>
          <w:sz w:val="19"/>
          <w:szCs w:val="19"/>
          <w:lang w:val="en-GB"/>
        </w:rPr>
        <w:t>).</w:t>
      </w:r>
      <w:r w:rsidRPr="002121A4">
        <w:rPr>
          <w:sz w:val="19"/>
          <w:szCs w:val="19"/>
          <w:lang w:val="en-GB"/>
        </w:rPr>
        <w:t xml:space="preserve"> A claim under § 823(2) BGB </w:t>
      </w:r>
      <w:r w:rsidR="00B41CD7">
        <w:rPr>
          <w:sz w:val="19"/>
          <w:szCs w:val="19"/>
          <w:lang w:val="en-GB"/>
        </w:rPr>
        <w:t>lies where there is a breach of a “protective norm” (“</w:t>
      </w:r>
      <w:proofErr w:type="spellStart"/>
      <w:r w:rsidR="00B41CD7" w:rsidRPr="00B41CD7">
        <w:rPr>
          <w:i/>
          <w:sz w:val="19"/>
          <w:szCs w:val="19"/>
          <w:lang w:val="en-GB"/>
        </w:rPr>
        <w:t>Geset</w:t>
      </w:r>
      <w:r w:rsidR="00B41CD7">
        <w:rPr>
          <w:i/>
          <w:sz w:val="19"/>
          <w:szCs w:val="19"/>
          <w:lang w:val="en-GB"/>
        </w:rPr>
        <w:t>z</w:t>
      </w:r>
      <w:proofErr w:type="spellEnd"/>
      <w:r w:rsidR="00B41CD7" w:rsidRPr="00B41CD7">
        <w:rPr>
          <w:i/>
          <w:sz w:val="19"/>
          <w:szCs w:val="19"/>
          <w:lang w:val="en-GB"/>
        </w:rPr>
        <w:t xml:space="preserve"> </w:t>
      </w:r>
      <w:proofErr w:type="spellStart"/>
      <w:r w:rsidR="00B41CD7" w:rsidRPr="00B41CD7">
        <w:rPr>
          <w:i/>
          <w:sz w:val="19"/>
          <w:szCs w:val="19"/>
          <w:lang w:val="en-GB"/>
        </w:rPr>
        <w:t>mit</w:t>
      </w:r>
      <w:proofErr w:type="spellEnd"/>
      <w:r w:rsidR="00B41CD7" w:rsidRPr="00B41CD7">
        <w:rPr>
          <w:i/>
          <w:sz w:val="19"/>
          <w:szCs w:val="19"/>
          <w:lang w:val="en-GB"/>
        </w:rPr>
        <w:t xml:space="preserve"> </w:t>
      </w:r>
      <w:proofErr w:type="spellStart"/>
      <w:r w:rsidR="00B41CD7" w:rsidRPr="00B41CD7">
        <w:rPr>
          <w:i/>
          <w:sz w:val="19"/>
          <w:szCs w:val="19"/>
          <w:lang w:val="en-GB"/>
        </w:rPr>
        <w:t>Schutzwirkung</w:t>
      </w:r>
      <w:proofErr w:type="spellEnd"/>
      <w:r w:rsidR="00B41CD7" w:rsidRPr="00B41CD7">
        <w:rPr>
          <w:i/>
          <w:sz w:val="19"/>
          <w:szCs w:val="19"/>
          <w:lang w:val="en-GB"/>
        </w:rPr>
        <w:t xml:space="preserve"> </w:t>
      </w:r>
      <w:proofErr w:type="spellStart"/>
      <w:r w:rsidR="00B41CD7" w:rsidRPr="00B41CD7">
        <w:rPr>
          <w:i/>
          <w:sz w:val="19"/>
          <w:szCs w:val="19"/>
          <w:lang w:val="en-GB"/>
        </w:rPr>
        <w:t>zugunsten</w:t>
      </w:r>
      <w:proofErr w:type="spellEnd"/>
      <w:r w:rsidR="00B41CD7" w:rsidRPr="00B41CD7">
        <w:rPr>
          <w:i/>
          <w:sz w:val="19"/>
          <w:szCs w:val="19"/>
          <w:lang w:val="en-GB"/>
        </w:rPr>
        <w:t xml:space="preserve"> </w:t>
      </w:r>
      <w:proofErr w:type="spellStart"/>
      <w:r w:rsidR="00B41CD7" w:rsidRPr="00B41CD7">
        <w:rPr>
          <w:i/>
          <w:sz w:val="19"/>
          <w:szCs w:val="19"/>
          <w:lang w:val="en-GB"/>
        </w:rPr>
        <w:t>Dritter</w:t>
      </w:r>
      <w:proofErr w:type="spellEnd"/>
      <w:r w:rsidR="00B41CD7">
        <w:rPr>
          <w:sz w:val="19"/>
          <w:szCs w:val="19"/>
          <w:lang w:val="en-GB"/>
        </w:rPr>
        <w:t xml:space="preserve">”). It is recognised that </w:t>
      </w:r>
      <w:r w:rsidRPr="002121A4">
        <w:rPr>
          <w:sz w:val="19"/>
          <w:szCs w:val="19"/>
          <w:lang w:val="en-GB"/>
        </w:rPr>
        <w:t xml:space="preserve">§ 332 HGB </w:t>
      </w:r>
      <w:r w:rsidR="00B41CD7">
        <w:rPr>
          <w:sz w:val="19"/>
          <w:szCs w:val="19"/>
          <w:lang w:val="en-GB"/>
        </w:rPr>
        <w:t xml:space="preserve">qualifies as a protective norm, but only </w:t>
      </w:r>
      <w:r w:rsidRPr="002121A4">
        <w:rPr>
          <w:sz w:val="19"/>
          <w:szCs w:val="19"/>
          <w:lang w:val="en-GB"/>
        </w:rPr>
        <w:t xml:space="preserve">where the audit is compulsory under accounting rules, </w:t>
      </w:r>
      <w:r w:rsidR="00B41CD7">
        <w:rPr>
          <w:sz w:val="19"/>
          <w:szCs w:val="19"/>
          <w:lang w:val="en-GB"/>
        </w:rPr>
        <w:t xml:space="preserve">as opposed to cases such as the present one </w:t>
      </w:r>
      <w:r w:rsidRPr="002121A4">
        <w:rPr>
          <w:sz w:val="19"/>
          <w:szCs w:val="19"/>
          <w:lang w:val="en-GB"/>
        </w:rPr>
        <w:t xml:space="preserve">where the audit requirement is triggered by the issuer’s voluntary decision to make a public offer under the Prospectus Regulation which then </w:t>
      </w:r>
      <w:r w:rsidR="00B41CD7">
        <w:rPr>
          <w:sz w:val="19"/>
          <w:szCs w:val="19"/>
          <w:lang w:val="en-GB"/>
        </w:rPr>
        <w:t xml:space="preserve">in turn </w:t>
      </w:r>
      <w:r w:rsidRPr="002121A4">
        <w:rPr>
          <w:sz w:val="19"/>
          <w:szCs w:val="19"/>
          <w:lang w:val="en-GB"/>
        </w:rPr>
        <w:lastRenderedPageBreak/>
        <w:t>requires audited financial statements</w:t>
      </w:r>
      <w:r w:rsidR="00B41CD7">
        <w:rPr>
          <w:sz w:val="19"/>
          <w:szCs w:val="19"/>
          <w:lang w:val="en-GB"/>
        </w:rPr>
        <w:t xml:space="preserve"> (pursuant to article 13 PR in conjunction with the </w:t>
      </w:r>
      <w:r w:rsidR="00963D2D">
        <w:rPr>
          <w:sz w:val="19"/>
          <w:szCs w:val="19"/>
          <w:lang w:val="en-GB"/>
        </w:rPr>
        <w:t>R</w:t>
      </w:r>
      <w:r w:rsidR="00B41CD7">
        <w:rPr>
          <w:sz w:val="19"/>
          <w:szCs w:val="19"/>
          <w:lang w:val="en-GB"/>
        </w:rPr>
        <w:t>egulation 2019/980)</w:t>
      </w:r>
      <w:r w:rsidRPr="002121A4">
        <w:rPr>
          <w:sz w:val="19"/>
          <w:szCs w:val="19"/>
          <w:lang w:val="en-GB"/>
        </w:rPr>
        <w:t>.</w:t>
      </w:r>
      <w:r w:rsidR="00D05DCD">
        <w:rPr>
          <w:rStyle w:val="Funotenzeichen"/>
          <w:sz w:val="19"/>
          <w:szCs w:val="19"/>
          <w:lang w:val="en-GB"/>
        </w:rPr>
        <w:footnoteReference w:id="372"/>
      </w:r>
      <w:r w:rsidRPr="002121A4">
        <w:rPr>
          <w:sz w:val="19"/>
          <w:szCs w:val="19"/>
          <w:lang w:val="en-GB"/>
        </w:rPr>
        <w:t xml:space="preserve"> </w:t>
      </w:r>
      <w:r w:rsidR="00340A50">
        <w:rPr>
          <w:sz w:val="19"/>
          <w:szCs w:val="19"/>
          <w:lang w:val="en-GB"/>
        </w:rPr>
        <w:t>Where the audit is voluntary as in the case at hand, a</w:t>
      </w:r>
      <w:r w:rsidRPr="002121A4">
        <w:rPr>
          <w:sz w:val="19"/>
          <w:szCs w:val="19"/>
          <w:lang w:val="en-GB"/>
        </w:rPr>
        <w:t xml:space="preserve"> claim pursuant to § 826 BGB exists where auditor’s statements lack an appropriate basis in a way that is “reckless” or “unscrupulous”.</w:t>
      </w:r>
      <w:r w:rsidR="00C818E9">
        <w:rPr>
          <w:rStyle w:val="Funotenzeichen"/>
          <w:sz w:val="19"/>
          <w:szCs w:val="19"/>
          <w:lang w:val="en-GB"/>
        </w:rPr>
        <w:footnoteReference w:id="373"/>
      </w:r>
    </w:p>
    <w:p w14:paraId="5CBB16EC" w14:textId="47D79437" w:rsidR="000858E2" w:rsidRPr="002121A4" w:rsidRDefault="000858E2"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_Ref163123170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_Ref163123170 \h </w:instrText>
      </w:r>
      <w:r w:rsidRPr="002121A4">
        <w:rPr>
          <w:b/>
          <w:sz w:val="19"/>
          <w:szCs w:val="19"/>
          <w:lang w:val="en-GB"/>
        </w:rPr>
      </w:r>
      <w:r w:rsidRPr="002121A4">
        <w:rPr>
          <w:b/>
          <w:sz w:val="19"/>
          <w:szCs w:val="19"/>
          <w:lang w:val="en-GB"/>
        </w:rPr>
        <w:fldChar w:fldCharType="separate"/>
      </w:r>
      <w:r w:rsidR="00D56145">
        <w:rPr>
          <w:b/>
          <w:noProof/>
          <w:sz w:val="19"/>
          <w:szCs w:val="19"/>
          <w:lang w:val="en-GB"/>
        </w:rPr>
        <w:t>39</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72 UCITS Directive requires </w:t>
      </w:r>
      <w:r w:rsidR="00840522">
        <w:rPr>
          <w:sz w:val="19"/>
          <w:szCs w:val="19"/>
          <w:lang w:val="en-GB"/>
        </w:rPr>
        <w:t xml:space="preserve">prospectus </w:t>
      </w:r>
      <w:r w:rsidRPr="002121A4">
        <w:rPr>
          <w:sz w:val="19"/>
          <w:szCs w:val="19"/>
          <w:lang w:val="en-GB"/>
        </w:rPr>
        <w:t>updates for “essential elements”</w:t>
      </w:r>
      <w:r w:rsidR="008337EB">
        <w:rPr>
          <w:sz w:val="19"/>
          <w:szCs w:val="19"/>
          <w:lang w:val="en-GB"/>
        </w:rPr>
        <w:t xml:space="preserve">. The term “essential </w:t>
      </w:r>
      <w:proofErr w:type="spellStart"/>
      <w:r w:rsidR="008337EB">
        <w:rPr>
          <w:sz w:val="19"/>
          <w:szCs w:val="19"/>
          <w:lang w:val="en-GB"/>
        </w:rPr>
        <w:t>elemts</w:t>
      </w:r>
      <w:proofErr w:type="spellEnd"/>
      <w:r w:rsidR="008337EB">
        <w:rPr>
          <w:sz w:val="19"/>
          <w:szCs w:val="19"/>
          <w:lang w:val="en-GB"/>
        </w:rPr>
        <w:t>” is</w:t>
      </w:r>
      <w:r w:rsidRPr="002121A4">
        <w:rPr>
          <w:sz w:val="19"/>
          <w:szCs w:val="19"/>
          <w:lang w:val="en-GB"/>
        </w:rPr>
        <w:t>, however, not defined in the Directive.</w:t>
      </w:r>
      <w:r w:rsidR="008337EB">
        <w:rPr>
          <w:rStyle w:val="Funotenzeichen"/>
          <w:sz w:val="19"/>
          <w:szCs w:val="19"/>
          <w:lang w:val="en-GB"/>
        </w:rPr>
        <w:footnoteReference w:id="374"/>
      </w:r>
      <w:r w:rsidRPr="002121A4">
        <w:rPr>
          <w:sz w:val="19"/>
          <w:szCs w:val="19"/>
          <w:lang w:val="en-GB"/>
        </w:rPr>
        <w:t xml:space="preserve"> According to the ECJ, </w:t>
      </w:r>
      <w:r w:rsidR="00840522">
        <w:rPr>
          <w:sz w:val="19"/>
          <w:szCs w:val="19"/>
          <w:lang w:val="en-GB"/>
        </w:rPr>
        <w:t>“essential elements” covers any information needed for the prospectus to fulfil its purpose, i.e., to allow investors to make an informed decision.</w:t>
      </w:r>
      <w:r w:rsidR="00840522">
        <w:rPr>
          <w:rStyle w:val="Funotenzeichen"/>
          <w:sz w:val="19"/>
          <w:szCs w:val="19"/>
          <w:lang w:val="en-GB"/>
        </w:rPr>
        <w:footnoteReference w:id="375"/>
      </w:r>
      <w:r w:rsidR="00840522">
        <w:rPr>
          <w:sz w:val="19"/>
          <w:szCs w:val="19"/>
          <w:lang w:val="en-GB"/>
        </w:rPr>
        <w:t xml:space="preserve"> </w:t>
      </w:r>
      <w:r w:rsidR="0095490B">
        <w:rPr>
          <w:sz w:val="19"/>
          <w:szCs w:val="19"/>
          <w:lang w:val="en-GB"/>
        </w:rPr>
        <w:t xml:space="preserve">In any event, </w:t>
      </w:r>
      <w:r w:rsidRPr="002121A4">
        <w:rPr>
          <w:sz w:val="19"/>
          <w:szCs w:val="19"/>
          <w:lang w:val="en-GB"/>
        </w:rPr>
        <w:t>the minimum information required pursuant to article 69(2)</w:t>
      </w:r>
      <w:r w:rsidR="0095490B">
        <w:rPr>
          <w:sz w:val="19"/>
          <w:szCs w:val="19"/>
          <w:lang w:val="en-GB"/>
        </w:rPr>
        <w:t xml:space="preserve"> of the Directive </w:t>
      </w:r>
      <w:r w:rsidR="00C23931">
        <w:rPr>
          <w:sz w:val="19"/>
          <w:szCs w:val="19"/>
          <w:lang w:val="en-GB"/>
        </w:rPr>
        <w:t xml:space="preserve">and its Annex I Schedule A </w:t>
      </w:r>
      <w:r w:rsidR="0095490B">
        <w:rPr>
          <w:sz w:val="19"/>
          <w:szCs w:val="19"/>
          <w:lang w:val="en-GB"/>
        </w:rPr>
        <w:t>also qualifies as “essential” for the purpose of article 72</w:t>
      </w:r>
      <w:r w:rsidRPr="002121A4">
        <w:rPr>
          <w:sz w:val="19"/>
          <w:szCs w:val="19"/>
          <w:lang w:val="en-GB"/>
        </w:rPr>
        <w:t>.</w:t>
      </w:r>
      <w:r w:rsidR="00F1463A">
        <w:rPr>
          <w:sz w:val="19"/>
          <w:szCs w:val="19"/>
          <w:lang w:val="en-GB"/>
        </w:rPr>
        <w:t xml:space="preserve"> Accordingly, the board composition of the management company is an “essential element” within the meaning of article 72 as it is also part of the minimum requirements pursuant to article 69(2), Annex I Schedule </w:t>
      </w:r>
      <w:proofErr w:type="spellStart"/>
      <w:r w:rsidR="00F1463A">
        <w:rPr>
          <w:sz w:val="19"/>
          <w:szCs w:val="19"/>
          <w:lang w:val="en-GB"/>
        </w:rPr>
        <w:t>A</w:t>
      </w:r>
      <w:proofErr w:type="spellEnd"/>
      <w:r w:rsidR="00F1463A">
        <w:rPr>
          <w:sz w:val="19"/>
          <w:szCs w:val="19"/>
          <w:lang w:val="en-GB"/>
        </w:rPr>
        <w:t xml:space="preserve"> item 1.8 of the Directive.</w:t>
      </w:r>
      <w:r w:rsidR="003577BA">
        <w:rPr>
          <w:sz w:val="19"/>
          <w:szCs w:val="19"/>
          <w:lang w:val="en-GB"/>
        </w:rPr>
        <w:t xml:space="preserve"> Therefore, the change requires a prospectus update.</w:t>
      </w:r>
    </w:p>
    <w:p w14:paraId="22E6F14E" w14:textId="7B172AF5" w:rsidR="000858E2" w:rsidRPr="002121A4" w:rsidRDefault="000858E2"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_Ref163123172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_Ref163123172 \h </w:instrText>
      </w:r>
      <w:r w:rsidRPr="002121A4">
        <w:rPr>
          <w:b/>
          <w:sz w:val="19"/>
          <w:szCs w:val="19"/>
          <w:lang w:val="en-GB"/>
        </w:rPr>
      </w:r>
      <w:r w:rsidRPr="002121A4">
        <w:rPr>
          <w:b/>
          <w:sz w:val="19"/>
          <w:szCs w:val="19"/>
          <w:lang w:val="en-GB"/>
        </w:rPr>
        <w:fldChar w:fldCharType="separate"/>
      </w:r>
      <w:r w:rsidR="00D56145">
        <w:rPr>
          <w:b/>
          <w:noProof/>
          <w:sz w:val="19"/>
          <w:szCs w:val="19"/>
          <w:lang w:val="en-GB"/>
        </w:rPr>
        <w:t>40</w:t>
      </w:r>
      <w:r w:rsidRPr="002121A4">
        <w:rPr>
          <w:b/>
          <w:sz w:val="19"/>
          <w:szCs w:val="19"/>
          <w:lang w:val="en-GB"/>
        </w:rPr>
        <w:fldChar w:fldCharType="end"/>
      </w:r>
      <w:r w:rsidRPr="002121A4">
        <w:rPr>
          <w:b/>
          <w:sz w:val="19"/>
          <w:szCs w:val="19"/>
          <w:lang w:val="en-GB"/>
        </w:rPr>
        <w:t>).</w:t>
      </w:r>
      <w:r w:rsidRPr="002121A4">
        <w:rPr>
          <w:sz w:val="19"/>
          <w:szCs w:val="19"/>
          <w:lang w:val="en-GB"/>
        </w:rPr>
        <w:t xml:space="preserve"> Whether a prospectus is “correct and complete” is to be determined not on the basis of isolated parts of a prospectus, but the overall picture</w:t>
      </w:r>
      <w:r w:rsidR="007A0F1F">
        <w:rPr>
          <w:sz w:val="19"/>
          <w:szCs w:val="19"/>
          <w:lang w:val="en-GB"/>
        </w:rPr>
        <w:t xml:space="preserve"> (“</w:t>
      </w:r>
      <w:proofErr w:type="spellStart"/>
      <w:r w:rsidR="007A0F1F" w:rsidRPr="007A0F1F">
        <w:rPr>
          <w:i/>
          <w:sz w:val="19"/>
          <w:szCs w:val="19"/>
          <w:lang w:val="en-GB"/>
        </w:rPr>
        <w:t>Gesamtbild</w:t>
      </w:r>
      <w:proofErr w:type="spellEnd"/>
      <w:r w:rsidR="007A0F1F">
        <w:rPr>
          <w:sz w:val="19"/>
          <w:szCs w:val="19"/>
          <w:lang w:val="en-GB"/>
        </w:rPr>
        <w:t>”)</w:t>
      </w:r>
      <w:r w:rsidRPr="002121A4">
        <w:rPr>
          <w:sz w:val="19"/>
          <w:szCs w:val="19"/>
          <w:lang w:val="en-GB"/>
        </w:rPr>
        <w:t xml:space="preserve"> it conveys.</w:t>
      </w:r>
      <w:r w:rsidR="007A0F1F">
        <w:rPr>
          <w:rStyle w:val="Funotenzeichen"/>
          <w:sz w:val="19"/>
          <w:szCs w:val="19"/>
          <w:lang w:val="en-GB"/>
        </w:rPr>
        <w:footnoteReference w:id="376"/>
      </w:r>
      <w:r w:rsidRPr="002121A4">
        <w:rPr>
          <w:sz w:val="19"/>
          <w:szCs w:val="19"/>
          <w:lang w:val="en-GB"/>
        </w:rPr>
        <w:t xml:space="preserve"> The test is that of an average retail investor, not an </w:t>
      </w:r>
      <w:r w:rsidR="00EB2355" w:rsidRPr="002121A4">
        <w:rPr>
          <w:sz w:val="19"/>
          <w:szCs w:val="19"/>
          <w:lang w:val="en-GB"/>
        </w:rPr>
        <w:t>inattentive</w:t>
      </w:r>
      <w:r w:rsidRPr="002121A4">
        <w:rPr>
          <w:sz w:val="19"/>
          <w:szCs w:val="19"/>
          <w:lang w:val="en-GB"/>
        </w:rPr>
        <w:t xml:space="preserve"> reader.</w:t>
      </w:r>
      <w:r w:rsidR="007A0F1F">
        <w:rPr>
          <w:rStyle w:val="Funotenzeichen"/>
          <w:sz w:val="19"/>
          <w:szCs w:val="19"/>
          <w:lang w:val="en-GB"/>
        </w:rPr>
        <w:footnoteReference w:id="377"/>
      </w:r>
      <w:r w:rsidRPr="002121A4">
        <w:rPr>
          <w:sz w:val="19"/>
          <w:szCs w:val="19"/>
          <w:lang w:val="en-GB"/>
        </w:rPr>
        <w:t xml:space="preserve"> The language in question does not suggest the investment is “risk-free”, and accordingly, does not make the prospectus incorrect or misleading.</w:t>
      </w:r>
      <w:r w:rsidR="001604ED">
        <w:rPr>
          <w:rStyle w:val="Funotenzeichen"/>
          <w:sz w:val="19"/>
          <w:szCs w:val="19"/>
          <w:lang w:val="en-GB"/>
        </w:rPr>
        <w:footnoteReference w:id="378"/>
      </w:r>
    </w:p>
    <w:p w14:paraId="59DA0145" w14:textId="4FC2332B" w:rsidR="000858E2" w:rsidRPr="002121A4" w:rsidRDefault="00CD0160" w:rsidP="00D66A13">
      <w:pPr>
        <w:rPr>
          <w:sz w:val="19"/>
          <w:szCs w:val="19"/>
          <w:lang w:val="en-GB"/>
        </w:rPr>
      </w:pPr>
      <w:r w:rsidRPr="002121A4">
        <w:rPr>
          <w:b/>
          <w:sz w:val="19"/>
          <w:szCs w:val="19"/>
          <w:lang w:val="en-GB"/>
        </w:rPr>
        <w:fldChar w:fldCharType="begin"/>
      </w:r>
      <w:r w:rsidRPr="002121A4">
        <w:rPr>
          <w:b/>
          <w:sz w:val="19"/>
          <w:szCs w:val="19"/>
          <w:lang w:val="en-GB"/>
        </w:rPr>
        <w:instrText xml:space="preserve"> REF _Ref131682958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_Ref131682958 \h </w:instrText>
      </w:r>
      <w:r w:rsidRPr="002121A4">
        <w:rPr>
          <w:b/>
          <w:sz w:val="19"/>
          <w:szCs w:val="19"/>
          <w:lang w:val="en-GB"/>
        </w:rPr>
      </w:r>
      <w:r w:rsidRPr="002121A4">
        <w:rPr>
          <w:b/>
          <w:sz w:val="19"/>
          <w:szCs w:val="19"/>
          <w:lang w:val="en-GB"/>
        </w:rPr>
        <w:fldChar w:fldCharType="separate"/>
      </w:r>
      <w:r w:rsidR="00D56145">
        <w:rPr>
          <w:b/>
          <w:noProof/>
          <w:sz w:val="19"/>
          <w:szCs w:val="19"/>
          <w:lang w:val="en-GB"/>
        </w:rPr>
        <w:t>44</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3559E6">
        <w:rPr>
          <w:sz w:val="19"/>
          <w:szCs w:val="19"/>
          <w:lang w:val="en-GB"/>
        </w:rPr>
        <w:t>The complexity of financial markets may make it difficult to determine the direction of the movement of prices of financial instruments caused by inside information. Accordingly, t</w:t>
      </w:r>
      <w:r w:rsidRPr="002121A4">
        <w:rPr>
          <w:sz w:val="19"/>
          <w:szCs w:val="19"/>
          <w:lang w:val="en-GB"/>
        </w:rPr>
        <w:t xml:space="preserve">he requirement for information to be of a “precise nature” does not mean that it must be possible to infer with sufficient probability the </w:t>
      </w:r>
      <w:r w:rsidRPr="003559E6">
        <w:rPr>
          <w:i/>
          <w:sz w:val="19"/>
          <w:szCs w:val="19"/>
          <w:lang w:val="en-GB"/>
        </w:rPr>
        <w:t>direction</w:t>
      </w:r>
      <w:r w:rsidRPr="002121A4">
        <w:rPr>
          <w:sz w:val="19"/>
          <w:szCs w:val="19"/>
          <w:lang w:val="en-GB"/>
        </w:rPr>
        <w:t xml:space="preserve"> of a price movement</w:t>
      </w:r>
      <w:r w:rsidR="003559E6">
        <w:rPr>
          <w:sz w:val="19"/>
          <w:szCs w:val="19"/>
          <w:lang w:val="en-GB"/>
        </w:rPr>
        <w:t>.</w:t>
      </w:r>
      <w:r w:rsidR="003559E6">
        <w:rPr>
          <w:rStyle w:val="Funotenzeichen"/>
          <w:sz w:val="19"/>
          <w:szCs w:val="19"/>
          <w:lang w:val="en-GB"/>
        </w:rPr>
        <w:footnoteReference w:id="379"/>
      </w:r>
      <w:r w:rsidRPr="002121A4">
        <w:rPr>
          <w:sz w:val="19"/>
          <w:szCs w:val="19"/>
          <w:lang w:val="en-GB"/>
        </w:rPr>
        <w:t xml:space="preserve"> </w:t>
      </w:r>
      <w:r w:rsidR="00067BDB">
        <w:rPr>
          <w:sz w:val="19"/>
          <w:szCs w:val="19"/>
          <w:lang w:val="en-GB"/>
        </w:rPr>
        <w:t>I</w:t>
      </w:r>
      <w:r w:rsidRPr="002121A4">
        <w:rPr>
          <w:sz w:val="19"/>
          <w:szCs w:val="19"/>
          <w:lang w:val="en-GB"/>
        </w:rPr>
        <w:t>t is sufficient if the information in question is a basis for an assessment by investors, which only excludes information that is “vague” or “general”.</w:t>
      </w:r>
      <w:r w:rsidR="00067BDB">
        <w:rPr>
          <w:rStyle w:val="Funotenzeichen"/>
          <w:sz w:val="19"/>
          <w:szCs w:val="19"/>
          <w:lang w:val="en-GB"/>
        </w:rPr>
        <w:footnoteReference w:id="380"/>
      </w:r>
    </w:p>
    <w:p w14:paraId="1E41CC4F" w14:textId="5A11A91A" w:rsidR="00CD0160" w:rsidRPr="002121A4" w:rsidRDefault="00CD0160"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_Ref131675355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_Ref131675355 \h </w:instrText>
      </w:r>
      <w:r w:rsidRPr="002121A4">
        <w:rPr>
          <w:b/>
          <w:sz w:val="19"/>
          <w:szCs w:val="19"/>
          <w:lang w:val="en-GB"/>
        </w:rPr>
      </w:r>
      <w:r w:rsidRPr="002121A4">
        <w:rPr>
          <w:b/>
          <w:sz w:val="19"/>
          <w:szCs w:val="19"/>
          <w:lang w:val="en-GB"/>
        </w:rPr>
        <w:fldChar w:fldCharType="separate"/>
      </w:r>
      <w:r w:rsidR="00D56145">
        <w:rPr>
          <w:b/>
          <w:noProof/>
          <w:sz w:val="19"/>
          <w:szCs w:val="19"/>
          <w:lang w:val="en-GB"/>
        </w:rPr>
        <w:t>44</w:t>
      </w:r>
      <w:r w:rsidRPr="002121A4">
        <w:rPr>
          <w:b/>
          <w:sz w:val="19"/>
          <w:szCs w:val="19"/>
          <w:lang w:val="en-GB"/>
        </w:rPr>
        <w:fldChar w:fldCharType="end"/>
      </w:r>
      <w:r w:rsidRPr="002121A4">
        <w:rPr>
          <w:b/>
          <w:sz w:val="19"/>
          <w:szCs w:val="19"/>
          <w:lang w:val="en-GB"/>
        </w:rPr>
        <w:t>).</w:t>
      </w:r>
      <w:r w:rsidRPr="002121A4">
        <w:rPr>
          <w:sz w:val="19"/>
          <w:szCs w:val="19"/>
          <w:lang w:val="en-GB"/>
        </w:rPr>
        <w:t xml:space="preserve"> a) The timeliness of the announcement pursuant to article 17(1) MAR depends on when inside information existed within the meaning of article 7(1) MAR. For the various points in time, article 7(2) MAR requires an assessment of both the events </w:t>
      </w:r>
      <w:r w:rsidRPr="0033505A">
        <w:rPr>
          <w:i/>
          <w:sz w:val="19"/>
          <w:szCs w:val="19"/>
          <w:lang w:val="en-GB"/>
        </w:rPr>
        <w:t>already occurred</w:t>
      </w:r>
      <w:r w:rsidRPr="002121A4">
        <w:rPr>
          <w:sz w:val="19"/>
          <w:szCs w:val="19"/>
          <w:lang w:val="en-GB"/>
        </w:rPr>
        <w:t xml:space="preserve">, and potential </w:t>
      </w:r>
      <w:r w:rsidRPr="0033505A">
        <w:rPr>
          <w:i/>
          <w:sz w:val="19"/>
          <w:szCs w:val="19"/>
          <w:lang w:val="en-GB"/>
        </w:rPr>
        <w:t>future</w:t>
      </w:r>
      <w:r w:rsidRPr="002121A4">
        <w:rPr>
          <w:sz w:val="19"/>
          <w:szCs w:val="19"/>
          <w:lang w:val="en-GB"/>
        </w:rPr>
        <w:t xml:space="preserve"> events. Purely private thoughts are not sufficiently precise, but a different assessment may be justified in relation to subsequent discussions on 17 May and/or the June agreement</w:t>
      </w:r>
      <w:r w:rsidR="00A45452">
        <w:rPr>
          <w:sz w:val="19"/>
          <w:szCs w:val="19"/>
          <w:lang w:val="en-GB"/>
        </w:rPr>
        <w:t xml:space="preserve">, </w:t>
      </w:r>
      <w:r w:rsidRPr="002121A4">
        <w:rPr>
          <w:sz w:val="19"/>
          <w:szCs w:val="19"/>
          <w:lang w:val="en-GB"/>
        </w:rPr>
        <w:t>e.g., as regards future events reasonably expected to occur.</w:t>
      </w:r>
      <w:r w:rsidR="0033505A">
        <w:rPr>
          <w:rStyle w:val="Funotenzeichen"/>
          <w:sz w:val="19"/>
          <w:szCs w:val="19"/>
          <w:lang w:val="en-GB"/>
        </w:rPr>
        <w:footnoteReference w:id="381"/>
      </w:r>
      <w:r w:rsidRPr="002121A4">
        <w:rPr>
          <w:sz w:val="19"/>
          <w:szCs w:val="19"/>
          <w:lang w:val="en-GB"/>
        </w:rPr>
        <w:t xml:space="preserve"> </w:t>
      </w:r>
      <w:r w:rsidR="00AF5098">
        <w:rPr>
          <w:sz w:val="19"/>
          <w:szCs w:val="19"/>
          <w:lang w:val="en-GB"/>
        </w:rPr>
        <w:t>The delay of disclosure of inside information existing prior to 28 July 2022 cannot be justified on the basis of article 17(4) MAR as making use of this exception requires a conscious decision by the issuer</w:t>
      </w:r>
      <w:r w:rsidR="001C42B3">
        <w:rPr>
          <w:sz w:val="19"/>
          <w:szCs w:val="19"/>
          <w:lang w:val="en-GB"/>
        </w:rPr>
        <w:t>,</w:t>
      </w:r>
      <w:r w:rsidR="00AF5098">
        <w:rPr>
          <w:rStyle w:val="Funotenzeichen"/>
          <w:sz w:val="19"/>
          <w:szCs w:val="19"/>
          <w:lang w:val="en-GB"/>
        </w:rPr>
        <w:footnoteReference w:id="382"/>
      </w:r>
      <w:r w:rsidR="00AF5098">
        <w:rPr>
          <w:sz w:val="19"/>
          <w:szCs w:val="19"/>
          <w:lang w:val="en-GB"/>
        </w:rPr>
        <w:t xml:space="preserve"> corresponding documentation</w:t>
      </w:r>
      <w:r w:rsidR="001C42B3">
        <w:rPr>
          <w:sz w:val="19"/>
          <w:szCs w:val="19"/>
          <w:lang w:val="en-GB"/>
        </w:rPr>
        <w:t>,</w:t>
      </w:r>
      <w:r w:rsidR="00AF5098">
        <w:rPr>
          <w:rStyle w:val="Funotenzeichen"/>
          <w:sz w:val="19"/>
          <w:szCs w:val="19"/>
          <w:lang w:val="en-GB"/>
        </w:rPr>
        <w:footnoteReference w:id="383"/>
      </w:r>
      <w:r w:rsidR="001C42B3">
        <w:rPr>
          <w:sz w:val="19"/>
          <w:szCs w:val="19"/>
          <w:lang w:val="en-GB"/>
        </w:rPr>
        <w:t xml:space="preserve"> and disclosure vis-à-vis the regulator (article 17(</w:t>
      </w:r>
      <w:r w:rsidR="00A84412">
        <w:rPr>
          <w:sz w:val="19"/>
          <w:szCs w:val="19"/>
          <w:lang w:val="en-GB"/>
        </w:rPr>
        <w:t>4</w:t>
      </w:r>
      <w:r w:rsidR="001C42B3">
        <w:rPr>
          <w:sz w:val="19"/>
          <w:szCs w:val="19"/>
          <w:lang w:val="en-GB"/>
        </w:rPr>
        <w:t>)</w:t>
      </w:r>
      <w:r w:rsidR="00A84412">
        <w:rPr>
          <w:sz w:val="19"/>
          <w:szCs w:val="19"/>
          <w:lang w:val="en-GB"/>
        </w:rPr>
        <w:t>(3)</w:t>
      </w:r>
      <w:r w:rsidR="001C42B3">
        <w:rPr>
          <w:sz w:val="19"/>
          <w:szCs w:val="19"/>
          <w:lang w:val="en-GB"/>
        </w:rPr>
        <w:t xml:space="preserve"> MAR).</w:t>
      </w:r>
      <w:r w:rsidR="00AF5098">
        <w:rPr>
          <w:sz w:val="19"/>
          <w:szCs w:val="19"/>
          <w:lang w:val="en-GB"/>
        </w:rPr>
        <w:t xml:space="preserve"> </w:t>
      </w:r>
    </w:p>
    <w:p w14:paraId="5D47ABB8" w14:textId="6D9B158A" w:rsidR="00CD0160" w:rsidRPr="002121A4" w:rsidRDefault="00CD0160" w:rsidP="00CD0160">
      <w:pPr>
        <w:rPr>
          <w:sz w:val="19"/>
          <w:szCs w:val="19"/>
          <w:lang w:val="en-GB"/>
        </w:rPr>
      </w:pPr>
      <w:r w:rsidRPr="002121A4">
        <w:rPr>
          <w:sz w:val="19"/>
          <w:szCs w:val="19"/>
          <w:lang w:val="en-GB"/>
        </w:rPr>
        <w:t>b) BaFin can impose fines pursuant to article 30(2)(</w:t>
      </w:r>
      <w:proofErr w:type="spellStart"/>
      <w:r w:rsidRPr="002121A4">
        <w:rPr>
          <w:sz w:val="19"/>
          <w:szCs w:val="19"/>
          <w:lang w:val="en-GB"/>
        </w:rPr>
        <w:t>i</w:t>
      </w:r>
      <w:proofErr w:type="spellEnd"/>
      <w:r w:rsidRPr="002121A4">
        <w:rPr>
          <w:sz w:val="19"/>
          <w:szCs w:val="19"/>
          <w:lang w:val="en-GB"/>
        </w:rPr>
        <w:t xml:space="preserve">) and (j) MAR. The amount of the fine is determined taking into consideration the </w:t>
      </w:r>
      <w:r w:rsidR="00EB2355" w:rsidRPr="002121A4">
        <w:rPr>
          <w:sz w:val="19"/>
          <w:szCs w:val="19"/>
          <w:lang w:val="en-GB"/>
        </w:rPr>
        <w:t>circumstances</w:t>
      </w:r>
      <w:r w:rsidRPr="002121A4">
        <w:rPr>
          <w:sz w:val="19"/>
          <w:szCs w:val="19"/>
          <w:lang w:val="en-GB"/>
        </w:rPr>
        <w:t xml:space="preserve"> identified in article 31(1) MAR, and is subject to the quantitative limits under article</w:t>
      </w:r>
      <w:r w:rsidR="00052232">
        <w:rPr>
          <w:sz w:val="19"/>
          <w:szCs w:val="19"/>
          <w:lang w:val="en-GB"/>
        </w:rPr>
        <w:t> </w:t>
      </w:r>
      <w:r w:rsidRPr="002121A4">
        <w:rPr>
          <w:sz w:val="19"/>
          <w:szCs w:val="19"/>
          <w:lang w:val="en-GB"/>
        </w:rPr>
        <w:t>30(2).</w:t>
      </w:r>
    </w:p>
    <w:p w14:paraId="21939474" w14:textId="77777777" w:rsidR="00CD0160" w:rsidRPr="002121A4" w:rsidRDefault="00CD0160" w:rsidP="00CD0160">
      <w:pPr>
        <w:rPr>
          <w:sz w:val="19"/>
          <w:szCs w:val="19"/>
          <w:lang w:val="en-GB"/>
        </w:rPr>
      </w:pPr>
      <w:r w:rsidRPr="002121A4">
        <w:rPr>
          <w:sz w:val="19"/>
          <w:szCs w:val="19"/>
          <w:lang w:val="en-GB"/>
        </w:rPr>
        <w:t>c) Additional sanctions include optional sanctions under article 30(2) MAR (e.g., disgorgement of profits, warning), and the compulsory publication of a sanction under article 34 MAR.</w:t>
      </w:r>
    </w:p>
    <w:p w14:paraId="3CF21810" w14:textId="3090A8FE" w:rsidR="00CD0160" w:rsidRPr="002121A4" w:rsidRDefault="00CD0160" w:rsidP="00CD0160">
      <w:pPr>
        <w:rPr>
          <w:sz w:val="19"/>
          <w:szCs w:val="19"/>
          <w:lang w:val="en-GB"/>
        </w:rPr>
      </w:pPr>
      <w:r w:rsidRPr="002121A4">
        <w:rPr>
          <w:sz w:val="19"/>
          <w:szCs w:val="19"/>
          <w:lang w:val="en-GB"/>
        </w:rPr>
        <w:t xml:space="preserve">d) A damage claim lies against an issuer under § 97 </w:t>
      </w:r>
      <w:proofErr w:type="spellStart"/>
      <w:r w:rsidRPr="002121A4">
        <w:rPr>
          <w:sz w:val="19"/>
          <w:szCs w:val="19"/>
          <w:lang w:val="en-GB"/>
        </w:rPr>
        <w:t>WpHG</w:t>
      </w:r>
      <w:proofErr w:type="spellEnd"/>
      <w:r w:rsidRPr="002121A4">
        <w:rPr>
          <w:sz w:val="19"/>
          <w:szCs w:val="19"/>
          <w:lang w:val="en-GB"/>
        </w:rPr>
        <w:t xml:space="preserve"> for failure to publish inside information in a timely manner. However, according to the BGH decision in </w:t>
      </w:r>
      <w:proofErr w:type="spellStart"/>
      <w:r w:rsidRPr="00EB2355">
        <w:rPr>
          <w:i/>
          <w:sz w:val="19"/>
          <w:szCs w:val="19"/>
          <w:lang w:val="en-GB"/>
        </w:rPr>
        <w:t>Geltl</w:t>
      </w:r>
      <w:proofErr w:type="spellEnd"/>
      <w:r w:rsidRPr="002121A4">
        <w:rPr>
          <w:sz w:val="19"/>
          <w:szCs w:val="19"/>
          <w:lang w:val="en-GB"/>
        </w:rPr>
        <w:t>, the fact that the issuer could have delayed information in compliance with article 17(4) MAR and that this would have resulted in the same damage, is a valid defence to such a damage claim</w:t>
      </w:r>
      <w:r w:rsidR="006E03FB">
        <w:rPr>
          <w:sz w:val="19"/>
          <w:szCs w:val="19"/>
          <w:lang w:val="en-GB"/>
        </w:rPr>
        <w:t xml:space="preserve"> </w:t>
      </w:r>
      <w:r w:rsidR="006E03FB">
        <w:rPr>
          <w:sz w:val="19"/>
          <w:szCs w:val="19"/>
          <w:lang w:val="en-GB"/>
        </w:rPr>
        <w:lastRenderedPageBreak/>
        <w:t>(“</w:t>
      </w:r>
      <w:proofErr w:type="spellStart"/>
      <w:r w:rsidR="006E03FB" w:rsidRPr="006E03FB">
        <w:rPr>
          <w:i/>
          <w:sz w:val="19"/>
          <w:szCs w:val="19"/>
          <w:lang w:val="en-GB"/>
        </w:rPr>
        <w:t>rechtmäßiges</w:t>
      </w:r>
      <w:proofErr w:type="spellEnd"/>
      <w:r w:rsidR="006E03FB" w:rsidRPr="006E03FB">
        <w:rPr>
          <w:i/>
          <w:sz w:val="19"/>
          <w:szCs w:val="19"/>
          <w:lang w:val="en-GB"/>
        </w:rPr>
        <w:t xml:space="preserve"> </w:t>
      </w:r>
      <w:proofErr w:type="spellStart"/>
      <w:r w:rsidR="006E03FB" w:rsidRPr="006E03FB">
        <w:rPr>
          <w:i/>
          <w:sz w:val="19"/>
          <w:szCs w:val="19"/>
          <w:lang w:val="en-GB"/>
        </w:rPr>
        <w:t>Alternativverhalten</w:t>
      </w:r>
      <w:proofErr w:type="spellEnd"/>
      <w:r w:rsidR="006E03FB">
        <w:rPr>
          <w:sz w:val="19"/>
          <w:szCs w:val="19"/>
          <w:lang w:val="en-GB"/>
        </w:rPr>
        <w:t>”)</w:t>
      </w:r>
      <w:r w:rsidRPr="002121A4">
        <w:rPr>
          <w:sz w:val="19"/>
          <w:szCs w:val="19"/>
          <w:lang w:val="en-GB"/>
        </w:rPr>
        <w:t>.</w:t>
      </w:r>
      <w:r w:rsidR="005A6879">
        <w:rPr>
          <w:rStyle w:val="Funotenzeichen"/>
          <w:sz w:val="19"/>
          <w:szCs w:val="19"/>
          <w:lang w:val="en-GB"/>
        </w:rPr>
        <w:footnoteReference w:id="384"/>
      </w:r>
      <w:r w:rsidR="006E03FB">
        <w:rPr>
          <w:sz w:val="19"/>
          <w:szCs w:val="19"/>
          <w:lang w:val="en-GB"/>
        </w:rPr>
        <w:t xml:space="preserve"> Such defence is not affected by the fact that the issuer did not actively resolve to delay disclosure; it is sufficient for the issuer to show that he would have made the decision to delay if he had determined that inside information existed.</w:t>
      </w:r>
      <w:r w:rsidR="006E03FB">
        <w:rPr>
          <w:rStyle w:val="Funotenzeichen"/>
          <w:sz w:val="19"/>
          <w:szCs w:val="19"/>
          <w:lang w:val="en-GB"/>
        </w:rPr>
        <w:footnoteReference w:id="385"/>
      </w:r>
    </w:p>
    <w:p w14:paraId="02D6A3F9" w14:textId="7F836B91" w:rsidR="00CD0160" w:rsidRPr="002121A4" w:rsidRDefault="00CD0160"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_Ref163123409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_Ref163123409 \h </w:instrText>
      </w:r>
      <w:r w:rsidRPr="002121A4">
        <w:rPr>
          <w:b/>
          <w:sz w:val="19"/>
          <w:szCs w:val="19"/>
          <w:lang w:val="en-GB"/>
        </w:rPr>
      </w:r>
      <w:r w:rsidRPr="002121A4">
        <w:rPr>
          <w:b/>
          <w:sz w:val="19"/>
          <w:szCs w:val="19"/>
          <w:lang w:val="en-GB"/>
        </w:rPr>
        <w:fldChar w:fldCharType="separate"/>
      </w:r>
      <w:r w:rsidR="00D56145">
        <w:rPr>
          <w:b/>
          <w:noProof/>
          <w:sz w:val="19"/>
          <w:szCs w:val="19"/>
          <w:lang w:val="en-GB"/>
        </w:rPr>
        <w:t>46</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8 MAR does not define what it means to “use” inside information for a transaction</w:t>
      </w:r>
      <w:r w:rsidR="009E49D2">
        <w:rPr>
          <w:sz w:val="19"/>
          <w:szCs w:val="19"/>
          <w:lang w:val="en-GB"/>
        </w:rPr>
        <w:t xml:space="preserve"> or whether it is necessary to establish some kind of “intention” or other “mental element” on the part of the investor for a trade to qualify as “inside information”</w:t>
      </w:r>
      <w:r w:rsidRPr="002121A4">
        <w:rPr>
          <w:sz w:val="19"/>
          <w:szCs w:val="19"/>
          <w:lang w:val="en-GB"/>
        </w:rPr>
        <w:t xml:space="preserve">. In </w:t>
      </w:r>
      <w:r w:rsidRPr="009E49D2">
        <w:rPr>
          <w:i/>
          <w:sz w:val="19"/>
          <w:szCs w:val="19"/>
          <w:lang w:val="en-GB"/>
        </w:rPr>
        <w:t>Spector Photo</w:t>
      </w:r>
      <w:r w:rsidR="001C4A47">
        <w:rPr>
          <w:i/>
          <w:sz w:val="19"/>
          <w:szCs w:val="19"/>
          <w:lang w:val="en-GB"/>
        </w:rPr>
        <w:t xml:space="preserve"> Group</w:t>
      </w:r>
      <w:r w:rsidRPr="002121A4">
        <w:rPr>
          <w:sz w:val="19"/>
          <w:szCs w:val="19"/>
          <w:lang w:val="en-GB"/>
        </w:rPr>
        <w:t>, the ECJ held that “possession” of inside information creates the presumption in favour of</w:t>
      </w:r>
      <w:r w:rsidR="009E49D2">
        <w:rPr>
          <w:sz w:val="19"/>
          <w:szCs w:val="19"/>
          <w:lang w:val="en-GB"/>
        </w:rPr>
        <w:t xml:space="preserve"> </w:t>
      </w:r>
      <w:r w:rsidRPr="002121A4">
        <w:rPr>
          <w:sz w:val="19"/>
          <w:szCs w:val="19"/>
          <w:lang w:val="en-GB"/>
        </w:rPr>
        <w:t>its “use”.</w:t>
      </w:r>
      <w:r w:rsidR="00073040">
        <w:rPr>
          <w:rStyle w:val="Funotenzeichen"/>
          <w:sz w:val="19"/>
          <w:szCs w:val="19"/>
          <w:lang w:val="en-GB"/>
        </w:rPr>
        <w:footnoteReference w:id="386"/>
      </w:r>
      <w:r w:rsidRPr="002121A4">
        <w:rPr>
          <w:sz w:val="19"/>
          <w:szCs w:val="19"/>
          <w:lang w:val="en-GB"/>
        </w:rPr>
        <w:t xml:space="preserve"> I</w:t>
      </w:r>
      <w:r w:rsidR="00CD2225">
        <w:rPr>
          <w:sz w:val="19"/>
          <w:szCs w:val="19"/>
          <w:lang w:val="en-GB"/>
        </w:rPr>
        <w:t xml:space="preserve">n the view of the ECJ, this is compatible with human right principles as long as </w:t>
      </w:r>
      <w:r w:rsidR="00CD2225" w:rsidRPr="00CD2225">
        <w:rPr>
          <w:sz w:val="19"/>
          <w:szCs w:val="19"/>
          <w:lang w:val="en-GB"/>
        </w:rPr>
        <w:t>that presumption is open to rebuttal and the rights of the defence are guaranteed</w:t>
      </w:r>
      <w:r w:rsidRPr="002121A4">
        <w:rPr>
          <w:sz w:val="19"/>
          <w:szCs w:val="19"/>
          <w:lang w:val="en-GB"/>
        </w:rPr>
        <w:t>.</w:t>
      </w:r>
      <w:r w:rsidR="00CD2225">
        <w:rPr>
          <w:rStyle w:val="Funotenzeichen"/>
          <w:sz w:val="19"/>
          <w:szCs w:val="19"/>
          <w:lang w:val="en-GB"/>
        </w:rPr>
        <w:footnoteReference w:id="387"/>
      </w:r>
      <w:r w:rsidR="001C4A47">
        <w:rPr>
          <w:sz w:val="19"/>
          <w:szCs w:val="19"/>
          <w:lang w:val="en-GB"/>
        </w:rPr>
        <w:t xml:space="preserve"> </w:t>
      </w:r>
      <w:r w:rsidR="004605A0">
        <w:rPr>
          <w:sz w:val="19"/>
          <w:szCs w:val="19"/>
          <w:lang w:val="en-GB"/>
        </w:rPr>
        <w:t>T</w:t>
      </w:r>
      <w:r w:rsidR="001C4A47">
        <w:rPr>
          <w:sz w:val="19"/>
          <w:szCs w:val="19"/>
          <w:lang w:val="en-GB"/>
        </w:rPr>
        <w:t xml:space="preserve">he decision in </w:t>
      </w:r>
      <w:r w:rsidR="001C4A47" w:rsidRPr="004605A0">
        <w:rPr>
          <w:i/>
          <w:sz w:val="19"/>
          <w:szCs w:val="19"/>
          <w:lang w:val="en-GB"/>
        </w:rPr>
        <w:t>Spector Photo Group</w:t>
      </w:r>
      <w:r w:rsidR="00F314B5">
        <w:rPr>
          <w:sz w:val="19"/>
          <w:szCs w:val="19"/>
          <w:lang w:val="en-GB"/>
        </w:rPr>
        <w:t xml:space="preserve"> relates to </w:t>
      </w:r>
      <w:r w:rsidR="004605A0">
        <w:rPr>
          <w:sz w:val="19"/>
          <w:szCs w:val="19"/>
          <w:lang w:val="en-GB"/>
        </w:rPr>
        <w:t xml:space="preserve">earlier </w:t>
      </w:r>
      <w:r w:rsidR="00F314B5">
        <w:rPr>
          <w:sz w:val="19"/>
          <w:szCs w:val="19"/>
          <w:lang w:val="en-GB"/>
        </w:rPr>
        <w:t xml:space="preserve">EU directives </w:t>
      </w:r>
      <w:r w:rsidR="004605A0">
        <w:rPr>
          <w:sz w:val="19"/>
          <w:szCs w:val="19"/>
          <w:lang w:val="en-GB"/>
        </w:rPr>
        <w:t xml:space="preserve">on insider dealing, but should also be applicable to the (substantially unchanged) </w:t>
      </w:r>
      <w:r w:rsidR="00F314B5">
        <w:rPr>
          <w:sz w:val="19"/>
          <w:szCs w:val="19"/>
          <w:lang w:val="en-GB"/>
        </w:rPr>
        <w:t>article 8 MAR</w:t>
      </w:r>
      <w:r w:rsidR="004605A0">
        <w:rPr>
          <w:sz w:val="19"/>
          <w:szCs w:val="19"/>
          <w:lang w:val="en-GB"/>
        </w:rPr>
        <w:t>.</w:t>
      </w:r>
    </w:p>
    <w:p w14:paraId="502CCAAA" w14:textId="39B2BCEA" w:rsidR="00D6064B" w:rsidRDefault="00956EF4" w:rsidP="007017B6">
      <w:pPr>
        <w:rPr>
          <w:sz w:val="19"/>
          <w:szCs w:val="19"/>
          <w:lang w:val="en-GB"/>
        </w:rPr>
      </w:pPr>
      <w:r w:rsidRPr="002121A4">
        <w:rPr>
          <w:b/>
          <w:sz w:val="19"/>
          <w:szCs w:val="19"/>
          <w:lang w:val="en-GB"/>
        </w:rPr>
        <w:fldChar w:fldCharType="begin"/>
      </w:r>
      <w:r w:rsidRPr="002121A4">
        <w:rPr>
          <w:b/>
          <w:sz w:val="19"/>
          <w:szCs w:val="19"/>
          <w:lang w:val="en-GB"/>
        </w:rPr>
        <w:instrText xml:space="preserve"> REF _Ref163123565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29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_Ref163123565 \h </w:instrText>
      </w:r>
      <w:r w:rsidRPr="002121A4">
        <w:rPr>
          <w:b/>
          <w:sz w:val="19"/>
          <w:szCs w:val="19"/>
          <w:lang w:val="en-GB"/>
        </w:rPr>
      </w:r>
      <w:r w:rsidRPr="002121A4">
        <w:rPr>
          <w:b/>
          <w:sz w:val="19"/>
          <w:szCs w:val="19"/>
          <w:lang w:val="en-GB"/>
        </w:rPr>
        <w:fldChar w:fldCharType="separate"/>
      </w:r>
      <w:r w:rsidR="00D56145">
        <w:rPr>
          <w:b/>
          <w:noProof/>
          <w:sz w:val="19"/>
          <w:szCs w:val="19"/>
          <w:lang w:val="en-GB"/>
        </w:rPr>
        <w:t>46</w:t>
      </w:r>
      <w:r w:rsidRPr="002121A4">
        <w:rPr>
          <w:b/>
          <w:sz w:val="19"/>
          <w:szCs w:val="19"/>
          <w:lang w:val="en-GB"/>
        </w:rPr>
        <w:fldChar w:fldCharType="end"/>
      </w:r>
      <w:r w:rsidRPr="002121A4">
        <w:rPr>
          <w:b/>
          <w:sz w:val="19"/>
          <w:szCs w:val="19"/>
          <w:lang w:val="en-GB"/>
        </w:rPr>
        <w:t>).</w:t>
      </w:r>
      <w:r w:rsidRPr="002121A4">
        <w:rPr>
          <w:sz w:val="19"/>
          <w:szCs w:val="19"/>
          <w:lang w:val="en-GB"/>
        </w:rPr>
        <w:t xml:space="preserve"> According to the ECJ, disclosure “in the exercise of an employment, a profession or other duties” is an exception to the rule, and as an exception must be interpreted </w:t>
      </w:r>
      <w:r w:rsidR="004B6BB3">
        <w:rPr>
          <w:sz w:val="19"/>
          <w:szCs w:val="19"/>
          <w:lang w:val="en-GB"/>
        </w:rPr>
        <w:t>strictly</w:t>
      </w:r>
      <w:r w:rsidRPr="002121A4">
        <w:rPr>
          <w:sz w:val="19"/>
          <w:szCs w:val="19"/>
          <w:lang w:val="en-GB"/>
        </w:rPr>
        <w:t>,</w:t>
      </w:r>
      <w:r w:rsidR="004B6BB3">
        <w:rPr>
          <w:rStyle w:val="Funotenzeichen"/>
          <w:sz w:val="19"/>
          <w:szCs w:val="19"/>
          <w:lang w:val="en-GB"/>
        </w:rPr>
        <w:footnoteReference w:id="388"/>
      </w:r>
      <w:r w:rsidRPr="002121A4">
        <w:rPr>
          <w:sz w:val="19"/>
          <w:szCs w:val="19"/>
          <w:lang w:val="en-GB"/>
        </w:rPr>
        <w:t xml:space="preserve"> in particular, to avoid the increase link of </w:t>
      </w:r>
      <w:r w:rsidR="00EB2355" w:rsidRPr="002121A4">
        <w:rPr>
          <w:sz w:val="19"/>
          <w:szCs w:val="19"/>
          <w:lang w:val="en-GB"/>
        </w:rPr>
        <w:t>insider</w:t>
      </w:r>
      <w:r w:rsidRPr="002121A4">
        <w:rPr>
          <w:sz w:val="19"/>
          <w:szCs w:val="19"/>
          <w:lang w:val="en-GB"/>
        </w:rPr>
        <w:t xml:space="preserve"> trading created by additional disclosure. </w:t>
      </w:r>
      <w:r w:rsidR="00D6064B">
        <w:rPr>
          <w:sz w:val="19"/>
          <w:szCs w:val="19"/>
          <w:lang w:val="en-GB"/>
        </w:rPr>
        <w:t xml:space="preserve">On this basis, disclosure is </w:t>
      </w:r>
      <w:r w:rsidR="00D6064B" w:rsidRPr="00D6064B">
        <w:rPr>
          <w:sz w:val="19"/>
          <w:szCs w:val="19"/>
          <w:lang w:val="en-GB"/>
        </w:rPr>
        <w:t>justified only if</w:t>
      </w:r>
      <w:r w:rsidR="00D6064B">
        <w:rPr>
          <w:sz w:val="19"/>
          <w:szCs w:val="19"/>
          <w:lang w:val="en-GB"/>
        </w:rPr>
        <w:t>: (</w:t>
      </w:r>
      <w:proofErr w:type="spellStart"/>
      <w:r w:rsidR="00D6064B">
        <w:rPr>
          <w:sz w:val="19"/>
          <w:szCs w:val="19"/>
          <w:lang w:val="en-GB"/>
        </w:rPr>
        <w:t>i</w:t>
      </w:r>
      <w:proofErr w:type="spellEnd"/>
      <w:r w:rsidR="00D6064B">
        <w:rPr>
          <w:sz w:val="19"/>
          <w:szCs w:val="19"/>
          <w:lang w:val="en-GB"/>
        </w:rPr>
        <w:t>)</w:t>
      </w:r>
      <w:r w:rsidR="00D6064B" w:rsidRPr="00D6064B">
        <w:rPr>
          <w:sz w:val="19"/>
          <w:szCs w:val="19"/>
          <w:lang w:val="en-GB"/>
        </w:rPr>
        <w:t xml:space="preserve"> it is </w:t>
      </w:r>
      <w:r w:rsidR="00D6064B">
        <w:rPr>
          <w:sz w:val="19"/>
          <w:szCs w:val="19"/>
          <w:lang w:val="en-GB"/>
        </w:rPr>
        <w:t>“</w:t>
      </w:r>
      <w:r w:rsidR="00D6064B" w:rsidRPr="00D6064B">
        <w:rPr>
          <w:sz w:val="19"/>
          <w:szCs w:val="19"/>
          <w:lang w:val="en-GB"/>
        </w:rPr>
        <w:t>strictly necessary</w:t>
      </w:r>
      <w:r w:rsidR="00D6064B">
        <w:rPr>
          <w:sz w:val="19"/>
          <w:szCs w:val="19"/>
          <w:lang w:val="en-GB"/>
        </w:rPr>
        <w:t>”</w:t>
      </w:r>
      <w:r w:rsidR="00D6064B" w:rsidRPr="00D6064B">
        <w:rPr>
          <w:sz w:val="19"/>
          <w:szCs w:val="19"/>
          <w:lang w:val="en-GB"/>
        </w:rPr>
        <w:t xml:space="preserve"> for the exercise of an employment, profession or duties</w:t>
      </w:r>
      <w:r w:rsidR="00D6064B">
        <w:rPr>
          <w:sz w:val="19"/>
          <w:szCs w:val="19"/>
          <w:lang w:val="en-GB"/>
        </w:rPr>
        <w:t>,</w:t>
      </w:r>
      <w:r w:rsidR="00D6064B" w:rsidRPr="00D6064B">
        <w:rPr>
          <w:sz w:val="19"/>
          <w:szCs w:val="19"/>
          <w:lang w:val="en-GB"/>
        </w:rPr>
        <w:t xml:space="preserve"> and </w:t>
      </w:r>
      <w:r w:rsidR="00D6064B">
        <w:rPr>
          <w:sz w:val="19"/>
          <w:szCs w:val="19"/>
          <w:lang w:val="en-GB"/>
        </w:rPr>
        <w:t xml:space="preserve">(ii) </w:t>
      </w:r>
      <w:r w:rsidR="00D6064B" w:rsidRPr="00D6064B">
        <w:rPr>
          <w:sz w:val="19"/>
          <w:szCs w:val="19"/>
          <w:lang w:val="en-GB"/>
        </w:rPr>
        <w:t xml:space="preserve">complies with the </w:t>
      </w:r>
      <w:r w:rsidR="00D6064B">
        <w:rPr>
          <w:sz w:val="19"/>
          <w:szCs w:val="19"/>
          <w:lang w:val="en-GB"/>
        </w:rPr>
        <w:t>“</w:t>
      </w:r>
      <w:r w:rsidR="00D6064B" w:rsidRPr="00D6064B">
        <w:rPr>
          <w:sz w:val="19"/>
          <w:szCs w:val="19"/>
          <w:lang w:val="en-GB"/>
        </w:rPr>
        <w:t>principle of proportionality</w:t>
      </w:r>
      <w:r w:rsidR="00D6064B">
        <w:rPr>
          <w:sz w:val="19"/>
          <w:szCs w:val="19"/>
          <w:lang w:val="en-GB"/>
        </w:rPr>
        <w:t>”</w:t>
      </w:r>
      <w:r w:rsidR="00D6064B" w:rsidRPr="00D6064B">
        <w:rPr>
          <w:sz w:val="19"/>
          <w:szCs w:val="19"/>
          <w:lang w:val="en-GB"/>
        </w:rPr>
        <w:t>.</w:t>
      </w:r>
      <w:r w:rsidR="00D6064B">
        <w:rPr>
          <w:rStyle w:val="Funotenzeichen"/>
          <w:sz w:val="19"/>
          <w:szCs w:val="19"/>
          <w:lang w:val="en-GB"/>
        </w:rPr>
        <w:footnoteReference w:id="389"/>
      </w:r>
      <w:r w:rsidR="007017B6">
        <w:rPr>
          <w:sz w:val="19"/>
          <w:szCs w:val="19"/>
          <w:lang w:val="en-GB"/>
        </w:rPr>
        <w:t xml:space="preserve"> When assessing this, </w:t>
      </w:r>
      <w:r w:rsidR="007017B6" w:rsidRPr="007017B6">
        <w:rPr>
          <w:sz w:val="19"/>
          <w:szCs w:val="19"/>
          <w:lang w:val="en-GB"/>
        </w:rPr>
        <w:t>the national court must take particular account of</w:t>
      </w:r>
      <w:r w:rsidR="007017B6">
        <w:rPr>
          <w:sz w:val="19"/>
          <w:szCs w:val="19"/>
          <w:lang w:val="en-GB"/>
        </w:rPr>
        <w:t xml:space="preserve"> </w:t>
      </w:r>
      <w:r w:rsidR="007017B6" w:rsidRPr="007017B6">
        <w:rPr>
          <w:sz w:val="19"/>
          <w:szCs w:val="19"/>
          <w:lang w:val="en-GB"/>
        </w:rPr>
        <w:t>the fact that that exception to the prohibition of disclosure of inside information must be interpreted strictly</w:t>
      </w:r>
      <w:r w:rsidR="007017B6">
        <w:rPr>
          <w:sz w:val="19"/>
          <w:szCs w:val="19"/>
          <w:lang w:val="en-GB"/>
        </w:rPr>
        <w:t xml:space="preserve">, </w:t>
      </w:r>
      <w:r w:rsidR="007017B6" w:rsidRPr="007017B6">
        <w:rPr>
          <w:sz w:val="19"/>
          <w:szCs w:val="19"/>
          <w:lang w:val="en-GB"/>
        </w:rPr>
        <w:t xml:space="preserve">the fact that each additional disclosure is liable to increase the risk of that information being exploited for </w:t>
      </w:r>
      <w:r w:rsidR="007017B6">
        <w:rPr>
          <w:sz w:val="19"/>
          <w:szCs w:val="19"/>
          <w:lang w:val="en-GB"/>
        </w:rPr>
        <w:t>insider dealing</w:t>
      </w:r>
      <w:r w:rsidR="007017B6" w:rsidRPr="007017B6">
        <w:rPr>
          <w:sz w:val="19"/>
          <w:szCs w:val="19"/>
          <w:lang w:val="en-GB"/>
        </w:rPr>
        <w:t>, and</w:t>
      </w:r>
      <w:r w:rsidR="007017B6">
        <w:rPr>
          <w:sz w:val="19"/>
          <w:szCs w:val="19"/>
          <w:lang w:val="en-GB"/>
        </w:rPr>
        <w:t xml:space="preserve"> </w:t>
      </w:r>
      <w:r w:rsidR="007017B6" w:rsidRPr="007017B6">
        <w:rPr>
          <w:sz w:val="19"/>
          <w:szCs w:val="19"/>
          <w:lang w:val="en-GB"/>
        </w:rPr>
        <w:t>the sensitivity of the inside information</w:t>
      </w:r>
      <w:r w:rsidR="007017B6">
        <w:rPr>
          <w:sz w:val="19"/>
          <w:szCs w:val="19"/>
          <w:lang w:val="en-GB"/>
        </w:rPr>
        <w:t xml:space="preserve"> in question</w:t>
      </w:r>
      <w:r w:rsidR="007017B6" w:rsidRPr="007017B6">
        <w:rPr>
          <w:sz w:val="19"/>
          <w:szCs w:val="19"/>
          <w:lang w:val="en-GB"/>
        </w:rPr>
        <w:t>.</w:t>
      </w:r>
      <w:r w:rsidR="007017B6">
        <w:rPr>
          <w:rStyle w:val="Funotenzeichen"/>
          <w:sz w:val="19"/>
          <w:szCs w:val="19"/>
          <w:lang w:val="en-GB"/>
        </w:rPr>
        <w:footnoteReference w:id="390"/>
      </w:r>
    </w:p>
    <w:p w14:paraId="5E46F134" w14:textId="01FACDB2" w:rsidR="00784DEA"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_Ref163123614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_Ref163123614 \h </w:instrText>
      </w:r>
      <w:r w:rsidRPr="002121A4">
        <w:rPr>
          <w:b/>
          <w:sz w:val="19"/>
          <w:szCs w:val="19"/>
          <w:lang w:val="en-GB"/>
        </w:rPr>
      </w:r>
      <w:r w:rsidRPr="002121A4">
        <w:rPr>
          <w:b/>
          <w:sz w:val="19"/>
          <w:szCs w:val="19"/>
          <w:lang w:val="en-GB"/>
        </w:rPr>
        <w:fldChar w:fldCharType="separate"/>
      </w:r>
      <w:r w:rsidR="00D56145">
        <w:rPr>
          <w:b/>
          <w:noProof/>
          <w:sz w:val="19"/>
          <w:szCs w:val="19"/>
          <w:lang w:val="en-GB"/>
        </w:rPr>
        <w:t>47</w:t>
      </w:r>
      <w:r w:rsidRPr="002121A4">
        <w:rPr>
          <w:b/>
          <w:sz w:val="19"/>
          <w:szCs w:val="19"/>
          <w:lang w:val="en-GB"/>
        </w:rPr>
        <w:fldChar w:fldCharType="end"/>
      </w:r>
      <w:r w:rsidRPr="002121A4">
        <w:rPr>
          <w:b/>
          <w:sz w:val="19"/>
          <w:szCs w:val="19"/>
          <w:lang w:val="en-GB"/>
        </w:rPr>
        <w:t>).</w:t>
      </w:r>
      <w:r w:rsidRPr="002121A4">
        <w:rPr>
          <w:sz w:val="19"/>
          <w:szCs w:val="19"/>
          <w:lang w:val="en-GB"/>
        </w:rPr>
        <w:t xml:space="preserve"> Whether passing on the information about the article breaches article 10 MAR depends on whether it contains inside information. According to the ECJ, </w:t>
      </w:r>
      <w:r w:rsidR="00F34DD0">
        <w:rPr>
          <w:sz w:val="19"/>
          <w:szCs w:val="19"/>
          <w:lang w:val="en-GB"/>
        </w:rPr>
        <w:t>the upcoming publication of a rumour does not as such fall outside the scope of “inside information”.</w:t>
      </w:r>
      <w:r w:rsidR="00F34DD0">
        <w:rPr>
          <w:rStyle w:val="Funotenzeichen"/>
          <w:sz w:val="19"/>
          <w:szCs w:val="19"/>
          <w:lang w:val="en-GB"/>
        </w:rPr>
        <w:footnoteReference w:id="391"/>
      </w:r>
      <w:r w:rsidR="00F34DD0">
        <w:rPr>
          <w:sz w:val="19"/>
          <w:szCs w:val="19"/>
          <w:lang w:val="en-GB"/>
        </w:rPr>
        <w:t xml:space="preserve"> </w:t>
      </w:r>
      <w:r w:rsidR="00657079">
        <w:rPr>
          <w:sz w:val="19"/>
          <w:szCs w:val="19"/>
          <w:lang w:val="en-GB"/>
        </w:rPr>
        <w:t xml:space="preserve">What is decisive is the </w:t>
      </w:r>
      <w:r w:rsidR="00657079" w:rsidRPr="00657079">
        <w:rPr>
          <w:sz w:val="19"/>
          <w:szCs w:val="19"/>
          <w:lang w:val="en-GB"/>
        </w:rPr>
        <w:t xml:space="preserve">reliability </w:t>
      </w:r>
      <w:r w:rsidR="00657079">
        <w:rPr>
          <w:sz w:val="19"/>
          <w:szCs w:val="19"/>
          <w:lang w:val="en-GB"/>
        </w:rPr>
        <w:t xml:space="preserve">of a rumour, </w:t>
      </w:r>
      <w:r w:rsidR="00657079" w:rsidRPr="00657079">
        <w:rPr>
          <w:sz w:val="19"/>
          <w:szCs w:val="19"/>
          <w:lang w:val="en-GB"/>
        </w:rPr>
        <w:t xml:space="preserve">which must be determined </w:t>
      </w:r>
      <w:r w:rsidR="00657079">
        <w:rPr>
          <w:sz w:val="19"/>
          <w:szCs w:val="19"/>
          <w:lang w:val="en-GB"/>
        </w:rPr>
        <w:t>“</w:t>
      </w:r>
      <w:r w:rsidR="00657079" w:rsidRPr="00657079">
        <w:rPr>
          <w:sz w:val="19"/>
          <w:szCs w:val="19"/>
          <w:lang w:val="en-GB"/>
        </w:rPr>
        <w:t>on a case-by-case basis</w:t>
      </w:r>
      <w:r w:rsidR="00657079">
        <w:rPr>
          <w:sz w:val="19"/>
          <w:szCs w:val="19"/>
          <w:lang w:val="en-GB"/>
        </w:rPr>
        <w:t xml:space="preserve">”, taking </w:t>
      </w:r>
      <w:r w:rsidR="00657079" w:rsidRPr="00657079">
        <w:rPr>
          <w:sz w:val="19"/>
          <w:szCs w:val="19"/>
          <w:lang w:val="en-GB"/>
        </w:rPr>
        <w:t>into account</w:t>
      </w:r>
      <w:r w:rsidR="00657079">
        <w:rPr>
          <w:sz w:val="19"/>
          <w:szCs w:val="19"/>
          <w:lang w:val="en-GB"/>
        </w:rPr>
        <w:t xml:space="preserve"> </w:t>
      </w:r>
      <w:r w:rsidR="00657079" w:rsidRPr="00657079">
        <w:rPr>
          <w:sz w:val="19"/>
          <w:szCs w:val="19"/>
          <w:lang w:val="en-GB"/>
        </w:rPr>
        <w:t>the degree of precision of the content of that rumour and the reliability of the source reporting it</w:t>
      </w:r>
      <w:r w:rsidR="00657079">
        <w:rPr>
          <w:sz w:val="19"/>
          <w:szCs w:val="19"/>
          <w:lang w:val="en-GB"/>
        </w:rPr>
        <w:t xml:space="preserve"> as well as the reputation of the journalist and the media publishing the article</w:t>
      </w:r>
      <w:r w:rsidR="00657079" w:rsidRPr="00657079">
        <w:rPr>
          <w:sz w:val="19"/>
          <w:szCs w:val="19"/>
          <w:lang w:val="en-GB"/>
        </w:rPr>
        <w:t>.</w:t>
      </w:r>
      <w:r w:rsidR="00657079">
        <w:rPr>
          <w:rStyle w:val="Funotenzeichen"/>
          <w:sz w:val="19"/>
          <w:szCs w:val="19"/>
          <w:lang w:val="en-GB"/>
        </w:rPr>
        <w:footnoteReference w:id="392"/>
      </w:r>
      <w:r w:rsidR="00657079">
        <w:rPr>
          <w:sz w:val="19"/>
          <w:szCs w:val="19"/>
          <w:lang w:val="en-GB"/>
        </w:rPr>
        <w:t xml:space="preserve"> </w:t>
      </w:r>
      <w:r w:rsidR="002D4CBA">
        <w:rPr>
          <w:sz w:val="19"/>
          <w:szCs w:val="19"/>
          <w:lang w:val="en-GB"/>
        </w:rPr>
        <w:t>The fact that the publication did, in fact, have an effect on prices, does not as such establish that the information was “precise”, but can be used as “ex post evidence”.</w:t>
      </w:r>
      <w:r w:rsidR="002D4CBA">
        <w:rPr>
          <w:rStyle w:val="Funotenzeichen"/>
          <w:sz w:val="19"/>
          <w:szCs w:val="19"/>
          <w:lang w:val="en-GB"/>
        </w:rPr>
        <w:footnoteReference w:id="393"/>
      </w:r>
      <w:r w:rsidR="002D4CBA">
        <w:rPr>
          <w:sz w:val="19"/>
          <w:szCs w:val="19"/>
          <w:lang w:val="en-GB"/>
        </w:rPr>
        <w:t xml:space="preserve"> </w:t>
      </w:r>
    </w:p>
    <w:p w14:paraId="4675FA08" w14:textId="6CF236CF" w:rsidR="00956EF4" w:rsidRPr="002121A4" w:rsidRDefault="00956EF4" w:rsidP="00CD0160">
      <w:pPr>
        <w:rPr>
          <w:sz w:val="19"/>
          <w:szCs w:val="19"/>
          <w:lang w:val="en-GB"/>
        </w:rPr>
      </w:pPr>
      <w:r w:rsidRPr="002121A4">
        <w:rPr>
          <w:sz w:val="19"/>
          <w:szCs w:val="19"/>
          <w:lang w:val="en-GB"/>
        </w:rPr>
        <w:t>As regards the media privilege, the notion “for the purpose of journalism” within the meaning of article 21 MAR must be interpreted broadly to reflect the freedom of speech, and includes investigations by a journalist.</w:t>
      </w:r>
      <w:r w:rsidR="00784DEA">
        <w:rPr>
          <w:rStyle w:val="Funotenzeichen"/>
          <w:sz w:val="19"/>
          <w:szCs w:val="19"/>
          <w:lang w:val="en-GB"/>
        </w:rPr>
        <w:footnoteReference w:id="394"/>
      </w:r>
      <w:r w:rsidRPr="002121A4">
        <w:rPr>
          <w:sz w:val="19"/>
          <w:szCs w:val="19"/>
          <w:lang w:val="en-GB"/>
        </w:rPr>
        <w:t xml:space="preserve"> Whether these investigations are lawful is to be determined under article 10</w:t>
      </w:r>
      <w:r w:rsidR="008721C4">
        <w:rPr>
          <w:sz w:val="19"/>
          <w:szCs w:val="19"/>
          <w:lang w:val="en-GB"/>
        </w:rPr>
        <w:t xml:space="preserve"> MAR: in fact, a</w:t>
      </w:r>
      <w:r w:rsidRPr="002121A4">
        <w:rPr>
          <w:sz w:val="19"/>
          <w:szCs w:val="19"/>
          <w:lang w:val="en-GB"/>
        </w:rPr>
        <w:t>rticle 21</w:t>
      </w:r>
      <w:r w:rsidR="008721C4">
        <w:rPr>
          <w:sz w:val="19"/>
          <w:szCs w:val="19"/>
          <w:lang w:val="en-GB"/>
        </w:rPr>
        <w:t xml:space="preserve"> MAR does not derogate from article 10 requirements.</w:t>
      </w:r>
      <w:r w:rsidR="008721C4">
        <w:rPr>
          <w:rStyle w:val="Funotenzeichen"/>
          <w:sz w:val="19"/>
          <w:szCs w:val="19"/>
          <w:lang w:val="en-GB"/>
        </w:rPr>
        <w:footnoteReference w:id="395"/>
      </w:r>
      <w:r w:rsidR="008721C4">
        <w:rPr>
          <w:sz w:val="19"/>
          <w:szCs w:val="19"/>
          <w:lang w:val="en-GB"/>
        </w:rPr>
        <w:t xml:space="preserve"> </w:t>
      </w:r>
      <w:r w:rsidR="00F53592">
        <w:rPr>
          <w:sz w:val="19"/>
          <w:szCs w:val="19"/>
          <w:lang w:val="en-GB"/>
        </w:rPr>
        <w:t xml:space="preserve">Accordingly, whether disclosure by a journalist is legal depends on an assessment of article 10(1) MAR, and the exception under article 10(1) for disclosure “in the exercise of an employment, a profession or duties” has to be interpreted strictly, i.e., it must have been strictly necessary and must comply with proportionality requirements as determined in </w:t>
      </w:r>
      <w:r w:rsidR="00074A16" w:rsidRPr="00074A16">
        <w:rPr>
          <w:i/>
          <w:sz w:val="19"/>
          <w:szCs w:val="19"/>
          <w:lang w:val="en-GB"/>
        </w:rPr>
        <w:t>Grøngaard</w:t>
      </w:r>
      <w:r w:rsidR="00F53592">
        <w:rPr>
          <w:sz w:val="19"/>
          <w:szCs w:val="19"/>
          <w:lang w:val="en-GB"/>
        </w:rPr>
        <w:t>.</w:t>
      </w:r>
      <w:r w:rsidR="00F53592">
        <w:rPr>
          <w:rStyle w:val="Funotenzeichen"/>
          <w:sz w:val="19"/>
          <w:szCs w:val="19"/>
          <w:lang w:val="en-GB"/>
        </w:rPr>
        <w:footnoteReference w:id="396"/>
      </w:r>
      <w:r w:rsidR="00D36A22">
        <w:rPr>
          <w:sz w:val="19"/>
          <w:szCs w:val="19"/>
          <w:lang w:val="en-GB"/>
        </w:rPr>
        <w:t xml:space="preserve"> Ultimately, the assessment must be made “in light of the purpose” of article 21 MAR.</w:t>
      </w:r>
      <w:r w:rsidR="00D36A22">
        <w:rPr>
          <w:rStyle w:val="Funotenzeichen"/>
          <w:sz w:val="19"/>
          <w:szCs w:val="19"/>
          <w:lang w:val="en-GB"/>
        </w:rPr>
        <w:footnoteReference w:id="397"/>
      </w:r>
    </w:p>
    <w:p w14:paraId="35C8B473" w14:textId="7BCAFE22"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_Ref163123747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_Ref163123747 \h </w:instrText>
      </w:r>
      <w:r w:rsidRPr="002121A4">
        <w:rPr>
          <w:b/>
          <w:sz w:val="19"/>
          <w:szCs w:val="19"/>
          <w:lang w:val="en-GB"/>
        </w:rPr>
      </w:r>
      <w:r w:rsidRPr="002121A4">
        <w:rPr>
          <w:b/>
          <w:sz w:val="19"/>
          <w:szCs w:val="19"/>
          <w:lang w:val="en-GB"/>
        </w:rPr>
        <w:fldChar w:fldCharType="separate"/>
      </w:r>
      <w:r w:rsidR="00D56145">
        <w:rPr>
          <w:b/>
          <w:noProof/>
          <w:sz w:val="19"/>
          <w:szCs w:val="19"/>
          <w:lang w:val="en-GB"/>
        </w:rPr>
        <w:t>49</w:t>
      </w:r>
      <w:r w:rsidRPr="002121A4">
        <w:rPr>
          <w:b/>
          <w:sz w:val="19"/>
          <w:szCs w:val="19"/>
          <w:lang w:val="en-GB"/>
        </w:rPr>
        <w:fldChar w:fldCharType="end"/>
      </w:r>
      <w:r w:rsidRPr="002121A4">
        <w:rPr>
          <w:b/>
          <w:sz w:val="19"/>
          <w:szCs w:val="19"/>
          <w:lang w:val="en-GB"/>
        </w:rPr>
        <w:t>).</w:t>
      </w:r>
      <w:r w:rsidRPr="002121A4">
        <w:rPr>
          <w:sz w:val="19"/>
          <w:szCs w:val="19"/>
          <w:lang w:val="en-GB"/>
        </w:rPr>
        <w:t xml:space="preserve"> Whether an issuer is in scope of disclosure under article 17(1) MAR depends on whether he meets the test under article 17(1)(2). As regards an MTF, this is the case where the issuer applied for admission as in this case. Accordingly, Z AG has to comply with article 17 MAR.</w:t>
      </w:r>
    </w:p>
    <w:p w14:paraId="26E0C6B3" w14:textId="232D86B5" w:rsidR="00956EF4" w:rsidRPr="002121A4" w:rsidRDefault="00956EF4" w:rsidP="00CD0160">
      <w:pPr>
        <w:rPr>
          <w:sz w:val="19"/>
          <w:szCs w:val="19"/>
          <w:lang w:val="en-GB"/>
        </w:rPr>
      </w:pPr>
      <w:r w:rsidRPr="002121A4">
        <w:rPr>
          <w:b/>
          <w:sz w:val="19"/>
          <w:szCs w:val="19"/>
          <w:lang w:val="en-GB"/>
        </w:rPr>
        <w:lastRenderedPageBreak/>
        <w:fldChar w:fldCharType="begin"/>
      </w:r>
      <w:r w:rsidRPr="002121A4">
        <w:rPr>
          <w:b/>
          <w:sz w:val="19"/>
          <w:szCs w:val="19"/>
          <w:lang w:val="en-GB"/>
        </w:rPr>
        <w:instrText xml:space="preserve"> REF _Ref163123789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_Ref163123789 \h </w:instrText>
      </w:r>
      <w:r w:rsidRPr="002121A4">
        <w:rPr>
          <w:b/>
          <w:sz w:val="19"/>
          <w:szCs w:val="19"/>
          <w:lang w:val="en-GB"/>
        </w:rPr>
      </w:r>
      <w:r w:rsidRPr="002121A4">
        <w:rPr>
          <w:b/>
          <w:sz w:val="19"/>
          <w:szCs w:val="19"/>
          <w:lang w:val="en-GB"/>
        </w:rPr>
        <w:fldChar w:fldCharType="separate"/>
      </w:r>
      <w:r w:rsidR="00D56145">
        <w:rPr>
          <w:b/>
          <w:noProof/>
          <w:sz w:val="19"/>
          <w:szCs w:val="19"/>
          <w:lang w:val="en-GB"/>
        </w:rPr>
        <w:t>50</w:t>
      </w:r>
      <w:r w:rsidRPr="002121A4">
        <w:rPr>
          <w:b/>
          <w:sz w:val="19"/>
          <w:szCs w:val="19"/>
          <w:lang w:val="en-GB"/>
        </w:rPr>
        <w:fldChar w:fldCharType="end"/>
      </w:r>
      <w:r w:rsidRPr="002121A4">
        <w:rPr>
          <w:b/>
          <w:sz w:val="19"/>
          <w:szCs w:val="19"/>
          <w:lang w:val="en-GB"/>
        </w:rPr>
        <w:t>).</w:t>
      </w:r>
      <w:r w:rsidRPr="002121A4">
        <w:rPr>
          <w:sz w:val="19"/>
          <w:szCs w:val="19"/>
          <w:lang w:val="en-GB"/>
        </w:rPr>
        <w:t xml:space="preserve"> A good source for examples are the guidelines issue by BaFin (“</w:t>
      </w:r>
      <w:proofErr w:type="spellStart"/>
      <w:r w:rsidRPr="00EB2355">
        <w:rPr>
          <w:i/>
          <w:sz w:val="19"/>
          <w:szCs w:val="19"/>
          <w:lang w:val="en-GB"/>
        </w:rPr>
        <w:t>Emittentenleitfaden</w:t>
      </w:r>
      <w:proofErr w:type="spellEnd"/>
      <w:r w:rsidRPr="002121A4">
        <w:rPr>
          <w:sz w:val="19"/>
          <w:szCs w:val="19"/>
          <w:lang w:val="en-GB"/>
        </w:rPr>
        <w:t>”). The vast majority of inside information disclosure relates to transactions (M&amp;A deals, joint ventures) and financial information (results, forecasts). Other examples include product innovations (in particular where they create a monopoly, e.g., where patents/copyrights exist), board appointments (e.g., CEO), as well as investigations and disputes. The purpose of such disclosure is to create a “level playing field” for investors and to limit the potential for insider dealing.</w:t>
      </w:r>
    </w:p>
    <w:p w14:paraId="70853D8F" w14:textId="066EB93B"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_Ref163123825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_Ref163123825 \h </w:instrText>
      </w:r>
      <w:r w:rsidRPr="002121A4">
        <w:rPr>
          <w:b/>
          <w:sz w:val="19"/>
          <w:szCs w:val="19"/>
          <w:lang w:val="en-GB"/>
        </w:rPr>
      </w:r>
      <w:r w:rsidRPr="002121A4">
        <w:rPr>
          <w:b/>
          <w:sz w:val="19"/>
          <w:szCs w:val="19"/>
          <w:lang w:val="en-GB"/>
        </w:rPr>
        <w:fldChar w:fldCharType="separate"/>
      </w:r>
      <w:r w:rsidR="00D56145">
        <w:rPr>
          <w:b/>
          <w:noProof/>
          <w:sz w:val="19"/>
          <w:szCs w:val="19"/>
          <w:lang w:val="en-GB"/>
        </w:rPr>
        <w:t>53</w:t>
      </w:r>
      <w:r w:rsidRPr="002121A4">
        <w:rPr>
          <w:b/>
          <w:sz w:val="19"/>
          <w:szCs w:val="19"/>
          <w:lang w:val="en-GB"/>
        </w:rPr>
        <w:fldChar w:fldCharType="end"/>
      </w:r>
      <w:r w:rsidRPr="002121A4">
        <w:rPr>
          <w:b/>
          <w:sz w:val="19"/>
          <w:szCs w:val="19"/>
          <w:lang w:val="en-GB"/>
        </w:rPr>
        <w:t>).</w:t>
      </w:r>
      <w:r w:rsidRPr="002121A4">
        <w:rPr>
          <w:sz w:val="19"/>
          <w:szCs w:val="19"/>
          <w:lang w:val="en-GB"/>
        </w:rPr>
        <w:t xml:space="preserve"> Nothing suggests that there is inside information relating to N, so the prohibition of insider dealing under article 14 MAR does not prevent V from trading. However, article 19(11)</w:t>
      </w:r>
      <w:r w:rsidR="003F7471">
        <w:rPr>
          <w:sz w:val="19"/>
          <w:szCs w:val="19"/>
          <w:lang w:val="en-GB"/>
        </w:rPr>
        <w:t xml:space="preserve"> MAR</w:t>
      </w:r>
      <w:r w:rsidRPr="002121A4">
        <w:rPr>
          <w:sz w:val="19"/>
          <w:szCs w:val="19"/>
          <w:lang w:val="en-GB"/>
        </w:rPr>
        <w:t xml:space="preserve"> prohibits trading in closed periods as in this case, irrespectively of whether there is inside information. The purpose is to avoid the mere impression of illegitimate trading activities.</w:t>
      </w:r>
    </w:p>
    <w:p w14:paraId="4259B676" w14:textId="29F92541"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_Ref163123870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_Ref163123870 \h </w:instrText>
      </w:r>
      <w:r w:rsidRPr="002121A4">
        <w:rPr>
          <w:b/>
          <w:sz w:val="19"/>
          <w:szCs w:val="19"/>
          <w:lang w:val="en-GB"/>
        </w:rPr>
      </w:r>
      <w:r w:rsidRPr="002121A4">
        <w:rPr>
          <w:b/>
          <w:sz w:val="19"/>
          <w:szCs w:val="19"/>
          <w:lang w:val="en-GB"/>
        </w:rPr>
        <w:fldChar w:fldCharType="separate"/>
      </w:r>
      <w:r w:rsidR="00D56145">
        <w:rPr>
          <w:b/>
          <w:noProof/>
          <w:sz w:val="19"/>
          <w:szCs w:val="19"/>
          <w:lang w:val="en-GB"/>
        </w:rPr>
        <w:t>54</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proofErr w:type="spellStart"/>
      <w:r w:rsidRPr="002121A4">
        <w:rPr>
          <w:sz w:val="19"/>
          <w:szCs w:val="19"/>
          <w:lang w:val="en-GB"/>
        </w:rPr>
        <w:t>i</w:t>
      </w:r>
      <w:proofErr w:type="spellEnd"/>
      <w:r w:rsidRPr="002121A4">
        <w:rPr>
          <w:sz w:val="19"/>
          <w:szCs w:val="19"/>
          <w:lang w:val="en-GB"/>
        </w:rPr>
        <w:t xml:space="preserve">) As regards the misleading press release: § 98 </w:t>
      </w:r>
      <w:proofErr w:type="spellStart"/>
      <w:r w:rsidRPr="002121A4">
        <w:rPr>
          <w:sz w:val="19"/>
          <w:szCs w:val="19"/>
          <w:lang w:val="en-GB"/>
        </w:rPr>
        <w:t>WpHG</w:t>
      </w:r>
      <w:proofErr w:type="spellEnd"/>
      <w:r w:rsidRPr="002121A4">
        <w:rPr>
          <w:sz w:val="19"/>
          <w:szCs w:val="19"/>
          <w:lang w:val="en-GB"/>
        </w:rPr>
        <w:t xml:space="preserve"> applies </w:t>
      </w:r>
      <w:r w:rsidR="00AB3504">
        <w:rPr>
          <w:sz w:val="19"/>
          <w:szCs w:val="19"/>
          <w:lang w:val="en-GB"/>
        </w:rPr>
        <w:t xml:space="preserve">where </w:t>
      </w:r>
      <w:r w:rsidRPr="002121A4">
        <w:rPr>
          <w:sz w:val="19"/>
          <w:szCs w:val="19"/>
          <w:lang w:val="en-GB"/>
        </w:rPr>
        <w:t>disclosure</w:t>
      </w:r>
      <w:r w:rsidR="00AB3504">
        <w:rPr>
          <w:sz w:val="19"/>
          <w:szCs w:val="19"/>
          <w:lang w:val="en-GB"/>
        </w:rPr>
        <w:t xml:space="preserve"> by an issuer take the form of inside information disclosure under §§ 4ff. </w:t>
      </w:r>
      <w:proofErr w:type="spellStart"/>
      <w:r w:rsidR="00AB3504">
        <w:rPr>
          <w:sz w:val="19"/>
          <w:szCs w:val="19"/>
          <w:lang w:val="en-GB"/>
        </w:rPr>
        <w:t>WpAV</w:t>
      </w:r>
      <w:proofErr w:type="spellEnd"/>
      <w:r w:rsidR="00AB3504">
        <w:rPr>
          <w:sz w:val="19"/>
          <w:szCs w:val="19"/>
          <w:lang w:val="en-GB"/>
        </w:rPr>
        <w:t xml:space="preserve">; in particular, it has to be presented as “inside information” pursuant to § 4(1) no. 1 </w:t>
      </w:r>
      <w:proofErr w:type="spellStart"/>
      <w:r w:rsidR="00AB3504">
        <w:rPr>
          <w:sz w:val="19"/>
          <w:szCs w:val="19"/>
          <w:lang w:val="en-GB"/>
        </w:rPr>
        <w:t>WpAV</w:t>
      </w:r>
      <w:proofErr w:type="spellEnd"/>
      <w:r w:rsidR="00AB3504">
        <w:rPr>
          <w:sz w:val="19"/>
          <w:szCs w:val="19"/>
          <w:lang w:val="en-GB"/>
        </w:rPr>
        <w:t>.</w:t>
      </w:r>
      <w:r w:rsidR="00AB3504">
        <w:rPr>
          <w:rStyle w:val="Funotenzeichen"/>
          <w:sz w:val="19"/>
          <w:szCs w:val="19"/>
          <w:lang w:val="en-GB"/>
        </w:rPr>
        <w:footnoteReference w:id="398"/>
      </w:r>
      <w:r w:rsidR="00AB3504">
        <w:rPr>
          <w:sz w:val="19"/>
          <w:szCs w:val="19"/>
          <w:lang w:val="en-GB"/>
        </w:rPr>
        <w:t xml:space="preserve"> By </w:t>
      </w:r>
      <w:r w:rsidR="00EB707D">
        <w:rPr>
          <w:sz w:val="19"/>
          <w:szCs w:val="19"/>
          <w:lang w:val="en-GB"/>
        </w:rPr>
        <w:t xml:space="preserve">implication, it does not apply to a simple </w:t>
      </w:r>
      <w:r w:rsidRPr="002121A4">
        <w:rPr>
          <w:sz w:val="19"/>
          <w:szCs w:val="19"/>
          <w:lang w:val="en-GB"/>
        </w:rPr>
        <w:t>press release</w:t>
      </w:r>
      <w:r w:rsidR="00EB707D">
        <w:rPr>
          <w:sz w:val="19"/>
          <w:szCs w:val="19"/>
          <w:lang w:val="en-GB"/>
        </w:rPr>
        <w:t xml:space="preserve"> as in this case, and given the legislative intent, it is not possible to apply § 98 </w:t>
      </w:r>
      <w:proofErr w:type="spellStart"/>
      <w:r w:rsidR="00EB707D">
        <w:rPr>
          <w:sz w:val="19"/>
          <w:szCs w:val="19"/>
          <w:lang w:val="en-GB"/>
        </w:rPr>
        <w:t>WpHG</w:t>
      </w:r>
      <w:proofErr w:type="spellEnd"/>
      <w:r w:rsidR="00EB707D">
        <w:rPr>
          <w:sz w:val="19"/>
          <w:szCs w:val="19"/>
          <w:lang w:val="en-GB"/>
        </w:rPr>
        <w:t xml:space="preserve"> by way of analogy</w:t>
      </w:r>
      <w:r w:rsidRPr="002121A4">
        <w:rPr>
          <w:sz w:val="19"/>
          <w:szCs w:val="19"/>
          <w:lang w:val="en-GB"/>
        </w:rPr>
        <w:t>.</w:t>
      </w:r>
      <w:r w:rsidR="00EB707D">
        <w:rPr>
          <w:rStyle w:val="Funotenzeichen"/>
          <w:sz w:val="19"/>
          <w:szCs w:val="19"/>
          <w:lang w:val="en-GB"/>
        </w:rPr>
        <w:footnoteReference w:id="399"/>
      </w:r>
      <w:r w:rsidRPr="002121A4">
        <w:rPr>
          <w:sz w:val="19"/>
          <w:szCs w:val="19"/>
          <w:lang w:val="en-GB"/>
        </w:rPr>
        <w:t xml:space="preserve"> The press release does not create an </w:t>
      </w:r>
      <w:r w:rsidR="00175226">
        <w:rPr>
          <w:sz w:val="19"/>
          <w:szCs w:val="19"/>
          <w:lang w:val="en-GB"/>
        </w:rPr>
        <w:t>“</w:t>
      </w:r>
      <w:r w:rsidRPr="002121A4">
        <w:rPr>
          <w:sz w:val="19"/>
          <w:szCs w:val="19"/>
          <w:lang w:val="en-GB"/>
        </w:rPr>
        <w:t>overview</w:t>
      </w:r>
      <w:r w:rsidR="00175226">
        <w:rPr>
          <w:sz w:val="19"/>
          <w:szCs w:val="19"/>
          <w:lang w:val="en-GB"/>
        </w:rPr>
        <w:t>”</w:t>
      </w:r>
      <w:r w:rsidRPr="002121A4">
        <w:rPr>
          <w:sz w:val="19"/>
          <w:szCs w:val="19"/>
          <w:lang w:val="en-GB"/>
        </w:rPr>
        <w:t xml:space="preserve"> within the meaning of § 400 </w:t>
      </w:r>
      <w:proofErr w:type="spellStart"/>
      <w:r w:rsidRPr="002121A4">
        <w:rPr>
          <w:sz w:val="19"/>
          <w:szCs w:val="19"/>
          <w:lang w:val="en-GB"/>
        </w:rPr>
        <w:t>AktG</w:t>
      </w:r>
      <w:proofErr w:type="spellEnd"/>
      <w:r w:rsidRPr="002121A4">
        <w:rPr>
          <w:sz w:val="19"/>
          <w:szCs w:val="19"/>
          <w:lang w:val="en-GB"/>
        </w:rPr>
        <w:t xml:space="preserve"> either, so no liability </w:t>
      </w:r>
      <w:r w:rsidR="00175226">
        <w:rPr>
          <w:sz w:val="19"/>
          <w:szCs w:val="19"/>
          <w:lang w:val="en-GB"/>
        </w:rPr>
        <w:t xml:space="preserve">exists </w:t>
      </w:r>
      <w:r w:rsidRPr="002121A4">
        <w:rPr>
          <w:sz w:val="19"/>
          <w:szCs w:val="19"/>
          <w:lang w:val="en-GB"/>
        </w:rPr>
        <w:t>under §</w:t>
      </w:r>
      <w:r w:rsidR="00AB3504">
        <w:rPr>
          <w:sz w:val="19"/>
          <w:szCs w:val="19"/>
          <w:lang w:val="en-GB"/>
        </w:rPr>
        <w:t> </w:t>
      </w:r>
      <w:r w:rsidRPr="002121A4">
        <w:rPr>
          <w:sz w:val="19"/>
          <w:szCs w:val="19"/>
          <w:lang w:val="en-GB"/>
        </w:rPr>
        <w:t xml:space="preserve">832(2) BGB in conjunction with § 400 </w:t>
      </w:r>
      <w:proofErr w:type="spellStart"/>
      <w:r w:rsidRPr="002121A4">
        <w:rPr>
          <w:sz w:val="19"/>
          <w:szCs w:val="19"/>
          <w:lang w:val="en-GB"/>
        </w:rPr>
        <w:t>AktG</w:t>
      </w:r>
      <w:proofErr w:type="spellEnd"/>
      <w:r w:rsidRPr="002121A4">
        <w:rPr>
          <w:sz w:val="19"/>
          <w:szCs w:val="19"/>
          <w:lang w:val="en-GB"/>
        </w:rPr>
        <w:t>.</w:t>
      </w:r>
      <w:r w:rsidR="00F524CB">
        <w:rPr>
          <w:rStyle w:val="Funotenzeichen"/>
          <w:sz w:val="19"/>
          <w:szCs w:val="19"/>
          <w:lang w:val="en-GB"/>
        </w:rPr>
        <w:footnoteReference w:id="400"/>
      </w:r>
      <w:r w:rsidRPr="002121A4">
        <w:rPr>
          <w:sz w:val="19"/>
          <w:szCs w:val="19"/>
          <w:lang w:val="en-GB"/>
        </w:rPr>
        <w:t xml:space="preserve"> </w:t>
      </w:r>
      <w:r w:rsidR="00FB5F4C">
        <w:rPr>
          <w:sz w:val="19"/>
          <w:szCs w:val="19"/>
          <w:lang w:val="en-GB"/>
        </w:rPr>
        <w:t>Pursuant to the BGH, a</w:t>
      </w:r>
      <w:r w:rsidRPr="002121A4">
        <w:rPr>
          <w:sz w:val="19"/>
          <w:szCs w:val="19"/>
          <w:lang w:val="en-GB"/>
        </w:rPr>
        <w:t>rticle 12 MAR does not have the objective to protect investors individually, so does not create liability under § 823(2) BGB either, nor does is as such amount to conduct against good morals within the meaning of § 826 BGB.</w:t>
      </w:r>
      <w:r w:rsidR="00FB5F4C">
        <w:rPr>
          <w:rStyle w:val="Funotenzeichen"/>
          <w:sz w:val="19"/>
          <w:szCs w:val="19"/>
          <w:lang w:val="en-GB"/>
        </w:rPr>
        <w:footnoteReference w:id="401"/>
      </w:r>
      <w:r w:rsidRPr="002121A4">
        <w:rPr>
          <w:sz w:val="19"/>
          <w:szCs w:val="19"/>
          <w:lang w:val="en-GB"/>
        </w:rPr>
        <w:t xml:space="preserve"> (ii) As a result, the only conceivable basis for liability in this case is § 97 </w:t>
      </w:r>
      <w:proofErr w:type="spellStart"/>
      <w:r w:rsidRPr="002121A4">
        <w:rPr>
          <w:sz w:val="19"/>
          <w:szCs w:val="19"/>
          <w:lang w:val="en-GB"/>
        </w:rPr>
        <w:t>WpHG</w:t>
      </w:r>
      <w:proofErr w:type="spellEnd"/>
      <w:r w:rsidRPr="002121A4">
        <w:rPr>
          <w:sz w:val="19"/>
          <w:szCs w:val="19"/>
          <w:lang w:val="en-GB"/>
        </w:rPr>
        <w:t xml:space="preserve">, i.e., for failure to disclose inside information. Information on </w:t>
      </w:r>
      <w:r w:rsidR="004A303B">
        <w:rPr>
          <w:sz w:val="19"/>
          <w:szCs w:val="19"/>
          <w:lang w:val="en-GB"/>
        </w:rPr>
        <w:t xml:space="preserve">IKB’s </w:t>
      </w:r>
      <w:r w:rsidRPr="002121A4">
        <w:rPr>
          <w:sz w:val="19"/>
          <w:szCs w:val="19"/>
          <w:lang w:val="en-GB"/>
        </w:rPr>
        <w:t>exposure to subprime products was precise, and whether it was price-relevant depends on a “reasonable investor test” under article</w:t>
      </w:r>
      <w:r w:rsidR="006A083E">
        <w:rPr>
          <w:sz w:val="19"/>
          <w:szCs w:val="19"/>
          <w:lang w:val="en-GB"/>
        </w:rPr>
        <w:t> </w:t>
      </w:r>
      <w:r w:rsidRPr="002121A4">
        <w:rPr>
          <w:sz w:val="19"/>
          <w:szCs w:val="19"/>
          <w:lang w:val="en-GB"/>
        </w:rPr>
        <w:t xml:space="preserve">7(4) MAR. </w:t>
      </w:r>
      <w:r w:rsidR="00112A08">
        <w:rPr>
          <w:sz w:val="19"/>
          <w:szCs w:val="19"/>
          <w:lang w:val="en-GB"/>
        </w:rPr>
        <w:t xml:space="preserve">Arguably, </w:t>
      </w:r>
      <w:r w:rsidR="007B061C">
        <w:rPr>
          <w:sz w:val="19"/>
          <w:szCs w:val="19"/>
          <w:lang w:val="en-GB"/>
        </w:rPr>
        <w:t xml:space="preserve">IKB’s exposure to the mortgage products amounted to </w:t>
      </w:r>
      <w:r w:rsidR="00112A08">
        <w:rPr>
          <w:sz w:val="19"/>
          <w:szCs w:val="19"/>
          <w:lang w:val="en-GB"/>
        </w:rPr>
        <w:t xml:space="preserve">disclosable inside information already prior </w:t>
      </w:r>
      <w:r w:rsidR="00991D18">
        <w:rPr>
          <w:sz w:val="19"/>
          <w:szCs w:val="19"/>
          <w:lang w:val="en-GB"/>
        </w:rPr>
        <w:t xml:space="preserve">to </w:t>
      </w:r>
      <w:r w:rsidR="004A0049">
        <w:rPr>
          <w:sz w:val="19"/>
          <w:szCs w:val="19"/>
          <w:lang w:val="en-GB"/>
        </w:rPr>
        <w:t>20</w:t>
      </w:r>
      <w:r w:rsidR="00C14932">
        <w:rPr>
          <w:sz w:val="19"/>
          <w:szCs w:val="19"/>
          <w:lang w:val="en-GB"/>
        </w:rPr>
        <w:t> </w:t>
      </w:r>
      <w:r w:rsidR="00112A08">
        <w:rPr>
          <w:sz w:val="19"/>
          <w:szCs w:val="19"/>
          <w:lang w:val="en-GB"/>
        </w:rPr>
        <w:t>July 2007.</w:t>
      </w:r>
      <w:r w:rsidR="004A0049">
        <w:rPr>
          <w:rStyle w:val="Funotenzeichen"/>
          <w:sz w:val="19"/>
          <w:szCs w:val="19"/>
          <w:lang w:val="en-GB"/>
        </w:rPr>
        <w:footnoteReference w:id="402"/>
      </w:r>
      <w:r w:rsidR="00112A08">
        <w:rPr>
          <w:sz w:val="19"/>
          <w:szCs w:val="19"/>
          <w:lang w:val="en-GB"/>
        </w:rPr>
        <w:t xml:space="preserve"> </w:t>
      </w:r>
      <w:r w:rsidRPr="002121A4">
        <w:rPr>
          <w:sz w:val="19"/>
          <w:szCs w:val="19"/>
          <w:lang w:val="en-GB"/>
        </w:rPr>
        <w:t xml:space="preserve">The fact that subsequent events of the crises were not foreseeable in July 2007 are no defence under § 97(2) </w:t>
      </w:r>
      <w:proofErr w:type="spellStart"/>
      <w:r w:rsidRPr="002121A4">
        <w:rPr>
          <w:sz w:val="19"/>
          <w:szCs w:val="19"/>
          <w:lang w:val="en-GB"/>
        </w:rPr>
        <w:t>WpHG</w:t>
      </w:r>
      <w:proofErr w:type="spellEnd"/>
      <w:r w:rsidRPr="002121A4">
        <w:rPr>
          <w:sz w:val="19"/>
          <w:szCs w:val="19"/>
          <w:lang w:val="en-GB"/>
        </w:rPr>
        <w:t xml:space="preserve">. </w:t>
      </w:r>
      <w:r w:rsidR="0053080E">
        <w:rPr>
          <w:sz w:val="19"/>
          <w:szCs w:val="19"/>
          <w:lang w:val="en-GB"/>
        </w:rPr>
        <w:t>I</w:t>
      </w:r>
      <w:r w:rsidRPr="002121A4">
        <w:rPr>
          <w:sz w:val="19"/>
          <w:szCs w:val="19"/>
          <w:lang w:val="en-GB"/>
        </w:rPr>
        <w:t>nvestors can claim full restitution (as opposed to the price difference)</w:t>
      </w:r>
      <w:r w:rsidR="0053080E">
        <w:rPr>
          <w:sz w:val="19"/>
          <w:szCs w:val="19"/>
          <w:lang w:val="en-GB"/>
        </w:rPr>
        <w:t>, provided</w:t>
      </w:r>
      <w:r w:rsidRPr="002121A4">
        <w:rPr>
          <w:sz w:val="19"/>
          <w:szCs w:val="19"/>
          <w:lang w:val="en-GB"/>
        </w:rPr>
        <w:t xml:space="preserve"> they can show that they would not have invested at all.</w:t>
      </w:r>
      <w:r w:rsidR="0053080E">
        <w:rPr>
          <w:rStyle w:val="Funotenzeichen"/>
          <w:sz w:val="19"/>
          <w:szCs w:val="19"/>
          <w:lang w:val="en-GB"/>
        </w:rPr>
        <w:footnoteReference w:id="403"/>
      </w:r>
    </w:p>
    <w:p w14:paraId="3CFE38C2" w14:textId="3C0A6B1F" w:rsidR="00956EF4" w:rsidRPr="002121A4" w:rsidRDefault="00956EF4" w:rsidP="00CD0160">
      <w:pPr>
        <w:rPr>
          <w:sz w:val="19"/>
          <w:szCs w:val="19"/>
          <w:lang w:val="en-GB"/>
        </w:rPr>
      </w:pPr>
      <w:r w:rsidRPr="002121A4">
        <w:rPr>
          <w:b/>
          <w:sz w:val="19"/>
          <w:szCs w:val="19"/>
          <w:lang w:val="en-GB"/>
        </w:rPr>
        <w:fldChar w:fldCharType="begin"/>
      </w:r>
      <w:r w:rsidRPr="002121A4">
        <w:rPr>
          <w:b/>
          <w:sz w:val="19"/>
          <w:szCs w:val="19"/>
          <w:lang w:val="en-GB"/>
        </w:rPr>
        <w:instrText xml:space="preserve"> REF _Ref163123872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35</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_Ref163123872 \h </w:instrText>
      </w:r>
      <w:r w:rsidRPr="002121A4">
        <w:rPr>
          <w:b/>
          <w:sz w:val="19"/>
          <w:szCs w:val="19"/>
          <w:lang w:val="en-GB"/>
        </w:rPr>
      </w:r>
      <w:r w:rsidRPr="002121A4">
        <w:rPr>
          <w:b/>
          <w:sz w:val="19"/>
          <w:szCs w:val="19"/>
          <w:lang w:val="en-GB"/>
        </w:rPr>
        <w:fldChar w:fldCharType="separate"/>
      </w:r>
      <w:r w:rsidR="00D56145">
        <w:rPr>
          <w:b/>
          <w:noProof/>
          <w:sz w:val="19"/>
          <w:szCs w:val="19"/>
          <w:lang w:val="en-GB"/>
        </w:rPr>
        <w:t>55</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proofErr w:type="spellStart"/>
      <w:r w:rsidRPr="002121A4">
        <w:rPr>
          <w:sz w:val="19"/>
          <w:szCs w:val="19"/>
          <w:lang w:val="en-GB"/>
        </w:rPr>
        <w:t>i</w:t>
      </w:r>
      <w:proofErr w:type="spellEnd"/>
      <w:r w:rsidRPr="002121A4">
        <w:rPr>
          <w:sz w:val="19"/>
          <w:szCs w:val="19"/>
          <w:lang w:val="en-GB"/>
        </w:rPr>
        <w:t xml:space="preserve">) </w:t>
      </w:r>
      <w:r w:rsidR="00925782">
        <w:rPr>
          <w:sz w:val="19"/>
          <w:szCs w:val="19"/>
          <w:lang w:val="en-GB"/>
        </w:rPr>
        <w:t xml:space="preserve">Where inside information contains a </w:t>
      </w:r>
      <w:r w:rsidRPr="002121A4">
        <w:rPr>
          <w:sz w:val="19"/>
          <w:szCs w:val="19"/>
          <w:lang w:val="en-GB"/>
        </w:rPr>
        <w:t>profit forecast</w:t>
      </w:r>
      <w:r w:rsidR="00925782">
        <w:rPr>
          <w:sz w:val="19"/>
          <w:szCs w:val="19"/>
          <w:lang w:val="en-GB"/>
        </w:rPr>
        <w:t>, it</w:t>
      </w:r>
      <w:r w:rsidRPr="002121A4">
        <w:rPr>
          <w:sz w:val="19"/>
          <w:szCs w:val="19"/>
          <w:lang w:val="en-GB"/>
        </w:rPr>
        <w:t xml:space="preserve"> is only incorrect within the meaning of §</w:t>
      </w:r>
      <w:r w:rsidR="00925782">
        <w:rPr>
          <w:sz w:val="19"/>
          <w:szCs w:val="19"/>
          <w:lang w:val="en-GB"/>
        </w:rPr>
        <w:t> </w:t>
      </w:r>
      <w:r w:rsidRPr="002121A4">
        <w:rPr>
          <w:sz w:val="19"/>
          <w:szCs w:val="19"/>
          <w:lang w:val="en-GB"/>
        </w:rPr>
        <w:t>98</w:t>
      </w:r>
      <w:r w:rsidR="005933E5">
        <w:rPr>
          <w:sz w:val="19"/>
          <w:szCs w:val="19"/>
          <w:lang w:val="en-GB"/>
        </w:rPr>
        <w:t>(1)</w:t>
      </w:r>
      <w:r w:rsidRPr="002121A4">
        <w:rPr>
          <w:sz w:val="19"/>
          <w:szCs w:val="19"/>
          <w:lang w:val="en-GB"/>
        </w:rPr>
        <w:t xml:space="preserve"> </w:t>
      </w:r>
      <w:proofErr w:type="spellStart"/>
      <w:r w:rsidRPr="002121A4">
        <w:rPr>
          <w:sz w:val="19"/>
          <w:szCs w:val="19"/>
          <w:lang w:val="en-GB"/>
        </w:rPr>
        <w:t>WpHG</w:t>
      </w:r>
      <w:proofErr w:type="spellEnd"/>
      <w:r w:rsidRPr="002121A4">
        <w:rPr>
          <w:sz w:val="19"/>
          <w:szCs w:val="19"/>
          <w:lang w:val="en-GB"/>
        </w:rPr>
        <w:t xml:space="preserve"> if </w:t>
      </w:r>
      <w:r w:rsidR="005933E5">
        <w:rPr>
          <w:sz w:val="19"/>
          <w:szCs w:val="19"/>
          <w:lang w:val="en-GB"/>
        </w:rPr>
        <w:t xml:space="preserve">it does not correspond to the forecast the issuer has made at the time, or if it is not sufficiently based on facts and therefore economically not </w:t>
      </w:r>
      <w:r w:rsidRPr="002121A4">
        <w:rPr>
          <w:sz w:val="19"/>
          <w:szCs w:val="19"/>
          <w:lang w:val="en-GB"/>
        </w:rPr>
        <w:t>defendable.</w:t>
      </w:r>
      <w:r w:rsidR="005933E5">
        <w:rPr>
          <w:rStyle w:val="Funotenzeichen"/>
          <w:sz w:val="19"/>
          <w:szCs w:val="19"/>
          <w:lang w:val="en-GB"/>
        </w:rPr>
        <w:footnoteReference w:id="404"/>
      </w:r>
      <w:r w:rsidRPr="002121A4">
        <w:rPr>
          <w:sz w:val="19"/>
          <w:szCs w:val="19"/>
          <w:lang w:val="en-GB"/>
        </w:rPr>
        <w:t xml:space="preserve"> (ii) </w:t>
      </w:r>
      <w:r w:rsidR="00C437FF">
        <w:rPr>
          <w:sz w:val="19"/>
          <w:szCs w:val="19"/>
          <w:lang w:val="en-GB"/>
        </w:rPr>
        <w:t xml:space="preserve">On the basis of the decision in </w:t>
      </w:r>
      <w:r w:rsidR="00C437FF" w:rsidRPr="00C437FF">
        <w:rPr>
          <w:i/>
          <w:sz w:val="19"/>
          <w:szCs w:val="19"/>
          <w:lang w:val="en-GB"/>
        </w:rPr>
        <w:t>IKB</w:t>
      </w:r>
      <w:r w:rsidR="00C437FF">
        <w:rPr>
          <w:sz w:val="19"/>
          <w:szCs w:val="19"/>
          <w:lang w:val="en-GB"/>
        </w:rPr>
        <w:t xml:space="preserve"> (Case Study 34), the i</w:t>
      </w:r>
      <w:r w:rsidRPr="002121A4">
        <w:rPr>
          <w:sz w:val="19"/>
          <w:szCs w:val="19"/>
          <w:lang w:val="en-GB"/>
        </w:rPr>
        <w:t xml:space="preserve">ncorrectness of </w:t>
      </w:r>
      <w:r w:rsidR="00C437FF">
        <w:rPr>
          <w:sz w:val="19"/>
          <w:szCs w:val="19"/>
          <w:lang w:val="en-GB"/>
        </w:rPr>
        <w:t xml:space="preserve">a (voluntary) </w:t>
      </w:r>
      <w:r w:rsidRPr="002121A4">
        <w:rPr>
          <w:sz w:val="19"/>
          <w:szCs w:val="19"/>
          <w:lang w:val="en-GB"/>
        </w:rPr>
        <w:t>press release</w:t>
      </w:r>
      <w:r w:rsidR="00C437FF">
        <w:rPr>
          <w:sz w:val="19"/>
          <w:szCs w:val="19"/>
          <w:lang w:val="en-GB"/>
        </w:rPr>
        <w:t xml:space="preserve"> does not make the issuer liable pursuant to § 98(1) </w:t>
      </w:r>
      <w:proofErr w:type="spellStart"/>
      <w:r w:rsidR="00C437FF">
        <w:rPr>
          <w:sz w:val="19"/>
          <w:szCs w:val="19"/>
          <w:lang w:val="en-GB"/>
        </w:rPr>
        <w:t>WpHG</w:t>
      </w:r>
      <w:proofErr w:type="spellEnd"/>
      <w:r w:rsidR="00C437FF">
        <w:rPr>
          <w:sz w:val="19"/>
          <w:szCs w:val="19"/>
          <w:lang w:val="en-GB"/>
        </w:rPr>
        <w:t>.</w:t>
      </w:r>
      <w:r w:rsidR="00C437FF">
        <w:rPr>
          <w:rStyle w:val="Funotenzeichen"/>
          <w:sz w:val="19"/>
          <w:szCs w:val="19"/>
          <w:lang w:val="en-GB"/>
        </w:rPr>
        <w:footnoteReference w:id="405"/>
      </w:r>
      <w:r w:rsidR="00C437FF">
        <w:rPr>
          <w:sz w:val="19"/>
          <w:szCs w:val="19"/>
          <w:lang w:val="en-GB"/>
        </w:rPr>
        <w:t xml:space="preserve"> The mere fact that a press release is incorrect does not as such create inside information (to the effect that the press release is incorrect), which would create liability pursuant to § 97(1) </w:t>
      </w:r>
      <w:proofErr w:type="spellStart"/>
      <w:r w:rsidR="00C437FF">
        <w:rPr>
          <w:sz w:val="19"/>
          <w:szCs w:val="19"/>
          <w:lang w:val="en-GB"/>
        </w:rPr>
        <w:t>WpHG</w:t>
      </w:r>
      <w:proofErr w:type="spellEnd"/>
      <w:r w:rsidR="00C437FF">
        <w:rPr>
          <w:sz w:val="19"/>
          <w:szCs w:val="19"/>
          <w:lang w:val="en-GB"/>
        </w:rPr>
        <w:t xml:space="preserve"> if not disclosed. In such a case, § 97(1) </w:t>
      </w:r>
      <w:proofErr w:type="spellStart"/>
      <w:r w:rsidR="00C437FF">
        <w:rPr>
          <w:sz w:val="19"/>
          <w:szCs w:val="19"/>
          <w:lang w:val="en-GB"/>
        </w:rPr>
        <w:t>WpHG</w:t>
      </w:r>
      <w:proofErr w:type="spellEnd"/>
      <w:r w:rsidR="00C437FF">
        <w:rPr>
          <w:sz w:val="19"/>
          <w:szCs w:val="19"/>
          <w:lang w:val="en-GB"/>
        </w:rPr>
        <w:t xml:space="preserve"> only applies if prior to the press release, inside information existed already that the issuer failed to disclose, or if the </w:t>
      </w:r>
      <w:proofErr w:type="spellStart"/>
      <w:r w:rsidR="00C437FF">
        <w:rPr>
          <w:sz w:val="19"/>
          <w:szCs w:val="19"/>
          <w:lang w:val="en-GB"/>
        </w:rPr>
        <w:t>incorrectess</w:t>
      </w:r>
      <w:proofErr w:type="spellEnd"/>
      <w:r w:rsidR="00C437FF">
        <w:rPr>
          <w:sz w:val="19"/>
          <w:szCs w:val="19"/>
          <w:lang w:val="en-GB"/>
        </w:rPr>
        <w:t xml:space="preserve"> of the press release exceptionally qualifies as inside information within the meaning of article 7(1)(a) MAR and therefore would have to be disclosed.</w:t>
      </w:r>
      <w:r w:rsidR="00C437FF">
        <w:rPr>
          <w:rStyle w:val="Funotenzeichen"/>
          <w:sz w:val="19"/>
          <w:szCs w:val="19"/>
          <w:lang w:val="en-GB"/>
        </w:rPr>
        <w:footnoteReference w:id="406"/>
      </w:r>
      <w:r w:rsidR="00C437FF">
        <w:rPr>
          <w:sz w:val="19"/>
          <w:szCs w:val="19"/>
          <w:lang w:val="en-GB"/>
        </w:rPr>
        <w:t xml:space="preserve"> </w:t>
      </w:r>
      <w:r w:rsidRPr="002121A4">
        <w:rPr>
          <w:sz w:val="19"/>
          <w:szCs w:val="19"/>
          <w:lang w:val="en-GB"/>
        </w:rPr>
        <w:t>(iii) The audit report of 7 January qualifie</w:t>
      </w:r>
      <w:r w:rsidR="000C68AF">
        <w:rPr>
          <w:sz w:val="19"/>
          <w:szCs w:val="19"/>
          <w:lang w:val="en-GB"/>
        </w:rPr>
        <w:t>s</w:t>
      </w:r>
      <w:r w:rsidRPr="002121A4">
        <w:rPr>
          <w:sz w:val="19"/>
          <w:szCs w:val="19"/>
          <w:lang w:val="en-GB"/>
        </w:rPr>
        <w:t xml:space="preserve"> as inside information</w:t>
      </w:r>
      <w:r w:rsidR="000C68AF">
        <w:rPr>
          <w:sz w:val="19"/>
          <w:szCs w:val="19"/>
          <w:lang w:val="en-GB"/>
        </w:rPr>
        <w:t>. Article 17(1) MAR allows issuers some time to assess the facts, but this depends on the facts of the case and can be reduced to zero in obvious cases.</w:t>
      </w:r>
      <w:r w:rsidR="000C68AF">
        <w:rPr>
          <w:rStyle w:val="Funotenzeichen"/>
          <w:sz w:val="19"/>
          <w:szCs w:val="19"/>
          <w:lang w:val="en-GB"/>
        </w:rPr>
        <w:footnoteReference w:id="407"/>
      </w:r>
      <w:r w:rsidRPr="002121A4">
        <w:rPr>
          <w:sz w:val="19"/>
          <w:szCs w:val="19"/>
          <w:lang w:val="en-GB"/>
        </w:rPr>
        <w:t xml:space="preserve"> </w:t>
      </w:r>
      <w:r w:rsidR="00C93056">
        <w:rPr>
          <w:sz w:val="19"/>
          <w:szCs w:val="19"/>
          <w:lang w:val="en-GB"/>
        </w:rPr>
        <w:t xml:space="preserve">The </w:t>
      </w:r>
      <w:r w:rsidRPr="002121A4">
        <w:rPr>
          <w:sz w:val="19"/>
          <w:szCs w:val="19"/>
          <w:lang w:val="en-GB"/>
        </w:rPr>
        <w:t xml:space="preserve">delay </w:t>
      </w:r>
      <w:r w:rsidR="00C93056">
        <w:rPr>
          <w:sz w:val="19"/>
          <w:szCs w:val="19"/>
          <w:lang w:val="en-GB"/>
        </w:rPr>
        <w:t xml:space="preserve">(between 7 and 15 January) could not be justified pursuant to </w:t>
      </w:r>
      <w:r w:rsidRPr="002121A4">
        <w:rPr>
          <w:sz w:val="19"/>
          <w:szCs w:val="19"/>
          <w:lang w:val="en-GB"/>
        </w:rPr>
        <w:t>article 17(4) MAR</w:t>
      </w:r>
      <w:r w:rsidR="00C93056">
        <w:rPr>
          <w:sz w:val="19"/>
          <w:szCs w:val="19"/>
          <w:lang w:val="en-GB"/>
        </w:rPr>
        <w:t xml:space="preserve"> either, as the previous press releases are not compatible with the new information so that delay of disclosure would mislead the public within the meaning of article 17(4)(b) MAR</w:t>
      </w:r>
      <w:r w:rsidRPr="002121A4">
        <w:rPr>
          <w:sz w:val="19"/>
          <w:szCs w:val="19"/>
          <w:lang w:val="en-GB"/>
        </w:rPr>
        <w:t>.</w:t>
      </w:r>
      <w:r w:rsidR="00372C06">
        <w:rPr>
          <w:rStyle w:val="Funotenzeichen"/>
          <w:sz w:val="19"/>
          <w:szCs w:val="19"/>
          <w:lang w:val="en-GB"/>
        </w:rPr>
        <w:footnoteReference w:id="408"/>
      </w:r>
    </w:p>
    <w:p w14:paraId="4EC828D5" w14:textId="4933BDDE" w:rsidR="00956EF4" w:rsidRPr="002121A4" w:rsidRDefault="00956EF4"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_Ref163123984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_Ref163123984 \h </w:instrText>
      </w:r>
      <w:r w:rsidRPr="002121A4">
        <w:rPr>
          <w:b/>
          <w:sz w:val="19"/>
          <w:szCs w:val="19"/>
          <w:lang w:val="en-GB"/>
        </w:rPr>
      </w:r>
      <w:r w:rsidRPr="002121A4">
        <w:rPr>
          <w:b/>
          <w:sz w:val="19"/>
          <w:szCs w:val="19"/>
          <w:lang w:val="en-GB"/>
        </w:rPr>
        <w:fldChar w:fldCharType="separate"/>
      </w:r>
      <w:r w:rsidR="00D56145">
        <w:rPr>
          <w:b/>
          <w:noProof/>
          <w:sz w:val="19"/>
          <w:szCs w:val="19"/>
          <w:lang w:val="en-GB"/>
        </w:rPr>
        <w:t>60</w:t>
      </w:r>
      <w:r w:rsidRPr="002121A4">
        <w:rPr>
          <w:b/>
          <w:sz w:val="19"/>
          <w:szCs w:val="19"/>
          <w:lang w:val="en-GB"/>
        </w:rPr>
        <w:fldChar w:fldCharType="end"/>
      </w:r>
      <w:r w:rsidRPr="002121A4">
        <w:rPr>
          <w:b/>
          <w:sz w:val="19"/>
          <w:szCs w:val="19"/>
          <w:lang w:val="en-GB"/>
        </w:rPr>
        <w:t>).</w:t>
      </w:r>
      <w:r w:rsidRPr="002121A4">
        <w:rPr>
          <w:sz w:val="19"/>
          <w:szCs w:val="19"/>
          <w:lang w:val="en-GB"/>
        </w:rPr>
        <w:t xml:space="preserve"> Pursuant to § 44 </w:t>
      </w:r>
      <w:proofErr w:type="spellStart"/>
      <w:r w:rsidRPr="002121A4">
        <w:rPr>
          <w:sz w:val="19"/>
          <w:szCs w:val="19"/>
          <w:lang w:val="en-GB"/>
        </w:rPr>
        <w:t>WpHG</w:t>
      </w:r>
      <w:proofErr w:type="spellEnd"/>
      <w:r w:rsidRPr="002121A4">
        <w:rPr>
          <w:sz w:val="19"/>
          <w:szCs w:val="19"/>
          <w:lang w:val="en-GB"/>
        </w:rPr>
        <w:t xml:space="preserve">, rights attaching to shares are suspended while there is a breach of disclosure obligations. As both upwards and downwards crossings create disclosure obligations for H, H is still in breach </w:t>
      </w:r>
      <w:r w:rsidRPr="002121A4">
        <w:rPr>
          <w:sz w:val="19"/>
          <w:szCs w:val="19"/>
          <w:lang w:val="en-GB"/>
        </w:rPr>
        <w:lastRenderedPageBreak/>
        <w:t xml:space="preserve">of disclosure obligations and cannot exercise shareholder rights. The sanction under § 44 </w:t>
      </w:r>
      <w:proofErr w:type="spellStart"/>
      <w:r w:rsidRPr="002121A4">
        <w:rPr>
          <w:sz w:val="19"/>
          <w:szCs w:val="19"/>
          <w:lang w:val="en-GB"/>
        </w:rPr>
        <w:t>WpHG</w:t>
      </w:r>
      <w:proofErr w:type="spellEnd"/>
      <w:r w:rsidRPr="002121A4">
        <w:rPr>
          <w:sz w:val="19"/>
          <w:szCs w:val="19"/>
          <w:lang w:val="en-GB"/>
        </w:rPr>
        <w:t xml:space="preserve"> cannot be circumvented either by internal transfers within the same group of </w:t>
      </w:r>
      <w:r w:rsidR="00925782">
        <w:rPr>
          <w:sz w:val="19"/>
          <w:szCs w:val="19"/>
          <w:lang w:val="en-GB"/>
        </w:rPr>
        <w:t xml:space="preserve">(controlled) </w:t>
      </w:r>
      <w:r w:rsidRPr="002121A4">
        <w:rPr>
          <w:sz w:val="19"/>
          <w:szCs w:val="19"/>
          <w:lang w:val="en-GB"/>
        </w:rPr>
        <w:t>companies.</w:t>
      </w:r>
    </w:p>
    <w:p w14:paraId="05A58B8D" w14:textId="5D179535" w:rsidR="00956EF4" w:rsidRPr="002121A4" w:rsidRDefault="00956EF4"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_Ref163124021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_Ref163124021 \h </w:instrText>
      </w:r>
      <w:r w:rsidRPr="002121A4">
        <w:rPr>
          <w:b/>
          <w:sz w:val="19"/>
          <w:szCs w:val="19"/>
          <w:lang w:val="en-GB"/>
        </w:rPr>
      </w:r>
      <w:r w:rsidRPr="002121A4">
        <w:rPr>
          <w:b/>
          <w:sz w:val="19"/>
          <w:szCs w:val="19"/>
          <w:lang w:val="en-GB"/>
        </w:rPr>
        <w:fldChar w:fldCharType="separate"/>
      </w:r>
      <w:r w:rsidR="00D56145">
        <w:rPr>
          <w:b/>
          <w:noProof/>
          <w:sz w:val="19"/>
          <w:szCs w:val="19"/>
          <w:lang w:val="en-GB"/>
        </w:rPr>
        <w:t>60</w:t>
      </w:r>
      <w:r w:rsidRPr="002121A4">
        <w:rPr>
          <w:b/>
          <w:sz w:val="19"/>
          <w:szCs w:val="19"/>
          <w:lang w:val="en-GB"/>
        </w:rPr>
        <w:fldChar w:fldCharType="end"/>
      </w:r>
      <w:r w:rsidRPr="002121A4">
        <w:rPr>
          <w:b/>
          <w:sz w:val="19"/>
          <w:szCs w:val="19"/>
          <w:lang w:val="en-GB"/>
        </w:rPr>
        <w:t>).</w:t>
      </w:r>
      <w:r w:rsidRPr="002121A4">
        <w:rPr>
          <w:sz w:val="19"/>
          <w:szCs w:val="19"/>
          <w:lang w:val="en-GB"/>
        </w:rPr>
        <w:t xml:space="preserve"> § 34(1) no. 2 </w:t>
      </w:r>
      <w:proofErr w:type="spellStart"/>
      <w:r w:rsidRPr="002121A4">
        <w:rPr>
          <w:sz w:val="19"/>
          <w:szCs w:val="19"/>
          <w:lang w:val="en-GB"/>
        </w:rPr>
        <w:t>WpHG</w:t>
      </w:r>
      <w:proofErr w:type="spellEnd"/>
      <w:r w:rsidRPr="002121A4">
        <w:rPr>
          <w:sz w:val="19"/>
          <w:szCs w:val="19"/>
          <w:lang w:val="en-GB"/>
        </w:rPr>
        <w:t xml:space="preserve"> creates, at least potentially, a double disclosure obligations for both a trustee </w:t>
      </w:r>
      <w:r w:rsidR="004372F6">
        <w:rPr>
          <w:sz w:val="19"/>
          <w:szCs w:val="19"/>
          <w:lang w:val="en-GB"/>
        </w:rPr>
        <w:t xml:space="preserve">(who has to disclose as the legal owner pursuant to § 33(1) </w:t>
      </w:r>
      <w:proofErr w:type="spellStart"/>
      <w:r w:rsidR="004372F6">
        <w:rPr>
          <w:sz w:val="19"/>
          <w:szCs w:val="19"/>
          <w:lang w:val="en-GB"/>
        </w:rPr>
        <w:t>WpHG</w:t>
      </w:r>
      <w:proofErr w:type="spellEnd"/>
      <w:r w:rsidR="004372F6">
        <w:rPr>
          <w:sz w:val="19"/>
          <w:szCs w:val="19"/>
          <w:lang w:val="en-GB"/>
        </w:rPr>
        <w:t xml:space="preserve">) </w:t>
      </w:r>
      <w:r w:rsidRPr="002121A4">
        <w:rPr>
          <w:sz w:val="19"/>
          <w:szCs w:val="19"/>
          <w:lang w:val="en-GB"/>
        </w:rPr>
        <w:t>and the trust-giver</w:t>
      </w:r>
      <w:r w:rsidR="004372F6">
        <w:rPr>
          <w:sz w:val="19"/>
          <w:szCs w:val="19"/>
          <w:lang w:val="en-GB"/>
        </w:rPr>
        <w:t xml:space="preserve"> (who is captured by § 34(1) no. 2 </w:t>
      </w:r>
      <w:proofErr w:type="spellStart"/>
      <w:r w:rsidR="004372F6">
        <w:rPr>
          <w:sz w:val="19"/>
          <w:szCs w:val="19"/>
          <w:lang w:val="en-GB"/>
        </w:rPr>
        <w:t>WpHG</w:t>
      </w:r>
      <w:proofErr w:type="spellEnd"/>
      <w:r w:rsidR="004372F6">
        <w:rPr>
          <w:sz w:val="19"/>
          <w:szCs w:val="19"/>
          <w:lang w:val="en-GB"/>
        </w:rPr>
        <w:t>)</w:t>
      </w:r>
      <w:r w:rsidRPr="002121A4">
        <w:rPr>
          <w:sz w:val="19"/>
          <w:szCs w:val="19"/>
          <w:lang w:val="en-GB"/>
        </w:rPr>
        <w:t xml:space="preserve">. However, the position held by T in trust does not exceed the disclosable threshold. § 34(2) </w:t>
      </w:r>
      <w:proofErr w:type="spellStart"/>
      <w:r w:rsidRPr="002121A4">
        <w:rPr>
          <w:sz w:val="19"/>
          <w:szCs w:val="19"/>
          <w:lang w:val="en-GB"/>
        </w:rPr>
        <w:t>WpHG</w:t>
      </w:r>
      <w:proofErr w:type="spellEnd"/>
      <w:r w:rsidRPr="002121A4">
        <w:rPr>
          <w:sz w:val="19"/>
          <w:szCs w:val="19"/>
          <w:lang w:val="en-GB"/>
        </w:rPr>
        <w:t xml:space="preserve"> creates a disclosure obligation for investors acting in concert by aggregating their positions. However, the acting in concert provisions only apply to the shareholders who are party to the acting in concert </w:t>
      </w:r>
      <w:r w:rsidR="005C3403">
        <w:rPr>
          <w:sz w:val="19"/>
          <w:szCs w:val="19"/>
          <w:lang w:val="en-GB"/>
        </w:rPr>
        <w:t>arrangement,</w:t>
      </w:r>
      <w:r w:rsidR="005C3403">
        <w:rPr>
          <w:rStyle w:val="Funotenzeichen"/>
          <w:sz w:val="19"/>
          <w:szCs w:val="19"/>
          <w:lang w:val="en-GB"/>
        </w:rPr>
        <w:footnoteReference w:id="409"/>
      </w:r>
      <w:r w:rsidR="005C3403">
        <w:rPr>
          <w:sz w:val="19"/>
          <w:szCs w:val="19"/>
          <w:lang w:val="en-GB"/>
        </w:rPr>
        <w:t xml:space="preserve"> </w:t>
      </w:r>
      <w:r w:rsidRPr="002121A4">
        <w:rPr>
          <w:sz w:val="19"/>
          <w:szCs w:val="19"/>
          <w:lang w:val="en-GB"/>
        </w:rPr>
        <w:t>i.e.,</w:t>
      </w:r>
      <w:r w:rsidR="005C3403">
        <w:rPr>
          <w:sz w:val="19"/>
          <w:szCs w:val="19"/>
          <w:lang w:val="en-GB"/>
        </w:rPr>
        <w:t xml:space="preserve"> in the present case,</w:t>
      </w:r>
      <w:r w:rsidRPr="002121A4">
        <w:rPr>
          <w:sz w:val="19"/>
          <w:szCs w:val="19"/>
          <w:lang w:val="en-GB"/>
        </w:rPr>
        <w:t xml:space="preserve"> S1, S2 and S3</w:t>
      </w:r>
      <w:r w:rsidR="005C3403">
        <w:rPr>
          <w:sz w:val="19"/>
          <w:szCs w:val="19"/>
          <w:lang w:val="en-GB"/>
        </w:rPr>
        <w:t>.</w:t>
      </w:r>
      <w:r w:rsidR="00406F1A">
        <w:rPr>
          <w:sz w:val="19"/>
          <w:szCs w:val="19"/>
          <w:lang w:val="en-GB"/>
        </w:rPr>
        <w:t xml:space="preserve"> This approach is justified by the wording of § 34(2) and considerations of legal certainty.</w:t>
      </w:r>
      <w:r w:rsidR="00406F1A">
        <w:rPr>
          <w:rStyle w:val="Funotenzeichen"/>
          <w:sz w:val="19"/>
          <w:szCs w:val="19"/>
          <w:lang w:val="en-GB"/>
        </w:rPr>
        <w:footnoteReference w:id="410"/>
      </w:r>
      <w:r w:rsidR="00406F1A">
        <w:rPr>
          <w:sz w:val="19"/>
          <w:szCs w:val="19"/>
          <w:lang w:val="en-GB"/>
        </w:rPr>
        <w:t xml:space="preserve"> Also, the purpose of §§ 33ff. </w:t>
      </w:r>
      <w:proofErr w:type="spellStart"/>
      <w:r w:rsidR="00406F1A">
        <w:rPr>
          <w:sz w:val="19"/>
          <w:szCs w:val="19"/>
          <w:lang w:val="en-GB"/>
        </w:rPr>
        <w:t>WpHG</w:t>
      </w:r>
      <w:proofErr w:type="spellEnd"/>
      <w:r w:rsidR="00406F1A">
        <w:rPr>
          <w:sz w:val="19"/>
          <w:szCs w:val="19"/>
          <w:lang w:val="en-GB"/>
        </w:rPr>
        <w:t xml:space="preserve"> is to create market transparency as to material aspects of the ownership structure, for which disclosure by the parties acting in concert is sufficient.</w:t>
      </w:r>
      <w:r w:rsidR="00406F1A">
        <w:rPr>
          <w:rStyle w:val="Funotenzeichen"/>
          <w:sz w:val="19"/>
          <w:szCs w:val="19"/>
          <w:lang w:val="en-GB"/>
        </w:rPr>
        <w:footnoteReference w:id="411"/>
      </w:r>
    </w:p>
    <w:p w14:paraId="79997B28" w14:textId="05D6B32B" w:rsidR="00956EF4" w:rsidRPr="002121A4" w:rsidRDefault="00956EF4"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_Ref163124023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_Ref163124023 \h </w:instrText>
      </w:r>
      <w:r w:rsidRPr="002121A4">
        <w:rPr>
          <w:b/>
          <w:sz w:val="19"/>
          <w:szCs w:val="19"/>
          <w:lang w:val="en-GB"/>
        </w:rPr>
      </w:r>
      <w:r w:rsidRPr="002121A4">
        <w:rPr>
          <w:b/>
          <w:sz w:val="19"/>
          <w:szCs w:val="19"/>
          <w:lang w:val="en-GB"/>
        </w:rPr>
        <w:fldChar w:fldCharType="separate"/>
      </w:r>
      <w:r w:rsidR="00D56145">
        <w:rPr>
          <w:b/>
          <w:noProof/>
          <w:sz w:val="19"/>
          <w:szCs w:val="19"/>
          <w:lang w:val="en-GB"/>
        </w:rPr>
        <w:t>61</w:t>
      </w:r>
      <w:r w:rsidRPr="002121A4">
        <w:rPr>
          <w:b/>
          <w:sz w:val="19"/>
          <w:szCs w:val="19"/>
          <w:lang w:val="en-GB"/>
        </w:rPr>
        <w:fldChar w:fldCharType="end"/>
      </w:r>
      <w:r w:rsidRPr="002121A4">
        <w:rPr>
          <w:b/>
          <w:sz w:val="19"/>
          <w:szCs w:val="19"/>
          <w:lang w:val="en-GB"/>
        </w:rPr>
        <w:t>).</w:t>
      </w:r>
      <w:r w:rsidRPr="002121A4">
        <w:rPr>
          <w:sz w:val="19"/>
          <w:szCs w:val="19"/>
          <w:lang w:val="en-GB"/>
        </w:rPr>
        <w:t xml:space="preserve"> The solution depends on whether the coordination between S1 and S2 amounts to acting in concert. However, in this case, none of the two scenarios contemplated in § 34(2) </w:t>
      </w:r>
      <w:proofErr w:type="spellStart"/>
      <w:r w:rsidRPr="002121A4">
        <w:rPr>
          <w:sz w:val="19"/>
          <w:szCs w:val="19"/>
          <w:lang w:val="en-GB"/>
        </w:rPr>
        <w:t>WpHG</w:t>
      </w:r>
      <w:proofErr w:type="spellEnd"/>
      <w:r w:rsidRPr="002121A4">
        <w:rPr>
          <w:sz w:val="19"/>
          <w:szCs w:val="19"/>
          <w:lang w:val="en-GB"/>
        </w:rPr>
        <w:t xml:space="preserve"> exists: The objective to have an existing strategy applied is not a </w:t>
      </w:r>
      <w:r w:rsidR="00B2254C">
        <w:rPr>
          <w:sz w:val="19"/>
          <w:szCs w:val="19"/>
          <w:lang w:val="en-GB"/>
        </w:rPr>
        <w:t>“</w:t>
      </w:r>
      <w:r w:rsidRPr="00B2254C">
        <w:rPr>
          <w:i/>
          <w:sz w:val="19"/>
          <w:szCs w:val="19"/>
          <w:lang w:val="en-GB"/>
        </w:rPr>
        <w:t>change</w:t>
      </w:r>
      <w:r w:rsidRPr="002121A4">
        <w:rPr>
          <w:sz w:val="19"/>
          <w:szCs w:val="19"/>
          <w:lang w:val="en-GB"/>
        </w:rPr>
        <w:t xml:space="preserve"> in strategy</w:t>
      </w:r>
      <w:r w:rsidR="00B2254C">
        <w:rPr>
          <w:sz w:val="19"/>
          <w:szCs w:val="19"/>
          <w:lang w:val="en-GB"/>
        </w:rPr>
        <w:t>”</w:t>
      </w:r>
      <w:r w:rsidRPr="002121A4">
        <w:rPr>
          <w:sz w:val="19"/>
          <w:szCs w:val="19"/>
          <w:lang w:val="en-GB"/>
        </w:rPr>
        <w:t xml:space="preserve"> </w:t>
      </w:r>
      <w:r w:rsidR="00242FF7">
        <w:rPr>
          <w:sz w:val="19"/>
          <w:szCs w:val="19"/>
          <w:lang w:val="en-GB"/>
        </w:rPr>
        <w:t>within the meaning of § </w:t>
      </w:r>
      <w:r w:rsidRPr="002121A4">
        <w:rPr>
          <w:sz w:val="19"/>
          <w:szCs w:val="19"/>
          <w:lang w:val="en-GB"/>
        </w:rPr>
        <w:t>34(2), 2</w:t>
      </w:r>
      <w:r w:rsidRPr="00242FF7">
        <w:rPr>
          <w:sz w:val="19"/>
          <w:szCs w:val="19"/>
          <w:vertAlign w:val="superscript"/>
          <w:lang w:val="en-GB"/>
        </w:rPr>
        <w:t>nd</w:t>
      </w:r>
      <w:r w:rsidRPr="002121A4">
        <w:rPr>
          <w:sz w:val="19"/>
          <w:szCs w:val="19"/>
          <w:lang w:val="en-GB"/>
        </w:rPr>
        <w:t xml:space="preserve"> sentence, 2</w:t>
      </w:r>
      <w:r w:rsidRPr="00242FF7">
        <w:rPr>
          <w:sz w:val="19"/>
          <w:szCs w:val="19"/>
          <w:vertAlign w:val="superscript"/>
          <w:lang w:val="en-GB"/>
        </w:rPr>
        <w:t>nd</w:t>
      </w:r>
      <w:r w:rsidRPr="002121A4">
        <w:rPr>
          <w:sz w:val="19"/>
          <w:szCs w:val="19"/>
          <w:lang w:val="en-GB"/>
        </w:rPr>
        <w:t xml:space="preserve"> option</w:t>
      </w:r>
      <w:r w:rsidR="00B2254C">
        <w:rPr>
          <w:sz w:val="19"/>
          <w:szCs w:val="19"/>
          <w:lang w:val="en-GB"/>
        </w:rPr>
        <w:t>.</w:t>
      </w:r>
      <w:r w:rsidR="00B2254C">
        <w:rPr>
          <w:rStyle w:val="Funotenzeichen"/>
          <w:sz w:val="19"/>
          <w:szCs w:val="19"/>
          <w:lang w:val="en-GB"/>
        </w:rPr>
        <w:footnoteReference w:id="412"/>
      </w:r>
      <w:r w:rsidRPr="002121A4">
        <w:rPr>
          <w:sz w:val="19"/>
          <w:szCs w:val="19"/>
          <w:lang w:val="en-GB"/>
        </w:rPr>
        <w:t xml:space="preserve"> </w:t>
      </w:r>
      <w:r w:rsidR="00B2254C">
        <w:rPr>
          <w:sz w:val="19"/>
          <w:szCs w:val="19"/>
          <w:lang w:val="en-GB"/>
        </w:rPr>
        <w:t>W</w:t>
      </w:r>
      <w:r w:rsidRPr="002121A4">
        <w:rPr>
          <w:sz w:val="19"/>
          <w:szCs w:val="19"/>
          <w:lang w:val="en-GB"/>
        </w:rPr>
        <w:t>hile there is an agreement on the exercise in voting rights</w:t>
      </w:r>
      <w:r w:rsidR="00242FF7">
        <w:rPr>
          <w:sz w:val="19"/>
          <w:szCs w:val="19"/>
          <w:lang w:val="en-GB"/>
        </w:rPr>
        <w:t xml:space="preserve"> (within the meaning of § 34(2), 2</w:t>
      </w:r>
      <w:r w:rsidR="00242FF7" w:rsidRPr="00242FF7">
        <w:rPr>
          <w:sz w:val="19"/>
          <w:szCs w:val="19"/>
          <w:vertAlign w:val="superscript"/>
          <w:lang w:val="en-GB"/>
        </w:rPr>
        <w:t>nd</w:t>
      </w:r>
      <w:r w:rsidR="00242FF7">
        <w:rPr>
          <w:sz w:val="19"/>
          <w:szCs w:val="19"/>
          <w:lang w:val="en-GB"/>
        </w:rPr>
        <w:t xml:space="preserve"> sentence, 1</w:t>
      </w:r>
      <w:r w:rsidR="00242FF7" w:rsidRPr="00242FF7">
        <w:rPr>
          <w:sz w:val="19"/>
          <w:szCs w:val="19"/>
          <w:vertAlign w:val="superscript"/>
          <w:lang w:val="en-GB"/>
        </w:rPr>
        <w:t>st</w:t>
      </w:r>
      <w:r w:rsidR="00242FF7">
        <w:rPr>
          <w:sz w:val="19"/>
          <w:szCs w:val="19"/>
          <w:lang w:val="en-GB"/>
        </w:rPr>
        <w:t xml:space="preserve"> option)</w:t>
      </w:r>
      <w:r w:rsidRPr="002121A4">
        <w:rPr>
          <w:sz w:val="19"/>
          <w:szCs w:val="19"/>
          <w:lang w:val="en-GB"/>
        </w:rPr>
        <w:t>, there is an exception under § 34(2) 1</w:t>
      </w:r>
      <w:r w:rsidRPr="00B2254C">
        <w:rPr>
          <w:sz w:val="19"/>
          <w:szCs w:val="19"/>
          <w:vertAlign w:val="superscript"/>
          <w:lang w:val="en-GB"/>
        </w:rPr>
        <w:t>st</w:t>
      </w:r>
      <w:r w:rsidRPr="002121A4">
        <w:rPr>
          <w:sz w:val="19"/>
          <w:szCs w:val="19"/>
          <w:lang w:val="en-GB"/>
        </w:rPr>
        <w:t xml:space="preserve"> sentence for an agreement in a “single instance”. This is applied in a formal way, i.e., it exists whenever shareholders co-operate on one single occasion, whatever the importance of that co-ordination.</w:t>
      </w:r>
      <w:r w:rsidR="00446B53">
        <w:rPr>
          <w:rStyle w:val="Funotenzeichen"/>
          <w:sz w:val="19"/>
          <w:szCs w:val="19"/>
          <w:lang w:val="en-GB"/>
        </w:rPr>
        <w:footnoteReference w:id="413"/>
      </w:r>
      <w:r w:rsidR="00446B53">
        <w:rPr>
          <w:sz w:val="19"/>
          <w:szCs w:val="19"/>
          <w:lang w:val="en-GB"/>
        </w:rPr>
        <w:t xml:space="preserve"> The formal approach is justified by considerations of legal certainty, and also by the fact that the purpose of §§ 33ff. </w:t>
      </w:r>
      <w:proofErr w:type="spellStart"/>
      <w:r w:rsidR="00446B53">
        <w:rPr>
          <w:sz w:val="19"/>
          <w:szCs w:val="19"/>
          <w:lang w:val="en-GB"/>
        </w:rPr>
        <w:t>WpHG</w:t>
      </w:r>
      <w:proofErr w:type="spellEnd"/>
      <w:r w:rsidR="00446B53">
        <w:rPr>
          <w:sz w:val="19"/>
          <w:szCs w:val="19"/>
          <w:lang w:val="en-GB"/>
        </w:rPr>
        <w:t xml:space="preserve"> is to create transparency in the market as regards </w:t>
      </w:r>
      <w:proofErr w:type="spellStart"/>
      <w:r w:rsidR="00446B53">
        <w:rPr>
          <w:sz w:val="19"/>
          <w:szCs w:val="19"/>
          <w:lang w:val="en-GB"/>
        </w:rPr>
        <w:t>continous</w:t>
      </w:r>
      <w:proofErr w:type="spellEnd"/>
      <w:r w:rsidR="00446B53">
        <w:rPr>
          <w:sz w:val="19"/>
          <w:szCs w:val="19"/>
          <w:lang w:val="en-GB"/>
        </w:rPr>
        <w:t xml:space="preserve"> influence of certain shareholders in a particular issuers (as opposed to constantly changing scenarios).</w:t>
      </w:r>
      <w:r w:rsidR="00446B53">
        <w:rPr>
          <w:rStyle w:val="Funotenzeichen"/>
          <w:sz w:val="19"/>
          <w:szCs w:val="19"/>
          <w:lang w:val="en-GB"/>
        </w:rPr>
        <w:footnoteReference w:id="414"/>
      </w:r>
    </w:p>
    <w:p w14:paraId="10561439" w14:textId="2FFBD0D4" w:rsidR="009D6F9A" w:rsidRPr="002121A4" w:rsidRDefault="009D6F9A"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_Ref163124094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39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_Ref163124094 \h </w:instrText>
      </w:r>
      <w:r w:rsidRPr="002121A4">
        <w:rPr>
          <w:b/>
          <w:sz w:val="19"/>
          <w:szCs w:val="19"/>
          <w:lang w:val="en-GB"/>
        </w:rPr>
      </w:r>
      <w:r w:rsidRPr="002121A4">
        <w:rPr>
          <w:b/>
          <w:sz w:val="19"/>
          <w:szCs w:val="19"/>
          <w:lang w:val="en-GB"/>
        </w:rPr>
        <w:fldChar w:fldCharType="separate"/>
      </w:r>
      <w:r w:rsidR="00D56145">
        <w:rPr>
          <w:b/>
          <w:noProof/>
          <w:sz w:val="19"/>
          <w:szCs w:val="19"/>
          <w:lang w:val="en-GB"/>
        </w:rPr>
        <w:t>61</w:t>
      </w:r>
      <w:r w:rsidRPr="002121A4">
        <w:rPr>
          <w:b/>
          <w:sz w:val="19"/>
          <w:szCs w:val="19"/>
          <w:lang w:val="en-GB"/>
        </w:rPr>
        <w:fldChar w:fldCharType="end"/>
      </w:r>
      <w:r w:rsidRPr="002121A4">
        <w:rPr>
          <w:b/>
          <w:sz w:val="19"/>
          <w:szCs w:val="19"/>
          <w:lang w:val="en-GB"/>
        </w:rPr>
        <w:t>).</w:t>
      </w:r>
      <w:r w:rsidRPr="002121A4">
        <w:rPr>
          <w:sz w:val="19"/>
          <w:szCs w:val="19"/>
          <w:lang w:val="en-GB"/>
        </w:rPr>
        <w:t xml:space="preserve"> This case is not disclosable under § 33 </w:t>
      </w:r>
      <w:proofErr w:type="spellStart"/>
      <w:r w:rsidRPr="002121A4">
        <w:rPr>
          <w:sz w:val="19"/>
          <w:szCs w:val="19"/>
          <w:lang w:val="en-GB"/>
        </w:rPr>
        <w:t>WpHG</w:t>
      </w:r>
      <w:proofErr w:type="spellEnd"/>
      <w:r w:rsidRPr="002121A4">
        <w:rPr>
          <w:sz w:val="19"/>
          <w:szCs w:val="19"/>
          <w:lang w:val="en-GB"/>
        </w:rPr>
        <w:t xml:space="preserve"> as options are not shares within the meaning of that provision. The options do qualify as financial instruments captured under § 38, § 2(4) </w:t>
      </w:r>
      <w:proofErr w:type="spellStart"/>
      <w:r w:rsidRPr="002121A4">
        <w:rPr>
          <w:sz w:val="19"/>
          <w:szCs w:val="19"/>
          <w:lang w:val="en-GB"/>
        </w:rPr>
        <w:t>WpHG</w:t>
      </w:r>
      <w:proofErr w:type="spellEnd"/>
      <w:r w:rsidRPr="002121A4">
        <w:rPr>
          <w:sz w:val="19"/>
          <w:szCs w:val="19"/>
          <w:lang w:val="en-GB"/>
        </w:rPr>
        <w:t>, but the relevant threshold for such instruments starts at 5%. Accordingly, I would only have to disclose if he converts the options into physical shares, or if he acquires another 1% in instruments. Details for disclosure (</w:t>
      </w:r>
      <w:r w:rsidR="00EB2355" w:rsidRPr="002121A4">
        <w:rPr>
          <w:sz w:val="19"/>
          <w:szCs w:val="19"/>
          <w:lang w:val="en-GB"/>
        </w:rPr>
        <w:t>manner</w:t>
      </w:r>
      <w:r w:rsidRPr="002121A4">
        <w:rPr>
          <w:sz w:val="19"/>
          <w:szCs w:val="19"/>
          <w:lang w:val="en-GB"/>
        </w:rPr>
        <w:t xml:space="preserve">, time limit) are governed by § 15 </w:t>
      </w:r>
      <w:proofErr w:type="spellStart"/>
      <w:r w:rsidRPr="002121A4">
        <w:rPr>
          <w:sz w:val="19"/>
          <w:szCs w:val="19"/>
          <w:lang w:val="en-GB"/>
        </w:rPr>
        <w:t>WpAV</w:t>
      </w:r>
      <w:proofErr w:type="spellEnd"/>
      <w:r w:rsidRPr="002121A4">
        <w:rPr>
          <w:sz w:val="19"/>
          <w:szCs w:val="19"/>
          <w:lang w:val="en-GB"/>
        </w:rPr>
        <w:t xml:space="preserve"> and § 33(1) </w:t>
      </w:r>
      <w:proofErr w:type="spellStart"/>
      <w:r w:rsidRPr="002121A4">
        <w:rPr>
          <w:sz w:val="19"/>
          <w:szCs w:val="19"/>
          <w:lang w:val="en-GB"/>
        </w:rPr>
        <w:t>WpHG</w:t>
      </w:r>
      <w:proofErr w:type="spellEnd"/>
      <w:r w:rsidRPr="002121A4">
        <w:rPr>
          <w:sz w:val="19"/>
          <w:szCs w:val="19"/>
          <w:lang w:val="en-GB"/>
        </w:rPr>
        <w:t>.</w:t>
      </w:r>
    </w:p>
    <w:p w14:paraId="2177F0BD" w14:textId="7BD6775E" w:rsidR="009D6F9A" w:rsidRPr="002121A4" w:rsidRDefault="009D6F9A"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_Ref163124096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_Ref163124096 \h </w:instrText>
      </w:r>
      <w:r w:rsidRPr="002121A4">
        <w:rPr>
          <w:b/>
          <w:sz w:val="19"/>
          <w:szCs w:val="19"/>
          <w:lang w:val="en-GB"/>
        </w:rPr>
      </w:r>
      <w:r w:rsidRPr="002121A4">
        <w:rPr>
          <w:b/>
          <w:sz w:val="19"/>
          <w:szCs w:val="19"/>
          <w:lang w:val="en-GB"/>
        </w:rPr>
        <w:fldChar w:fldCharType="separate"/>
      </w:r>
      <w:r w:rsidR="00D56145">
        <w:rPr>
          <w:b/>
          <w:noProof/>
          <w:sz w:val="19"/>
          <w:szCs w:val="19"/>
          <w:lang w:val="en-GB"/>
        </w:rPr>
        <w:t>61</w:t>
      </w:r>
      <w:r w:rsidRPr="002121A4">
        <w:rPr>
          <w:b/>
          <w:sz w:val="19"/>
          <w:szCs w:val="19"/>
          <w:lang w:val="en-GB"/>
        </w:rPr>
        <w:fldChar w:fldCharType="end"/>
      </w:r>
      <w:r w:rsidRPr="002121A4">
        <w:rPr>
          <w:b/>
          <w:sz w:val="19"/>
          <w:szCs w:val="19"/>
          <w:lang w:val="en-GB"/>
        </w:rPr>
        <w:t xml:space="preserve">). </w:t>
      </w:r>
      <w:r w:rsidRPr="002121A4">
        <w:rPr>
          <w:sz w:val="19"/>
          <w:szCs w:val="19"/>
          <w:lang w:val="en-GB"/>
        </w:rPr>
        <w:t xml:space="preserve">The assessment depends on whether C qualifies as a company controlled by the P as the parent company: in this case, P’s disclosure would be sufficient (§ 37(1) </w:t>
      </w:r>
      <w:proofErr w:type="spellStart"/>
      <w:r w:rsidRPr="002121A4">
        <w:rPr>
          <w:sz w:val="19"/>
          <w:szCs w:val="19"/>
          <w:lang w:val="en-GB"/>
        </w:rPr>
        <w:t>WpHG</w:t>
      </w:r>
      <w:proofErr w:type="spellEnd"/>
      <w:r w:rsidRPr="002121A4">
        <w:rPr>
          <w:sz w:val="19"/>
          <w:szCs w:val="19"/>
          <w:lang w:val="en-GB"/>
        </w:rPr>
        <w:t xml:space="preserve">). The definition under § 35(1) no. 1 </w:t>
      </w:r>
      <w:proofErr w:type="spellStart"/>
      <w:r w:rsidRPr="002121A4">
        <w:rPr>
          <w:sz w:val="19"/>
          <w:szCs w:val="19"/>
          <w:lang w:val="en-GB"/>
        </w:rPr>
        <w:t>WpHG</w:t>
      </w:r>
      <w:proofErr w:type="spellEnd"/>
      <w:r w:rsidRPr="002121A4">
        <w:rPr>
          <w:sz w:val="19"/>
          <w:szCs w:val="19"/>
          <w:lang w:val="en-GB"/>
        </w:rPr>
        <w:t xml:space="preserve"> refers to § 290 HGB. Pursuant to § 290(1) no. 1 HGB, owning a majority in voting rights creates “control” over the target. In the view of the BGH, this applies irrespectively of whether the voting rights can actually be exercised, and therefore, regardless of contractual arrangements </w:t>
      </w:r>
      <w:r w:rsidR="002857E8">
        <w:rPr>
          <w:sz w:val="19"/>
          <w:szCs w:val="19"/>
          <w:lang w:val="en-GB"/>
        </w:rPr>
        <w:t>limiting the exercise of voting rights.</w:t>
      </w:r>
      <w:r w:rsidR="002857E8">
        <w:rPr>
          <w:rStyle w:val="Funotenzeichen"/>
          <w:sz w:val="19"/>
          <w:szCs w:val="19"/>
          <w:lang w:val="en-GB"/>
        </w:rPr>
        <w:footnoteReference w:id="415"/>
      </w:r>
      <w:r w:rsidRPr="002121A4">
        <w:rPr>
          <w:sz w:val="19"/>
          <w:szCs w:val="19"/>
          <w:lang w:val="en-GB"/>
        </w:rPr>
        <w:t xml:space="preserve"> it is not possible to “disclaim” a control relationship where it exists.</w:t>
      </w:r>
    </w:p>
    <w:p w14:paraId="4103E892" w14:textId="43337FC7" w:rsidR="009D6F9A"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_Ref163124168 \r \h </w:instrText>
      </w:r>
      <w:r w:rsidRPr="002121A4">
        <w:rPr>
          <w:b/>
          <w:sz w:val="19"/>
          <w:szCs w:val="19"/>
          <w:lang w:val="en-GB"/>
        </w:rPr>
      </w:r>
      <w:r w:rsidRPr="002121A4">
        <w:rPr>
          <w:b/>
          <w:sz w:val="19"/>
          <w:szCs w:val="19"/>
          <w:lang w:val="en-GB"/>
        </w:rPr>
        <w:fldChar w:fldCharType="separate"/>
      </w:r>
      <w:r w:rsidR="00D56145">
        <w:rPr>
          <w:b/>
          <w:sz w:val="19"/>
          <w:szCs w:val="19"/>
          <w:lang w:val="en-GB"/>
        </w:rPr>
        <w:t>Case Study 41</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_Ref163124168 \h </w:instrText>
      </w:r>
      <w:r w:rsidRPr="002121A4">
        <w:rPr>
          <w:b/>
          <w:sz w:val="19"/>
          <w:szCs w:val="19"/>
          <w:lang w:val="en-GB"/>
        </w:rPr>
      </w:r>
      <w:r w:rsidRPr="002121A4">
        <w:rPr>
          <w:b/>
          <w:sz w:val="19"/>
          <w:szCs w:val="19"/>
          <w:lang w:val="en-GB"/>
        </w:rPr>
        <w:fldChar w:fldCharType="separate"/>
      </w:r>
      <w:r w:rsidR="00D56145">
        <w:rPr>
          <w:b/>
          <w:noProof/>
          <w:sz w:val="19"/>
          <w:szCs w:val="19"/>
          <w:lang w:val="en-GB"/>
        </w:rPr>
        <w:t>62</w:t>
      </w:r>
      <w:r w:rsidRPr="002121A4">
        <w:rPr>
          <w:b/>
          <w:sz w:val="19"/>
          <w:szCs w:val="19"/>
          <w:lang w:val="en-GB"/>
        </w:rPr>
        <w:fldChar w:fldCharType="end"/>
      </w:r>
      <w:r w:rsidRPr="002121A4">
        <w:rPr>
          <w:b/>
          <w:sz w:val="19"/>
          <w:szCs w:val="19"/>
          <w:lang w:val="en-GB"/>
        </w:rPr>
        <w:t>).</w:t>
      </w:r>
      <w:r w:rsidRPr="002121A4">
        <w:rPr>
          <w:sz w:val="19"/>
          <w:szCs w:val="19"/>
          <w:lang w:val="en-GB"/>
        </w:rPr>
        <w:t xml:space="preserve"> The background for the arrangement between the shareholders is the majority requirement under § 179(2) </w:t>
      </w:r>
      <w:proofErr w:type="spellStart"/>
      <w:r w:rsidRPr="002121A4">
        <w:rPr>
          <w:sz w:val="19"/>
          <w:szCs w:val="19"/>
          <w:lang w:val="en-GB"/>
        </w:rPr>
        <w:t>AktG</w:t>
      </w:r>
      <w:proofErr w:type="spellEnd"/>
      <w:r w:rsidRPr="002121A4">
        <w:rPr>
          <w:sz w:val="19"/>
          <w:szCs w:val="19"/>
          <w:lang w:val="en-GB"/>
        </w:rPr>
        <w:t xml:space="preserve"> (75%). As the arrangement provides only for co-ordinated exercise of voting rights on one single occasion, there is no </w:t>
      </w:r>
      <w:r w:rsidR="00EB2355" w:rsidRPr="002121A4">
        <w:rPr>
          <w:sz w:val="19"/>
          <w:szCs w:val="19"/>
          <w:lang w:val="en-GB"/>
        </w:rPr>
        <w:t>acting</w:t>
      </w:r>
      <w:r w:rsidRPr="002121A4">
        <w:rPr>
          <w:sz w:val="19"/>
          <w:szCs w:val="19"/>
          <w:lang w:val="en-GB"/>
        </w:rPr>
        <w:t xml:space="preserve"> in concert within the meaning of § 34(2) </w:t>
      </w:r>
      <w:proofErr w:type="spellStart"/>
      <w:r w:rsidRPr="002121A4">
        <w:rPr>
          <w:sz w:val="19"/>
          <w:szCs w:val="19"/>
          <w:lang w:val="en-GB"/>
        </w:rPr>
        <w:t>WpHG</w:t>
      </w:r>
      <w:proofErr w:type="spellEnd"/>
      <w:r w:rsidRPr="002121A4">
        <w:rPr>
          <w:sz w:val="19"/>
          <w:szCs w:val="19"/>
          <w:lang w:val="en-GB"/>
        </w:rPr>
        <w:t xml:space="preserve">. However, C’s acquisition brings C across the 10% threshold, triggering disclosure obligations under §§ 33, 43 </w:t>
      </w:r>
      <w:proofErr w:type="spellStart"/>
      <w:r w:rsidRPr="002121A4">
        <w:rPr>
          <w:sz w:val="19"/>
          <w:szCs w:val="19"/>
          <w:lang w:val="en-GB"/>
        </w:rPr>
        <w:t>WpHG</w:t>
      </w:r>
      <w:proofErr w:type="spellEnd"/>
      <w:r w:rsidRPr="002121A4">
        <w:rPr>
          <w:sz w:val="19"/>
          <w:szCs w:val="19"/>
          <w:lang w:val="en-GB"/>
        </w:rPr>
        <w:t xml:space="preserve">. The breach of § 33 </w:t>
      </w:r>
      <w:proofErr w:type="spellStart"/>
      <w:r w:rsidRPr="002121A4">
        <w:rPr>
          <w:sz w:val="19"/>
          <w:szCs w:val="19"/>
          <w:lang w:val="en-GB"/>
        </w:rPr>
        <w:t>WpHG</w:t>
      </w:r>
      <w:proofErr w:type="spellEnd"/>
      <w:r w:rsidRPr="002121A4">
        <w:rPr>
          <w:sz w:val="19"/>
          <w:szCs w:val="19"/>
          <w:lang w:val="en-GB"/>
        </w:rPr>
        <w:t xml:space="preserve"> suspends the exercise of voting rights by C, and given that the breach was intentional, a six-month-</w:t>
      </w:r>
      <w:r w:rsidR="00EB2355" w:rsidRPr="002121A4">
        <w:rPr>
          <w:sz w:val="19"/>
          <w:szCs w:val="19"/>
          <w:lang w:val="en-GB"/>
        </w:rPr>
        <w:t>restriction</w:t>
      </w:r>
      <w:r w:rsidRPr="002121A4">
        <w:rPr>
          <w:sz w:val="19"/>
          <w:szCs w:val="19"/>
          <w:lang w:val="en-GB"/>
        </w:rPr>
        <w:t xml:space="preserve"> applies after the breach is remedied. (§ 44 </w:t>
      </w:r>
      <w:proofErr w:type="spellStart"/>
      <w:r w:rsidRPr="002121A4">
        <w:rPr>
          <w:sz w:val="19"/>
          <w:szCs w:val="19"/>
          <w:lang w:val="en-GB"/>
        </w:rPr>
        <w:t>WpHG</w:t>
      </w:r>
      <w:proofErr w:type="spellEnd"/>
      <w:r w:rsidRPr="002121A4">
        <w:rPr>
          <w:sz w:val="19"/>
          <w:szCs w:val="19"/>
          <w:lang w:val="en-GB"/>
        </w:rPr>
        <w:t>).</w:t>
      </w:r>
    </w:p>
    <w:p w14:paraId="7F318051" w14:textId="552B6AB1" w:rsidR="00170B05"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_Ref163124219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42</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_Ref163124219 \h </w:instrText>
      </w:r>
      <w:r w:rsidRPr="002121A4">
        <w:rPr>
          <w:b/>
          <w:sz w:val="19"/>
          <w:szCs w:val="19"/>
          <w:lang w:val="en-GB"/>
        </w:rPr>
      </w:r>
      <w:r w:rsidRPr="002121A4">
        <w:rPr>
          <w:b/>
          <w:sz w:val="19"/>
          <w:szCs w:val="19"/>
          <w:lang w:val="en-GB"/>
        </w:rPr>
        <w:fldChar w:fldCharType="separate"/>
      </w:r>
      <w:r w:rsidR="00D56145">
        <w:rPr>
          <w:b/>
          <w:noProof/>
          <w:sz w:val="19"/>
          <w:szCs w:val="19"/>
          <w:lang w:val="en-GB"/>
        </w:rPr>
        <w:t>62</w:t>
      </w:r>
      <w:r w:rsidRPr="002121A4">
        <w:rPr>
          <w:b/>
          <w:sz w:val="19"/>
          <w:szCs w:val="19"/>
          <w:lang w:val="en-GB"/>
        </w:rPr>
        <w:fldChar w:fldCharType="end"/>
      </w:r>
      <w:r w:rsidRPr="002121A4">
        <w:rPr>
          <w:b/>
          <w:sz w:val="19"/>
          <w:szCs w:val="19"/>
          <w:lang w:val="en-GB"/>
        </w:rPr>
        <w:t>).</w:t>
      </w:r>
      <w:r w:rsidRPr="002121A4">
        <w:rPr>
          <w:sz w:val="19"/>
          <w:szCs w:val="19"/>
          <w:lang w:val="en-GB"/>
        </w:rPr>
        <w:t xml:space="preserve"> Current disclosure obligations for X AG are determined by stock company law and accounting law. In case of a “listing”, there are additional capital market disclosure obligations as regards financial reports (articles 4ff. TD), information on major shareholders (article 12(6) TD), information for holders of shares and bonds (articles 17, 18 TD), inside information (article 17 MAR), directors’ dealings (article 19 MAR), and prospectuses as required for public offerings and admission to trading on regulated markets (article 3 PR).</w:t>
      </w:r>
    </w:p>
    <w:p w14:paraId="336E4D52" w14:textId="724DC7F6" w:rsidR="00170B05" w:rsidRPr="002121A4" w:rsidRDefault="00170B05" w:rsidP="00956EF4">
      <w:pPr>
        <w:rPr>
          <w:sz w:val="19"/>
          <w:szCs w:val="19"/>
          <w:lang w:val="en-GB"/>
        </w:rPr>
      </w:pPr>
      <w:r w:rsidRPr="002121A4">
        <w:rPr>
          <w:b/>
          <w:sz w:val="19"/>
          <w:szCs w:val="19"/>
          <w:lang w:val="en-GB"/>
        </w:rPr>
        <w:lastRenderedPageBreak/>
        <w:fldChar w:fldCharType="begin"/>
      </w:r>
      <w:r w:rsidRPr="002121A4">
        <w:rPr>
          <w:b/>
          <w:sz w:val="19"/>
          <w:szCs w:val="19"/>
          <w:lang w:val="en-GB"/>
        </w:rPr>
        <w:instrText xml:space="preserve"> REF _Ref163124262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43</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_Ref163124262 \h </w:instrText>
      </w:r>
      <w:r w:rsidRPr="002121A4">
        <w:rPr>
          <w:b/>
          <w:sz w:val="19"/>
          <w:szCs w:val="19"/>
          <w:lang w:val="en-GB"/>
        </w:rPr>
      </w:r>
      <w:r w:rsidRPr="002121A4">
        <w:rPr>
          <w:b/>
          <w:sz w:val="19"/>
          <w:szCs w:val="19"/>
          <w:lang w:val="en-GB"/>
        </w:rPr>
        <w:fldChar w:fldCharType="separate"/>
      </w:r>
      <w:r w:rsidR="00D56145">
        <w:rPr>
          <w:b/>
          <w:noProof/>
          <w:sz w:val="19"/>
          <w:szCs w:val="19"/>
          <w:lang w:val="en-GB"/>
        </w:rPr>
        <w:t>66</w:t>
      </w:r>
      <w:r w:rsidRPr="002121A4">
        <w:rPr>
          <w:b/>
          <w:sz w:val="19"/>
          <w:szCs w:val="19"/>
          <w:lang w:val="en-GB"/>
        </w:rPr>
        <w:fldChar w:fldCharType="end"/>
      </w:r>
      <w:r w:rsidRPr="002121A4">
        <w:rPr>
          <w:b/>
          <w:sz w:val="19"/>
          <w:szCs w:val="19"/>
          <w:lang w:val="en-GB"/>
        </w:rPr>
        <w:t>).</w:t>
      </w:r>
      <w:r w:rsidRPr="002121A4">
        <w:rPr>
          <w:sz w:val="19"/>
          <w:szCs w:val="19"/>
          <w:lang w:val="en-GB"/>
        </w:rPr>
        <w:t xml:space="preserve"> The TBD aims at achieving a high level of predictability and legal certainty.</w:t>
      </w:r>
      <w:r w:rsidR="0014218F">
        <w:rPr>
          <w:rStyle w:val="Funotenzeichen"/>
          <w:sz w:val="19"/>
          <w:szCs w:val="19"/>
          <w:lang w:val="en-GB"/>
        </w:rPr>
        <w:footnoteReference w:id="416"/>
      </w:r>
      <w:r w:rsidRPr="002121A4">
        <w:rPr>
          <w:sz w:val="19"/>
          <w:szCs w:val="19"/>
          <w:lang w:val="en-GB"/>
        </w:rPr>
        <w:t xml:space="preserve"> Consequently, for the circumstances and criteria referred to in article 5(4) to be “clearly determined”, they must be formulated in a manner which renders the national rule easily applicable.</w:t>
      </w:r>
      <w:r w:rsidR="00C13C11">
        <w:rPr>
          <w:rStyle w:val="Funotenzeichen"/>
          <w:sz w:val="19"/>
          <w:szCs w:val="19"/>
          <w:lang w:val="en-GB"/>
        </w:rPr>
        <w:footnoteReference w:id="417"/>
      </w:r>
      <w:r w:rsidRPr="002121A4">
        <w:rPr>
          <w:sz w:val="19"/>
          <w:szCs w:val="19"/>
          <w:lang w:val="en-GB"/>
        </w:rPr>
        <w:t xml:space="preserve"> A reference to a “market price” with no further indication how this price is calculated cannot be considered to be “clearly determined” and is therefore incompatible with the TBD. The consequences of the incompatibility of domestic law with an EU Directive depend on general EU law principles. As EU law requires courts of Member States to interpret domestic law in compliance with a directive </w:t>
      </w:r>
      <w:r w:rsidR="00DB1B41">
        <w:rPr>
          <w:sz w:val="19"/>
          <w:szCs w:val="19"/>
          <w:lang w:val="en-GB"/>
        </w:rPr>
        <w:t xml:space="preserve">– the </w:t>
      </w:r>
      <w:r w:rsidRPr="002121A4">
        <w:rPr>
          <w:sz w:val="19"/>
          <w:szCs w:val="19"/>
          <w:lang w:val="en-GB"/>
        </w:rPr>
        <w:t>so-called “indirect effect”,</w:t>
      </w:r>
      <w:r w:rsidR="00DB1B41">
        <w:rPr>
          <w:rStyle w:val="Funotenzeichen"/>
          <w:sz w:val="19"/>
          <w:szCs w:val="19"/>
          <w:lang w:val="en-GB"/>
        </w:rPr>
        <w:footnoteReference w:id="418"/>
      </w:r>
      <w:r w:rsidRPr="002121A4">
        <w:rPr>
          <w:sz w:val="19"/>
          <w:szCs w:val="19"/>
          <w:lang w:val="en-GB"/>
        </w:rPr>
        <w:t xml:space="preserve"> an argument can be made that shareholders of the target company cannot rely on the market price rule.</w:t>
      </w:r>
    </w:p>
    <w:p w14:paraId="7A7B7B76" w14:textId="3704617C"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_Ref163124272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44</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_Ref163124272 \h </w:instrText>
      </w:r>
      <w:r w:rsidRPr="002121A4">
        <w:rPr>
          <w:b/>
          <w:sz w:val="19"/>
          <w:szCs w:val="19"/>
          <w:lang w:val="en-GB"/>
        </w:rPr>
      </w:r>
      <w:r w:rsidRPr="002121A4">
        <w:rPr>
          <w:b/>
          <w:sz w:val="19"/>
          <w:szCs w:val="19"/>
          <w:lang w:val="en-GB"/>
        </w:rPr>
        <w:fldChar w:fldCharType="separate"/>
      </w:r>
      <w:r w:rsidR="00D56145">
        <w:rPr>
          <w:b/>
          <w:noProof/>
          <w:sz w:val="19"/>
          <w:szCs w:val="19"/>
          <w:lang w:val="en-GB"/>
        </w:rPr>
        <w:t>67</w:t>
      </w:r>
      <w:r w:rsidRPr="002121A4">
        <w:rPr>
          <w:b/>
          <w:sz w:val="19"/>
          <w:szCs w:val="19"/>
          <w:lang w:val="en-GB"/>
        </w:rPr>
        <w:fldChar w:fldCharType="end"/>
      </w:r>
      <w:r w:rsidRPr="002121A4">
        <w:rPr>
          <w:b/>
          <w:sz w:val="19"/>
          <w:szCs w:val="19"/>
          <w:lang w:val="en-GB"/>
        </w:rPr>
        <w:t>).</w:t>
      </w:r>
      <w:r w:rsidRPr="002121A4">
        <w:rPr>
          <w:sz w:val="19"/>
          <w:szCs w:val="19"/>
          <w:lang w:val="en-GB"/>
        </w:rPr>
        <w:t xml:space="preserve"> Article 5(3) TBD leaves it to Member States to define the percentage of voting rights triggering “control”, so the proposed increase would be in line with the Directive. By contrast, article 15 TBD requires domestic law to trigger a squeeze-out right in certain scenarios, providing for a default threshold of 90% which Member States may increase (in some cases) to 95%, but not above that. The second proposal is therefore not in line with EU law.</w:t>
      </w:r>
    </w:p>
    <w:p w14:paraId="3558D871" w14:textId="6B52E95F"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_Ref163124348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45</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_Ref163124348 \h </w:instrText>
      </w:r>
      <w:r w:rsidRPr="002121A4">
        <w:rPr>
          <w:b/>
          <w:sz w:val="19"/>
          <w:szCs w:val="19"/>
          <w:lang w:val="en-GB"/>
        </w:rPr>
      </w:r>
      <w:r w:rsidRPr="002121A4">
        <w:rPr>
          <w:b/>
          <w:sz w:val="19"/>
          <w:szCs w:val="19"/>
          <w:lang w:val="en-GB"/>
        </w:rPr>
        <w:fldChar w:fldCharType="separate"/>
      </w:r>
      <w:r w:rsidR="00D56145">
        <w:rPr>
          <w:b/>
          <w:noProof/>
          <w:sz w:val="19"/>
          <w:szCs w:val="19"/>
          <w:lang w:val="en-GB"/>
        </w:rPr>
        <w:t>70</w:t>
      </w:r>
      <w:r w:rsidRPr="002121A4">
        <w:rPr>
          <w:b/>
          <w:sz w:val="19"/>
          <w:szCs w:val="19"/>
          <w:lang w:val="en-GB"/>
        </w:rPr>
        <w:fldChar w:fldCharType="end"/>
      </w:r>
      <w:r w:rsidRPr="002121A4">
        <w:rPr>
          <w:b/>
          <w:sz w:val="19"/>
          <w:szCs w:val="19"/>
          <w:lang w:val="en-GB"/>
        </w:rPr>
        <w:t>).</w:t>
      </w:r>
      <w:r w:rsidRPr="002121A4">
        <w:rPr>
          <w:sz w:val="19"/>
          <w:szCs w:val="19"/>
          <w:lang w:val="en-GB"/>
        </w:rPr>
        <w:t xml:space="preserve"> The background of the case is the fact that the control agreement requires a majority of 75% (§§</w:t>
      </w:r>
      <w:r w:rsidR="00241C7F">
        <w:rPr>
          <w:sz w:val="19"/>
          <w:szCs w:val="19"/>
          <w:lang w:val="en-GB"/>
        </w:rPr>
        <w:t> </w:t>
      </w:r>
      <w:r w:rsidRPr="002121A4">
        <w:rPr>
          <w:sz w:val="19"/>
          <w:szCs w:val="19"/>
          <w:lang w:val="en-GB"/>
        </w:rPr>
        <w:t xml:space="preserve">291, 293 </w:t>
      </w:r>
      <w:proofErr w:type="spellStart"/>
      <w:r w:rsidRPr="002121A4">
        <w:rPr>
          <w:sz w:val="19"/>
          <w:szCs w:val="19"/>
          <w:lang w:val="en-GB"/>
        </w:rPr>
        <w:t>AktG</w:t>
      </w:r>
      <w:proofErr w:type="spellEnd"/>
      <w:r w:rsidRPr="002121A4">
        <w:rPr>
          <w:sz w:val="19"/>
          <w:szCs w:val="19"/>
          <w:lang w:val="en-GB"/>
        </w:rPr>
        <w:t xml:space="preserve">). B failed to acquire this majority through the offer, but the agreement with E secures the votes needed. The question is whether the compensation offered increases the equitable price pursuant to § 31 </w:t>
      </w:r>
      <w:proofErr w:type="spellStart"/>
      <w:r w:rsidRPr="002121A4">
        <w:rPr>
          <w:sz w:val="19"/>
          <w:szCs w:val="19"/>
          <w:lang w:val="en-GB"/>
        </w:rPr>
        <w:t>WpÜG</w:t>
      </w:r>
      <w:proofErr w:type="spellEnd"/>
      <w:r w:rsidRPr="002121A4">
        <w:rPr>
          <w:sz w:val="19"/>
          <w:szCs w:val="19"/>
          <w:lang w:val="en-GB"/>
        </w:rPr>
        <w:t xml:space="preserve">. The agreement is not an “acquisition” within the meaning of § 31(4) and (5) </w:t>
      </w:r>
      <w:proofErr w:type="spellStart"/>
      <w:r w:rsidRPr="002121A4">
        <w:rPr>
          <w:sz w:val="19"/>
          <w:szCs w:val="19"/>
          <w:lang w:val="en-GB"/>
        </w:rPr>
        <w:t>WpÜG</w:t>
      </w:r>
      <w:proofErr w:type="spellEnd"/>
      <w:r w:rsidRPr="002121A4">
        <w:rPr>
          <w:sz w:val="19"/>
          <w:szCs w:val="19"/>
          <w:lang w:val="en-GB"/>
        </w:rPr>
        <w:t xml:space="preserve"> which would require actual transfer of title. However, even absent transfer of title, § 31(6) captures “agreements” that can form the basis of a claim to transfer of shares. Pursuant to the BGH decision in </w:t>
      </w:r>
      <w:proofErr w:type="spellStart"/>
      <w:r w:rsidRPr="00986A8D">
        <w:rPr>
          <w:i/>
          <w:sz w:val="19"/>
          <w:szCs w:val="19"/>
          <w:lang w:val="en-GB"/>
        </w:rPr>
        <w:t>Stada</w:t>
      </w:r>
      <w:proofErr w:type="spellEnd"/>
      <w:r w:rsidRPr="002121A4">
        <w:rPr>
          <w:sz w:val="19"/>
          <w:szCs w:val="19"/>
          <w:lang w:val="en-GB"/>
        </w:rPr>
        <w:t>, it is not necessary for the agreement to create an enforceable claim for the bidder</w:t>
      </w:r>
      <w:r w:rsidR="00440296">
        <w:rPr>
          <w:sz w:val="19"/>
          <w:szCs w:val="19"/>
          <w:lang w:val="en-GB"/>
        </w:rPr>
        <w:t>,</w:t>
      </w:r>
      <w:r w:rsidR="00440296">
        <w:rPr>
          <w:rStyle w:val="Funotenzeichen"/>
          <w:sz w:val="19"/>
          <w:szCs w:val="19"/>
          <w:lang w:val="en-GB"/>
        </w:rPr>
        <w:footnoteReference w:id="419"/>
      </w:r>
      <w:r w:rsidRPr="002121A4">
        <w:rPr>
          <w:sz w:val="19"/>
          <w:szCs w:val="19"/>
          <w:lang w:val="en-GB"/>
        </w:rPr>
        <w:t xml:space="preserve"> </w:t>
      </w:r>
      <w:r w:rsidR="00440296">
        <w:rPr>
          <w:sz w:val="19"/>
          <w:szCs w:val="19"/>
          <w:lang w:val="en-GB"/>
        </w:rPr>
        <w:t xml:space="preserve">so it is irrelevant that in the case at hand, </w:t>
      </w:r>
      <w:r w:rsidRPr="002121A4">
        <w:rPr>
          <w:sz w:val="19"/>
          <w:szCs w:val="19"/>
          <w:lang w:val="en-GB"/>
        </w:rPr>
        <w:t xml:space="preserve">the </w:t>
      </w:r>
      <w:r w:rsidR="00440296">
        <w:rPr>
          <w:sz w:val="19"/>
          <w:szCs w:val="19"/>
          <w:lang w:val="en-GB"/>
        </w:rPr>
        <w:t>“</w:t>
      </w:r>
      <w:r w:rsidRPr="002121A4">
        <w:rPr>
          <w:sz w:val="19"/>
          <w:szCs w:val="19"/>
          <w:lang w:val="en-GB"/>
        </w:rPr>
        <w:t>exit right</w:t>
      </w:r>
      <w:r w:rsidR="00440296">
        <w:rPr>
          <w:sz w:val="19"/>
          <w:szCs w:val="19"/>
          <w:lang w:val="en-GB"/>
        </w:rPr>
        <w:t>”</w:t>
      </w:r>
      <w:r w:rsidRPr="002121A4">
        <w:rPr>
          <w:sz w:val="19"/>
          <w:szCs w:val="19"/>
          <w:lang w:val="en-GB"/>
        </w:rPr>
        <w:t xml:space="preserve"> is only a</w:t>
      </w:r>
      <w:r w:rsidR="00440296">
        <w:rPr>
          <w:sz w:val="19"/>
          <w:szCs w:val="19"/>
          <w:lang w:val="en-GB"/>
        </w:rPr>
        <w:t xml:space="preserve"> put</w:t>
      </w:r>
      <w:r w:rsidRPr="002121A4">
        <w:rPr>
          <w:sz w:val="19"/>
          <w:szCs w:val="19"/>
          <w:lang w:val="en-GB"/>
        </w:rPr>
        <w:t xml:space="preserve"> option for the minority shareholders, but not a call option for the bidder. </w:t>
      </w:r>
      <w:r w:rsidR="00BE412B">
        <w:rPr>
          <w:sz w:val="19"/>
          <w:szCs w:val="19"/>
          <w:lang w:val="en-GB"/>
        </w:rPr>
        <w:t xml:space="preserve">Rather, the purpose of § 31(6) is to bind the a </w:t>
      </w:r>
      <w:r w:rsidRPr="002121A4">
        <w:rPr>
          <w:sz w:val="19"/>
          <w:szCs w:val="19"/>
          <w:lang w:val="en-GB"/>
        </w:rPr>
        <w:t xml:space="preserve">bidder </w:t>
      </w:r>
      <w:r w:rsidR="00BE412B">
        <w:rPr>
          <w:sz w:val="19"/>
          <w:szCs w:val="19"/>
          <w:lang w:val="en-GB"/>
        </w:rPr>
        <w:t xml:space="preserve">to the price he deems </w:t>
      </w:r>
      <w:r w:rsidR="00043909">
        <w:rPr>
          <w:sz w:val="19"/>
          <w:szCs w:val="19"/>
          <w:lang w:val="en-GB"/>
        </w:rPr>
        <w:t xml:space="preserve">to be </w:t>
      </w:r>
      <w:r w:rsidR="00BE412B">
        <w:rPr>
          <w:sz w:val="19"/>
          <w:szCs w:val="19"/>
          <w:lang w:val="en-GB"/>
        </w:rPr>
        <w:t xml:space="preserve">adequate in </w:t>
      </w:r>
      <w:r w:rsidR="00043909">
        <w:rPr>
          <w:sz w:val="19"/>
          <w:szCs w:val="19"/>
          <w:lang w:val="en-GB"/>
        </w:rPr>
        <w:t>some kind of agreement, even where the agreement ultimately is not performed</w:t>
      </w:r>
      <w:r w:rsidRPr="002121A4">
        <w:rPr>
          <w:sz w:val="19"/>
          <w:szCs w:val="19"/>
          <w:lang w:val="en-GB"/>
        </w:rPr>
        <w:t>.</w:t>
      </w:r>
      <w:r w:rsidR="00440296">
        <w:rPr>
          <w:rStyle w:val="Funotenzeichen"/>
          <w:sz w:val="19"/>
          <w:szCs w:val="19"/>
          <w:lang w:val="en-GB"/>
        </w:rPr>
        <w:footnoteReference w:id="420"/>
      </w:r>
      <w:r w:rsidRPr="002121A4">
        <w:rPr>
          <w:sz w:val="19"/>
          <w:szCs w:val="19"/>
          <w:lang w:val="en-GB"/>
        </w:rPr>
        <w:t xml:space="preserve"> Accordingly, minority shareholders can claim </w:t>
      </w:r>
      <w:r w:rsidR="00C4167D">
        <w:rPr>
          <w:sz w:val="19"/>
          <w:szCs w:val="19"/>
          <w:lang w:val="en-GB"/>
        </w:rPr>
        <w:t>€</w:t>
      </w:r>
      <w:r w:rsidRPr="002121A4">
        <w:rPr>
          <w:sz w:val="19"/>
          <w:szCs w:val="19"/>
          <w:lang w:val="en-GB"/>
        </w:rPr>
        <w:t>74</w:t>
      </w:r>
      <w:r w:rsidR="00C4167D">
        <w:rPr>
          <w:sz w:val="19"/>
          <w:szCs w:val="19"/>
          <w:lang w:val="en-GB"/>
        </w:rPr>
        <w:t> </w:t>
      </w:r>
      <w:r w:rsidRPr="002121A4">
        <w:rPr>
          <w:sz w:val="19"/>
          <w:szCs w:val="19"/>
          <w:lang w:val="en-GB"/>
        </w:rPr>
        <w:t xml:space="preserve">per share. § 31(5)(2) does not exclude this claim as it only to the </w:t>
      </w:r>
      <w:r w:rsidRPr="00795623">
        <w:rPr>
          <w:i/>
          <w:sz w:val="19"/>
          <w:szCs w:val="19"/>
          <w:lang w:val="en-GB"/>
        </w:rPr>
        <w:t>statutory</w:t>
      </w:r>
      <w:r w:rsidRPr="002121A4">
        <w:rPr>
          <w:sz w:val="19"/>
          <w:szCs w:val="19"/>
          <w:lang w:val="en-GB"/>
        </w:rPr>
        <w:t xml:space="preserve"> claim for equitable compensation pursuant to § 305 </w:t>
      </w:r>
      <w:proofErr w:type="spellStart"/>
      <w:r w:rsidRPr="002121A4">
        <w:rPr>
          <w:sz w:val="19"/>
          <w:szCs w:val="19"/>
          <w:lang w:val="en-GB"/>
        </w:rPr>
        <w:t>AktG</w:t>
      </w:r>
      <w:proofErr w:type="spellEnd"/>
      <w:r w:rsidRPr="002121A4">
        <w:rPr>
          <w:sz w:val="19"/>
          <w:szCs w:val="19"/>
          <w:lang w:val="en-GB"/>
        </w:rPr>
        <w:t xml:space="preserve">, but not to an amount </w:t>
      </w:r>
      <w:r w:rsidRPr="00795623">
        <w:rPr>
          <w:i/>
          <w:sz w:val="19"/>
          <w:szCs w:val="19"/>
          <w:lang w:val="en-GB"/>
        </w:rPr>
        <w:t>contractually agreed</w:t>
      </w:r>
      <w:r w:rsidRPr="002121A4">
        <w:rPr>
          <w:sz w:val="19"/>
          <w:szCs w:val="19"/>
          <w:lang w:val="en-GB"/>
        </w:rPr>
        <w:t xml:space="preserve"> as in this case.</w:t>
      </w:r>
      <w:r w:rsidR="00795623">
        <w:rPr>
          <w:rStyle w:val="Funotenzeichen"/>
          <w:sz w:val="19"/>
          <w:szCs w:val="19"/>
          <w:lang w:val="en-GB"/>
        </w:rPr>
        <w:footnoteReference w:id="421"/>
      </w:r>
      <w:r w:rsidRPr="002121A4">
        <w:rPr>
          <w:sz w:val="19"/>
          <w:szCs w:val="19"/>
          <w:lang w:val="en-GB"/>
        </w:rPr>
        <w:t xml:space="preserve"> </w:t>
      </w:r>
    </w:p>
    <w:p w14:paraId="2AAC5342" w14:textId="68819AE2" w:rsidR="00203161" w:rsidRDefault="00170B05" w:rsidP="00170B05">
      <w:pPr>
        <w:rPr>
          <w:sz w:val="19"/>
          <w:szCs w:val="19"/>
          <w:lang w:val="en-GB"/>
        </w:rPr>
      </w:pPr>
      <w:r w:rsidRPr="002121A4">
        <w:rPr>
          <w:b/>
          <w:sz w:val="19"/>
          <w:szCs w:val="19"/>
          <w:lang w:val="en-GB"/>
        </w:rPr>
        <w:fldChar w:fldCharType="begin"/>
      </w:r>
      <w:r w:rsidRPr="002121A4">
        <w:rPr>
          <w:b/>
          <w:sz w:val="19"/>
          <w:szCs w:val="19"/>
          <w:lang w:val="en-GB"/>
        </w:rPr>
        <w:instrText xml:space="preserve"> REF _Ref132308279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46</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_Ref132308279 \h </w:instrText>
      </w:r>
      <w:r w:rsidRPr="002121A4">
        <w:rPr>
          <w:b/>
          <w:sz w:val="19"/>
          <w:szCs w:val="19"/>
          <w:lang w:val="en-GB"/>
        </w:rPr>
      </w:r>
      <w:r w:rsidRPr="002121A4">
        <w:rPr>
          <w:b/>
          <w:sz w:val="19"/>
          <w:szCs w:val="19"/>
          <w:lang w:val="en-GB"/>
        </w:rPr>
        <w:fldChar w:fldCharType="separate"/>
      </w:r>
      <w:r w:rsidR="00D56145">
        <w:rPr>
          <w:b/>
          <w:noProof/>
          <w:sz w:val="19"/>
          <w:szCs w:val="19"/>
          <w:lang w:val="en-GB"/>
        </w:rPr>
        <w:t>71</w:t>
      </w:r>
      <w:r w:rsidRPr="002121A4">
        <w:rPr>
          <w:b/>
          <w:sz w:val="19"/>
          <w:szCs w:val="19"/>
          <w:lang w:val="en-GB"/>
        </w:rPr>
        <w:fldChar w:fldCharType="end"/>
      </w:r>
      <w:r w:rsidRPr="002121A4">
        <w:rPr>
          <w:b/>
          <w:sz w:val="19"/>
          <w:szCs w:val="19"/>
          <w:lang w:val="en-GB"/>
        </w:rPr>
        <w:t>).</w:t>
      </w:r>
      <w:r w:rsidRPr="002121A4">
        <w:rPr>
          <w:sz w:val="19"/>
          <w:szCs w:val="19"/>
          <w:lang w:val="en-GB"/>
        </w:rPr>
        <w:t xml:space="preserve"> </w:t>
      </w:r>
      <w:r w:rsidR="007E2CF0">
        <w:rPr>
          <w:sz w:val="19"/>
          <w:szCs w:val="19"/>
          <w:lang w:val="en-GB"/>
        </w:rPr>
        <w:t>a</w:t>
      </w:r>
      <w:r w:rsidR="00203161">
        <w:rPr>
          <w:sz w:val="19"/>
          <w:szCs w:val="19"/>
          <w:lang w:val="en-GB"/>
        </w:rPr>
        <w:t xml:space="preserve">) </w:t>
      </w:r>
      <w:r w:rsidR="007E2CF0">
        <w:rPr>
          <w:sz w:val="19"/>
          <w:szCs w:val="19"/>
          <w:lang w:val="en-GB"/>
        </w:rPr>
        <w:t>Pursuant to Postbank II, a</w:t>
      </w:r>
      <w:r w:rsidR="00203161">
        <w:rPr>
          <w:sz w:val="19"/>
          <w:szCs w:val="19"/>
          <w:lang w:val="en-GB"/>
        </w:rPr>
        <w:t xml:space="preserve">n agreement can qualify as </w:t>
      </w:r>
      <w:r w:rsidRPr="002121A4">
        <w:rPr>
          <w:sz w:val="19"/>
          <w:szCs w:val="19"/>
          <w:lang w:val="en-GB"/>
        </w:rPr>
        <w:t>“acting in concert” within the meaning of §</w:t>
      </w:r>
      <w:r w:rsidR="00203161">
        <w:rPr>
          <w:sz w:val="19"/>
          <w:szCs w:val="19"/>
          <w:lang w:val="en-GB"/>
        </w:rPr>
        <w:t> </w:t>
      </w:r>
      <w:r w:rsidRPr="002121A4">
        <w:rPr>
          <w:sz w:val="19"/>
          <w:szCs w:val="19"/>
          <w:lang w:val="en-GB"/>
        </w:rPr>
        <w:t xml:space="preserve">30(2) </w:t>
      </w:r>
      <w:proofErr w:type="spellStart"/>
      <w:r w:rsidRPr="002121A4">
        <w:rPr>
          <w:sz w:val="19"/>
          <w:szCs w:val="19"/>
          <w:lang w:val="en-GB"/>
        </w:rPr>
        <w:t>WpÜG</w:t>
      </w:r>
      <w:proofErr w:type="spellEnd"/>
      <w:r w:rsidR="00203161">
        <w:rPr>
          <w:sz w:val="19"/>
          <w:szCs w:val="19"/>
          <w:lang w:val="en-GB"/>
        </w:rPr>
        <w:t xml:space="preserve"> even without an express provision to align </w:t>
      </w:r>
      <w:r w:rsidR="007E2CF0">
        <w:rPr>
          <w:sz w:val="19"/>
          <w:szCs w:val="19"/>
          <w:lang w:val="en-GB"/>
        </w:rPr>
        <w:t xml:space="preserve">the exercise of </w:t>
      </w:r>
      <w:r w:rsidR="00203161">
        <w:rPr>
          <w:sz w:val="19"/>
          <w:szCs w:val="19"/>
          <w:lang w:val="en-GB"/>
        </w:rPr>
        <w:t xml:space="preserve">voting rights; it is sufficient that </w:t>
      </w:r>
      <w:r w:rsidR="007E2CF0">
        <w:rPr>
          <w:sz w:val="19"/>
          <w:szCs w:val="19"/>
          <w:lang w:val="en-GB"/>
        </w:rPr>
        <w:t>such alignment</w:t>
      </w:r>
      <w:r w:rsidR="00203161">
        <w:rPr>
          <w:sz w:val="19"/>
          <w:szCs w:val="19"/>
          <w:lang w:val="en-GB"/>
        </w:rPr>
        <w:t xml:space="preserve"> an indirect legal effect of the agreement.</w:t>
      </w:r>
      <w:r w:rsidR="00203161">
        <w:rPr>
          <w:rStyle w:val="Funotenzeichen"/>
          <w:sz w:val="19"/>
          <w:szCs w:val="19"/>
          <w:lang w:val="en-GB"/>
        </w:rPr>
        <w:footnoteReference w:id="422"/>
      </w:r>
      <w:r w:rsidR="007E2CF0">
        <w:rPr>
          <w:sz w:val="19"/>
          <w:szCs w:val="19"/>
          <w:lang w:val="en-GB"/>
        </w:rPr>
        <w:t xml:space="preserve"> The requirement under § 30(2)(2) </w:t>
      </w:r>
      <w:proofErr w:type="spellStart"/>
      <w:r w:rsidR="007E2CF0">
        <w:rPr>
          <w:sz w:val="19"/>
          <w:szCs w:val="19"/>
          <w:lang w:val="en-GB"/>
        </w:rPr>
        <w:t>WpÜG</w:t>
      </w:r>
      <w:proofErr w:type="spellEnd"/>
      <w:r w:rsidR="007E2CF0">
        <w:rPr>
          <w:sz w:val="19"/>
          <w:szCs w:val="19"/>
          <w:lang w:val="en-GB"/>
        </w:rPr>
        <w:t xml:space="preserve"> relating to an objective of materially changing the target’s business strategy is only needed for acting in concert through other methods than alignment of voting rights exercise.</w:t>
      </w:r>
      <w:r w:rsidR="007E2CF0">
        <w:rPr>
          <w:rStyle w:val="Funotenzeichen"/>
          <w:sz w:val="19"/>
          <w:szCs w:val="19"/>
          <w:lang w:val="en-GB"/>
        </w:rPr>
        <w:footnoteReference w:id="423"/>
      </w:r>
      <w:r w:rsidR="00FD6CCA">
        <w:rPr>
          <w:sz w:val="19"/>
          <w:szCs w:val="19"/>
          <w:lang w:val="en-GB"/>
        </w:rPr>
        <w:t xml:space="preserve"> </w:t>
      </w:r>
      <w:r w:rsidR="00CB5A12">
        <w:rPr>
          <w:sz w:val="19"/>
          <w:szCs w:val="19"/>
          <w:lang w:val="en-GB"/>
        </w:rPr>
        <w:t xml:space="preserve">However, “acting in concert” requires that the parties envisaged influencing the target in a “real and </w:t>
      </w:r>
      <w:proofErr w:type="spellStart"/>
      <w:r w:rsidR="00CB5A12">
        <w:rPr>
          <w:sz w:val="19"/>
          <w:szCs w:val="19"/>
          <w:lang w:val="en-GB"/>
        </w:rPr>
        <w:t>conrete</w:t>
      </w:r>
      <w:proofErr w:type="spellEnd"/>
      <w:r w:rsidR="00CB5A12">
        <w:rPr>
          <w:sz w:val="19"/>
          <w:szCs w:val="19"/>
          <w:lang w:val="en-GB"/>
        </w:rPr>
        <w:t>” way.</w:t>
      </w:r>
      <w:r w:rsidR="00CB5A12">
        <w:rPr>
          <w:rStyle w:val="Funotenzeichen"/>
          <w:sz w:val="19"/>
          <w:szCs w:val="19"/>
          <w:lang w:val="en-GB"/>
        </w:rPr>
        <w:footnoteReference w:id="424"/>
      </w:r>
    </w:p>
    <w:p w14:paraId="4AD2166B" w14:textId="5F3338FF" w:rsidR="00170B05" w:rsidRPr="002121A4" w:rsidRDefault="00CB5A12" w:rsidP="00170B05">
      <w:pPr>
        <w:rPr>
          <w:sz w:val="19"/>
          <w:szCs w:val="19"/>
          <w:lang w:val="en-GB"/>
        </w:rPr>
      </w:pPr>
      <w:r>
        <w:rPr>
          <w:sz w:val="19"/>
          <w:szCs w:val="19"/>
          <w:lang w:val="en-GB"/>
        </w:rPr>
        <w:t xml:space="preserve">Likewise, </w:t>
      </w:r>
      <w:r w:rsidR="00170B05" w:rsidRPr="00986A8D">
        <w:rPr>
          <w:i/>
          <w:sz w:val="19"/>
          <w:szCs w:val="19"/>
          <w:lang w:val="en-GB"/>
        </w:rPr>
        <w:t>Postbank II</w:t>
      </w:r>
      <w:r w:rsidR="00170B05" w:rsidRPr="002121A4">
        <w:rPr>
          <w:sz w:val="19"/>
          <w:szCs w:val="19"/>
          <w:lang w:val="en-GB"/>
        </w:rPr>
        <w:t xml:space="preserve"> also confirmed that § 30(1) no. 2 </w:t>
      </w:r>
      <w:proofErr w:type="spellStart"/>
      <w:r w:rsidR="00170B05" w:rsidRPr="002121A4">
        <w:rPr>
          <w:sz w:val="19"/>
          <w:szCs w:val="19"/>
          <w:lang w:val="en-GB"/>
        </w:rPr>
        <w:t>WpÜG</w:t>
      </w:r>
      <w:proofErr w:type="spellEnd"/>
      <w:r w:rsidR="00170B05" w:rsidRPr="002121A4">
        <w:rPr>
          <w:sz w:val="19"/>
          <w:szCs w:val="19"/>
          <w:lang w:val="en-GB"/>
        </w:rPr>
        <w:t xml:space="preserve"> </w:t>
      </w:r>
      <w:r w:rsidR="00D92899">
        <w:rPr>
          <w:sz w:val="19"/>
          <w:szCs w:val="19"/>
          <w:lang w:val="en-GB"/>
        </w:rPr>
        <w:t xml:space="preserve">requires that </w:t>
      </w:r>
      <w:r w:rsidR="00170B05" w:rsidRPr="002121A4">
        <w:rPr>
          <w:sz w:val="19"/>
          <w:szCs w:val="19"/>
          <w:lang w:val="en-GB"/>
        </w:rPr>
        <w:t>risks and opportunities are transferred from the actual shareholder to a third party</w:t>
      </w:r>
      <w:r w:rsidR="00D92899">
        <w:rPr>
          <w:sz w:val="19"/>
          <w:szCs w:val="19"/>
          <w:lang w:val="en-GB"/>
        </w:rPr>
        <w:t>,</w:t>
      </w:r>
      <w:r w:rsidR="00D92899">
        <w:rPr>
          <w:rStyle w:val="Funotenzeichen"/>
          <w:sz w:val="19"/>
          <w:szCs w:val="19"/>
          <w:lang w:val="en-GB"/>
        </w:rPr>
        <w:footnoteReference w:id="425"/>
      </w:r>
      <w:r w:rsidR="00170B05" w:rsidRPr="002121A4">
        <w:rPr>
          <w:sz w:val="19"/>
          <w:szCs w:val="19"/>
          <w:lang w:val="en-GB"/>
        </w:rPr>
        <w:t xml:space="preserve"> and</w:t>
      </w:r>
      <w:r w:rsidR="00C44F16">
        <w:rPr>
          <w:sz w:val="19"/>
          <w:szCs w:val="19"/>
          <w:lang w:val="en-GB"/>
        </w:rPr>
        <w:t xml:space="preserve"> also that the third party is able to </w:t>
      </w:r>
      <w:r w:rsidR="00170B05" w:rsidRPr="002121A4">
        <w:rPr>
          <w:sz w:val="19"/>
          <w:szCs w:val="19"/>
          <w:lang w:val="en-GB"/>
        </w:rPr>
        <w:t>influence the exercise of voting rights</w:t>
      </w:r>
      <w:r w:rsidR="00084470">
        <w:rPr>
          <w:sz w:val="19"/>
          <w:szCs w:val="19"/>
          <w:lang w:val="en-GB"/>
        </w:rPr>
        <w:t>,</w:t>
      </w:r>
      <w:r w:rsidR="00084470">
        <w:rPr>
          <w:rStyle w:val="Funotenzeichen"/>
          <w:sz w:val="19"/>
          <w:szCs w:val="19"/>
          <w:lang w:val="en-GB"/>
        </w:rPr>
        <w:footnoteReference w:id="426"/>
      </w:r>
      <w:r w:rsidR="00170B05" w:rsidRPr="002121A4">
        <w:rPr>
          <w:sz w:val="19"/>
          <w:szCs w:val="19"/>
          <w:lang w:val="en-GB"/>
        </w:rPr>
        <w:t xml:space="preserve"> e.g., through instructions, or where the shareholder has an legal obligation to align the exercise of voting rights with the interests of that party. </w:t>
      </w:r>
      <w:r w:rsidR="00B8556A" w:rsidRPr="002121A4">
        <w:rPr>
          <w:sz w:val="19"/>
          <w:szCs w:val="19"/>
          <w:lang w:val="en-GB"/>
        </w:rPr>
        <w:t xml:space="preserve">Arguably, this could cover the case </w:t>
      </w:r>
      <w:r w:rsidR="00B8556A">
        <w:rPr>
          <w:sz w:val="19"/>
          <w:szCs w:val="19"/>
          <w:lang w:val="en-GB"/>
        </w:rPr>
        <w:t xml:space="preserve">at hand as the </w:t>
      </w:r>
      <w:r w:rsidR="00B8556A" w:rsidRPr="002121A4">
        <w:rPr>
          <w:sz w:val="19"/>
          <w:szCs w:val="19"/>
          <w:lang w:val="en-GB"/>
        </w:rPr>
        <w:t>contractual arrangements between B and P imply an obligation for P to align the exercise of its voting rights with the interest of B</w:t>
      </w:r>
      <w:r w:rsidR="00B8556A">
        <w:rPr>
          <w:sz w:val="19"/>
          <w:szCs w:val="19"/>
          <w:lang w:val="en-GB"/>
        </w:rPr>
        <w:t xml:space="preserve"> (ultimately left open by in the BGH decision)</w:t>
      </w:r>
      <w:r w:rsidR="00B8556A" w:rsidRPr="002121A4">
        <w:rPr>
          <w:sz w:val="19"/>
          <w:szCs w:val="19"/>
          <w:lang w:val="en-GB"/>
        </w:rPr>
        <w:t>.</w:t>
      </w:r>
    </w:p>
    <w:p w14:paraId="2906EFB8" w14:textId="06037D7A" w:rsidR="00170B05" w:rsidRPr="002121A4" w:rsidRDefault="003E2AE9" w:rsidP="00170B05">
      <w:pPr>
        <w:rPr>
          <w:sz w:val="19"/>
          <w:szCs w:val="19"/>
          <w:lang w:val="en-GB"/>
        </w:rPr>
      </w:pPr>
      <w:r>
        <w:rPr>
          <w:sz w:val="19"/>
          <w:szCs w:val="19"/>
          <w:lang w:val="en-GB"/>
        </w:rPr>
        <w:t xml:space="preserve">b) </w:t>
      </w:r>
      <w:r w:rsidR="00170B05" w:rsidRPr="002121A4">
        <w:rPr>
          <w:sz w:val="19"/>
          <w:szCs w:val="19"/>
          <w:lang w:val="en-GB"/>
        </w:rPr>
        <w:t xml:space="preserve">Pursuant to </w:t>
      </w:r>
      <w:r w:rsidR="00170B05" w:rsidRPr="00986A8D">
        <w:rPr>
          <w:i/>
          <w:sz w:val="19"/>
          <w:szCs w:val="19"/>
          <w:lang w:val="en-GB"/>
        </w:rPr>
        <w:t>Postbank I</w:t>
      </w:r>
      <w:r w:rsidR="00170B05" w:rsidRPr="002121A4">
        <w:rPr>
          <w:sz w:val="19"/>
          <w:szCs w:val="19"/>
          <w:lang w:val="en-GB"/>
        </w:rPr>
        <w:t>, where an offer is below the minimum equitable price, shareholders can claim the balance in the same way as would be the case for post-offer acquisitions</w:t>
      </w:r>
      <w:r w:rsidR="001A461E">
        <w:rPr>
          <w:sz w:val="19"/>
          <w:szCs w:val="19"/>
          <w:lang w:val="en-GB"/>
        </w:rPr>
        <w:t>.</w:t>
      </w:r>
      <w:r w:rsidR="001A461E">
        <w:rPr>
          <w:rStyle w:val="Funotenzeichen"/>
          <w:sz w:val="19"/>
          <w:szCs w:val="19"/>
          <w:lang w:val="en-GB"/>
        </w:rPr>
        <w:footnoteReference w:id="427"/>
      </w:r>
      <w:r w:rsidR="00170B05" w:rsidRPr="002121A4">
        <w:rPr>
          <w:sz w:val="19"/>
          <w:szCs w:val="19"/>
          <w:lang w:val="en-GB"/>
        </w:rPr>
        <w:t xml:space="preserve"> </w:t>
      </w:r>
      <w:r w:rsidR="00A8345C">
        <w:rPr>
          <w:sz w:val="19"/>
          <w:szCs w:val="19"/>
          <w:lang w:val="en-GB"/>
        </w:rPr>
        <w:t xml:space="preserve">It would be inconsistent if parallel and subsequent </w:t>
      </w:r>
      <w:r w:rsidR="00A8345C">
        <w:rPr>
          <w:sz w:val="19"/>
          <w:szCs w:val="19"/>
          <w:lang w:val="en-GB"/>
        </w:rPr>
        <w:lastRenderedPageBreak/>
        <w:t>acquisitions created payment claims (</w:t>
      </w:r>
      <w:proofErr w:type="spellStart"/>
      <w:r w:rsidR="00A8345C">
        <w:rPr>
          <w:sz w:val="19"/>
          <w:szCs w:val="19"/>
          <w:lang w:val="en-GB"/>
        </w:rPr>
        <w:t>pursusant</w:t>
      </w:r>
      <w:proofErr w:type="spellEnd"/>
      <w:r w:rsidR="00A8345C">
        <w:rPr>
          <w:sz w:val="19"/>
          <w:szCs w:val="19"/>
          <w:lang w:val="en-GB"/>
        </w:rPr>
        <w:t xml:space="preserve"> to § 31(4), (5) </w:t>
      </w:r>
      <w:proofErr w:type="spellStart"/>
      <w:r w:rsidR="00A8345C">
        <w:rPr>
          <w:sz w:val="19"/>
          <w:szCs w:val="19"/>
          <w:lang w:val="en-GB"/>
        </w:rPr>
        <w:t>WpÜG</w:t>
      </w:r>
      <w:proofErr w:type="spellEnd"/>
      <w:r w:rsidR="00A8345C">
        <w:rPr>
          <w:sz w:val="19"/>
          <w:szCs w:val="19"/>
          <w:lang w:val="en-GB"/>
        </w:rPr>
        <w:t xml:space="preserve">), but not in case the offered price was below </w:t>
      </w:r>
      <w:proofErr w:type="spellStart"/>
      <w:r w:rsidR="00A8345C">
        <w:rPr>
          <w:sz w:val="19"/>
          <w:szCs w:val="19"/>
          <w:lang w:val="en-GB"/>
        </w:rPr>
        <w:t>minium</w:t>
      </w:r>
      <w:proofErr w:type="spellEnd"/>
      <w:r w:rsidR="00A8345C">
        <w:rPr>
          <w:sz w:val="19"/>
          <w:szCs w:val="19"/>
          <w:lang w:val="en-GB"/>
        </w:rPr>
        <w:t xml:space="preserve"> price requirements from the outset.</w:t>
      </w:r>
      <w:r w:rsidR="00A8345C">
        <w:rPr>
          <w:rStyle w:val="Funotenzeichen"/>
          <w:sz w:val="19"/>
          <w:szCs w:val="19"/>
          <w:lang w:val="en-GB"/>
        </w:rPr>
        <w:footnoteReference w:id="428"/>
      </w:r>
      <w:r w:rsidR="00A8345C">
        <w:rPr>
          <w:sz w:val="19"/>
          <w:szCs w:val="19"/>
          <w:lang w:val="en-GB"/>
        </w:rPr>
        <w:t xml:space="preserve"> Preventive control by the regulator would not be sufficient as it is </w:t>
      </w:r>
      <w:proofErr w:type="spellStart"/>
      <w:r w:rsidR="00A8345C">
        <w:rPr>
          <w:sz w:val="19"/>
          <w:szCs w:val="19"/>
          <w:lang w:val="en-GB"/>
        </w:rPr>
        <w:t>limted</w:t>
      </w:r>
      <w:proofErr w:type="spellEnd"/>
      <w:r w:rsidR="00A8345C">
        <w:rPr>
          <w:sz w:val="19"/>
          <w:szCs w:val="19"/>
          <w:lang w:val="en-GB"/>
        </w:rPr>
        <w:t xml:space="preserve"> to manifest breaches of takeover law requirements (§ 15(1) no. 2 </w:t>
      </w:r>
      <w:proofErr w:type="spellStart"/>
      <w:r w:rsidR="00A8345C">
        <w:rPr>
          <w:sz w:val="19"/>
          <w:szCs w:val="19"/>
          <w:lang w:val="en-GB"/>
        </w:rPr>
        <w:t>WpÜG</w:t>
      </w:r>
      <w:proofErr w:type="spellEnd"/>
      <w:r w:rsidR="00A8345C">
        <w:rPr>
          <w:sz w:val="19"/>
          <w:szCs w:val="19"/>
          <w:lang w:val="en-GB"/>
        </w:rPr>
        <w:t>).</w:t>
      </w:r>
      <w:r w:rsidR="00A8345C">
        <w:rPr>
          <w:rStyle w:val="Funotenzeichen"/>
          <w:sz w:val="19"/>
          <w:szCs w:val="19"/>
          <w:lang w:val="en-GB"/>
        </w:rPr>
        <w:footnoteReference w:id="429"/>
      </w:r>
      <w:r w:rsidR="00A8345C">
        <w:rPr>
          <w:sz w:val="19"/>
          <w:szCs w:val="19"/>
          <w:lang w:val="en-GB"/>
        </w:rPr>
        <w:t xml:space="preserve"> T</w:t>
      </w:r>
      <w:r w:rsidR="00170B05" w:rsidRPr="002121A4">
        <w:rPr>
          <w:sz w:val="19"/>
          <w:szCs w:val="19"/>
          <w:lang w:val="en-GB"/>
        </w:rPr>
        <w:t>he periods for determining the minimum price would be adjusted</w:t>
      </w:r>
      <w:r w:rsidR="007D63A0">
        <w:rPr>
          <w:sz w:val="19"/>
          <w:szCs w:val="19"/>
          <w:lang w:val="en-GB"/>
        </w:rPr>
        <w:t>, i.e. would apply</w:t>
      </w:r>
      <w:r w:rsidR="00170B05" w:rsidRPr="002121A4">
        <w:rPr>
          <w:sz w:val="19"/>
          <w:szCs w:val="19"/>
          <w:lang w:val="en-GB"/>
        </w:rPr>
        <w:t xml:space="preserve"> the moment the bidder acquired control and was under an obligation to make a mandatory bid.</w:t>
      </w:r>
      <w:r w:rsidR="007D63A0">
        <w:rPr>
          <w:rStyle w:val="Funotenzeichen"/>
          <w:sz w:val="19"/>
          <w:szCs w:val="19"/>
          <w:lang w:val="en-GB"/>
        </w:rPr>
        <w:footnoteReference w:id="430"/>
      </w:r>
    </w:p>
    <w:p w14:paraId="79A19C98" w14:textId="50C47532" w:rsidR="004D1916"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_Ref163124397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47</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_Ref163124397 \h </w:instrText>
      </w:r>
      <w:r w:rsidRPr="002121A4">
        <w:rPr>
          <w:b/>
          <w:sz w:val="19"/>
          <w:szCs w:val="19"/>
          <w:lang w:val="en-GB"/>
        </w:rPr>
      </w:r>
      <w:r w:rsidRPr="002121A4">
        <w:rPr>
          <w:b/>
          <w:sz w:val="19"/>
          <w:szCs w:val="19"/>
          <w:lang w:val="en-GB"/>
        </w:rPr>
        <w:fldChar w:fldCharType="separate"/>
      </w:r>
      <w:r w:rsidR="00D56145">
        <w:rPr>
          <w:b/>
          <w:noProof/>
          <w:sz w:val="19"/>
          <w:szCs w:val="19"/>
          <w:lang w:val="en-GB"/>
        </w:rPr>
        <w:t>72</w:t>
      </w:r>
      <w:r w:rsidRPr="002121A4">
        <w:rPr>
          <w:b/>
          <w:sz w:val="19"/>
          <w:szCs w:val="19"/>
          <w:lang w:val="en-GB"/>
        </w:rPr>
        <w:fldChar w:fldCharType="end"/>
      </w:r>
      <w:r w:rsidRPr="002121A4">
        <w:rPr>
          <w:b/>
          <w:sz w:val="19"/>
          <w:szCs w:val="19"/>
          <w:lang w:val="en-GB"/>
        </w:rPr>
        <w:t>).</w:t>
      </w:r>
      <w:r w:rsidRPr="002121A4">
        <w:rPr>
          <w:sz w:val="19"/>
          <w:szCs w:val="19"/>
          <w:lang w:val="en-GB"/>
        </w:rPr>
        <w:t xml:space="preserve"> a) </w:t>
      </w:r>
      <w:r w:rsidR="004D1916">
        <w:rPr>
          <w:sz w:val="19"/>
          <w:szCs w:val="19"/>
          <w:lang w:val="en-GB"/>
        </w:rPr>
        <w:t xml:space="preserve">(1) </w:t>
      </w:r>
      <w:r w:rsidRPr="002121A4">
        <w:rPr>
          <w:sz w:val="19"/>
          <w:szCs w:val="19"/>
          <w:lang w:val="en-GB"/>
        </w:rPr>
        <w:t xml:space="preserve">Increasing the stake above 15% would trigger disclosure obligations for M at the thresholds indicated in § 33(1) </w:t>
      </w:r>
      <w:proofErr w:type="spellStart"/>
      <w:r w:rsidRPr="002121A4">
        <w:rPr>
          <w:sz w:val="19"/>
          <w:szCs w:val="19"/>
          <w:lang w:val="en-GB"/>
        </w:rPr>
        <w:t>WpHG</w:t>
      </w:r>
      <w:proofErr w:type="spellEnd"/>
      <w:r w:rsidRPr="002121A4">
        <w:rPr>
          <w:sz w:val="19"/>
          <w:szCs w:val="19"/>
          <w:lang w:val="en-GB"/>
        </w:rPr>
        <w:t xml:space="preserve">. Non-compliance would come with suspension of rights attaching to (all) shares held by M, § 44 </w:t>
      </w:r>
      <w:proofErr w:type="spellStart"/>
      <w:r w:rsidRPr="002121A4">
        <w:rPr>
          <w:sz w:val="19"/>
          <w:szCs w:val="19"/>
          <w:lang w:val="en-GB"/>
        </w:rPr>
        <w:t>WpHG</w:t>
      </w:r>
      <w:proofErr w:type="spellEnd"/>
      <w:r w:rsidRPr="002121A4">
        <w:rPr>
          <w:sz w:val="19"/>
          <w:szCs w:val="19"/>
          <w:lang w:val="en-GB"/>
        </w:rPr>
        <w:t xml:space="preserve">, and administrative sanctions (§ 120(2) no. 2 lit. d </w:t>
      </w:r>
      <w:proofErr w:type="spellStart"/>
      <w:r w:rsidRPr="002121A4">
        <w:rPr>
          <w:sz w:val="19"/>
          <w:szCs w:val="19"/>
          <w:lang w:val="en-GB"/>
        </w:rPr>
        <w:t>WpHG</w:t>
      </w:r>
      <w:proofErr w:type="spellEnd"/>
      <w:r w:rsidRPr="002121A4">
        <w:rPr>
          <w:sz w:val="19"/>
          <w:szCs w:val="19"/>
          <w:lang w:val="en-GB"/>
        </w:rPr>
        <w:t>). Crossing 10% and higher thresholds would also require M to make a statement of intent pursuant to § 43</w:t>
      </w:r>
      <w:r w:rsidR="004D1916">
        <w:rPr>
          <w:sz w:val="19"/>
          <w:szCs w:val="19"/>
          <w:lang w:val="en-GB"/>
        </w:rPr>
        <w:t>(1)</w:t>
      </w:r>
      <w:r w:rsidRPr="002121A4">
        <w:rPr>
          <w:sz w:val="19"/>
          <w:szCs w:val="19"/>
          <w:lang w:val="en-GB"/>
        </w:rPr>
        <w:t xml:space="preserve"> </w:t>
      </w:r>
      <w:proofErr w:type="spellStart"/>
      <w:r w:rsidRPr="002121A4">
        <w:rPr>
          <w:sz w:val="19"/>
          <w:szCs w:val="19"/>
          <w:lang w:val="en-GB"/>
        </w:rPr>
        <w:t>WpHG</w:t>
      </w:r>
      <w:proofErr w:type="spellEnd"/>
      <w:r w:rsidRPr="002121A4">
        <w:rPr>
          <w:sz w:val="19"/>
          <w:szCs w:val="19"/>
          <w:lang w:val="en-GB"/>
        </w:rPr>
        <w:t>, but there are no sanctions for non-compliance with that requirement.</w:t>
      </w:r>
      <w:r w:rsidR="00A87C2F">
        <w:rPr>
          <w:sz w:val="19"/>
          <w:szCs w:val="19"/>
          <w:lang w:val="en-GB"/>
        </w:rPr>
        <w:t xml:space="preserve"> § 43(1) </w:t>
      </w:r>
      <w:proofErr w:type="spellStart"/>
      <w:r w:rsidR="00A87C2F">
        <w:rPr>
          <w:sz w:val="19"/>
          <w:szCs w:val="19"/>
          <w:lang w:val="en-GB"/>
        </w:rPr>
        <w:t>WpHG</w:t>
      </w:r>
      <w:proofErr w:type="spellEnd"/>
      <w:r w:rsidRPr="002121A4">
        <w:rPr>
          <w:sz w:val="19"/>
          <w:szCs w:val="19"/>
          <w:lang w:val="en-GB"/>
        </w:rPr>
        <w:t xml:space="preserve"> </w:t>
      </w:r>
      <w:r w:rsidR="008E3815">
        <w:rPr>
          <w:sz w:val="19"/>
          <w:szCs w:val="19"/>
          <w:lang w:val="en-GB"/>
        </w:rPr>
        <w:t xml:space="preserve">does </w:t>
      </w:r>
      <w:r w:rsidR="00A87C2F">
        <w:rPr>
          <w:sz w:val="19"/>
          <w:szCs w:val="19"/>
          <w:lang w:val="en-GB"/>
        </w:rPr>
        <w:t xml:space="preserve">not require M to disclose its plans in relation to the acquisition of control, as this is not specifically mentioned in the wording of § 43(1) </w:t>
      </w:r>
      <w:proofErr w:type="spellStart"/>
      <w:r w:rsidR="00A87C2F">
        <w:rPr>
          <w:sz w:val="19"/>
          <w:szCs w:val="19"/>
          <w:lang w:val="en-GB"/>
        </w:rPr>
        <w:t>WpHG</w:t>
      </w:r>
      <w:proofErr w:type="spellEnd"/>
      <w:r w:rsidR="008E3815">
        <w:rPr>
          <w:sz w:val="19"/>
          <w:szCs w:val="19"/>
          <w:lang w:val="en-GB"/>
        </w:rPr>
        <w:t xml:space="preserve"> and the legislator intentionally excluded intentions for control acquisition from the scope</w:t>
      </w:r>
      <w:r w:rsidR="00A87C2F">
        <w:rPr>
          <w:sz w:val="19"/>
          <w:szCs w:val="19"/>
          <w:lang w:val="en-GB"/>
        </w:rPr>
        <w:t>.</w:t>
      </w:r>
      <w:r w:rsidR="008E3815">
        <w:rPr>
          <w:rStyle w:val="Funotenzeichen"/>
          <w:sz w:val="19"/>
          <w:szCs w:val="19"/>
          <w:lang w:val="en-GB"/>
        </w:rPr>
        <w:footnoteReference w:id="431"/>
      </w:r>
      <w:r w:rsidR="003977F7">
        <w:rPr>
          <w:sz w:val="19"/>
          <w:szCs w:val="19"/>
          <w:lang w:val="en-GB"/>
        </w:rPr>
        <w:t xml:space="preserve"> </w:t>
      </w:r>
      <w:r w:rsidR="004D1916">
        <w:rPr>
          <w:sz w:val="19"/>
          <w:szCs w:val="19"/>
          <w:lang w:val="en-GB"/>
        </w:rPr>
        <w:t>(2</w:t>
      </w:r>
      <w:r w:rsidRPr="002121A4">
        <w:rPr>
          <w:sz w:val="19"/>
          <w:szCs w:val="19"/>
          <w:lang w:val="en-GB"/>
        </w:rPr>
        <w:t xml:space="preserve">) Crossing 30% would require M to disclose </w:t>
      </w:r>
      <w:r w:rsidR="00C23FD7">
        <w:rPr>
          <w:sz w:val="19"/>
          <w:szCs w:val="19"/>
          <w:lang w:val="en-GB"/>
        </w:rPr>
        <w:t>(</w:t>
      </w:r>
      <w:proofErr w:type="spellStart"/>
      <w:r w:rsidR="00C23FD7">
        <w:rPr>
          <w:sz w:val="19"/>
          <w:szCs w:val="19"/>
          <w:lang w:val="en-GB"/>
        </w:rPr>
        <w:t>i</w:t>
      </w:r>
      <w:proofErr w:type="spellEnd"/>
      <w:r w:rsidR="00C23FD7">
        <w:rPr>
          <w:sz w:val="19"/>
          <w:szCs w:val="19"/>
          <w:lang w:val="en-GB"/>
        </w:rPr>
        <w:t xml:space="preserve">) </w:t>
      </w:r>
      <w:r w:rsidR="00845E0D">
        <w:rPr>
          <w:sz w:val="19"/>
          <w:szCs w:val="19"/>
          <w:lang w:val="en-GB"/>
        </w:rPr>
        <w:t xml:space="preserve">further threshold crossings pursuant to § 33 </w:t>
      </w:r>
      <w:proofErr w:type="spellStart"/>
      <w:r w:rsidR="00845E0D">
        <w:rPr>
          <w:sz w:val="19"/>
          <w:szCs w:val="19"/>
          <w:lang w:val="en-GB"/>
        </w:rPr>
        <w:t>WpHG</w:t>
      </w:r>
      <w:proofErr w:type="spellEnd"/>
      <w:r w:rsidR="00845E0D">
        <w:rPr>
          <w:sz w:val="19"/>
          <w:szCs w:val="19"/>
          <w:lang w:val="en-GB"/>
        </w:rPr>
        <w:t xml:space="preserve">, and </w:t>
      </w:r>
      <w:r w:rsidR="00C23FD7">
        <w:rPr>
          <w:sz w:val="19"/>
          <w:szCs w:val="19"/>
          <w:lang w:val="en-GB"/>
        </w:rPr>
        <w:t xml:space="preserve">(ii) </w:t>
      </w:r>
      <w:r w:rsidR="00845E0D">
        <w:rPr>
          <w:sz w:val="19"/>
          <w:szCs w:val="19"/>
          <w:lang w:val="en-GB"/>
        </w:rPr>
        <w:t xml:space="preserve">the </w:t>
      </w:r>
      <w:r w:rsidRPr="002121A4">
        <w:rPr>
          <w:sz w:val="19"/>
          <w:szCs w:val="19"/>
          <w:lang w:val="en-GB"/>
        </w:rPr>
        <w:t xml:space="preserve">acquisition of control, </w:t>
      </w:r>
      <w:r w:rsidR="00C23FD7">
        <w:rPr>
          <w:sz w:val="19"/>
          <w:szCs w:val="19"/>
          <w:lang w:val="en-GB"/>
        </w:rPr>
        <w:t>§</w:t>
      </w:r>
      <w:r w:rsidRPr="002121A4">
        <w:rPr>
          <w:sz w:val="19"/>
          <w:szCs w:val="19"/>
          <w:lang w:val="en-GB"/>
        </w:rPr>
        <w:t>§ 35(1)(1)</w:t>
      </w:r>
      <w:r w:rsidR="00C23FD7">
        <w:rPr>
          <w:sz w:val="19"/>
          <w:szCs w:val="19"/>
          <w:lang w:val="en-GB"/>
        </w:rPr>
        <w:t>, 29(2), 10(1)</w:t>
      </w:r>
      <w:r w:rsidRPr="002121A4">
        <w:rPr>
          <w:sz w:val="19"/>
          <w:szCs w:val="19"/>
          <w:lang w:val="en-GB"/>
        </w:rPr>
        <w:t xml:space="preserve"> </w:t>
      </w:r>
      <w:proofErr w:type="spellStart"/>
      <w:r w:rsidRPr="002121A4">
        <w:rPr>
          <w:sz w:val="19"/>
          <w:szCs w:val="19"/>
          <w:lang w:val="en-GB"/>
        </w:rPr>
        <w:t>WpÜG</w:t>
      </w:r>
      <w:proofErr w:type="spellEnd"/>
      <w:r w:rsidR="00C23FD7">
        <w:rPr>
          <w:sz w:val="19"/>
          <w:szCs w:val="19"/>
          <w:lang w:val="en-GB"/>
        </w:rPr>
        <w:t xml:space="preserve">. Note that pursuant to § 10(6) </w:t>
      </w:r>
      <w:proofErr w:type="spellStart"/>
      <w:r w:rsidR="00C23FD7">
        <w:rPr>
          <w:sz w:val="19"/>
          <w:szCs w:val="19"/>
          <w:lang w:val="en-GB"/>
        </w:rPr>
        <w:t>WpÜG</w:t>
      </w:r>
      <w:proofErr w:type="spellEnd"/>
      <w:r w:rsidR="00C23FD7">
        <w:rPr>
          <w:sz w:val="19"/>
          <w:szCs w:val="19"/>
          <w:lang w:val="en-GB"/>
        </w:rPr>
        <w:t xml:space="preserve">, a bidder is not required to make disclosure pursuant to article 17(1) MAR prior to the disclosure under § 10(1) </w:t>
      </w:r>
      <w:proofErr w:type="spellStart"/>
      <w:r w:rsidR="00C23FD7">
        <w:rPr>
          <w:sz w:val="19"/>
          <w:szCs w:val="19"/>
          <w:lang w:val="en-GB"/>
        </w:rPr>
        <w:t>WpÜG</w:t>
      </w:r>
      <w:proofErr w:type="spellEnd"/>
      <w:r w:rsidR="00C23FD7">
        <w:rPr>
          <w:sz w:val="19"/>
          <w:szCs w:val="19"/>
          <w:lang w:val="en-GB"/>
        </w:rPr>
        <w:t xml:space="preserve">. Acquisition of control requires M </w:t>
      </w:r>
      <w:r w:rsidRPr="002121A4">
        <w:rPr>
          <w:sz w:val="19"/>
          <w:szCs w:val="19"/>
          <w:lang w:val="en-GB"/>
        </w:rPr>
        <w:t xml:space="preserve">to make a mandatory bid, § 35(2)(1) </w:t>
      </w:r>
      <w:proofErr w:type="spellStart"/>
      <w:r w:rsidRPr="002121A4">
        <w:rPr>
          <w:sz w:val="19"/>
          <w:szCs w:val="19"/>
          <w:lang w:val="en-GB"/>
        </w:rPr>
        <w:t>WpÜG</w:t>
      </w:r>
      <w:proofErr w:type="spellEnd"/>
      <w:r w:rsidRPr="002121A4">
        <w:rPr>
          <w:sz w:val="19"/>
          <w:szCs w:val="19"/>
          <w:lang w:val="en-GB"/>
        </w:rPr>
        <w:t xml:space="preserve">. Non-compliance </w:t>
      </w:r>
      <w:r w:rsidR="00617271">
        <w:rPr>
          <w:sz w:val="19"/>
          <w:szCs w:val="19"/>
          <w:lang w:val="en-GB"/>
        </w:rPr>
        <w:t xml:space="preserve">with </w:t>
      </w:r>
      <w:proofErr w:type="spellStart"/>
      <w:r w:rsidR="00617271">
        <w:rPr>
          <w:sz w:val="19"/>
          <w:szCs w:val="19"/>
          <w:lang w:val="en-GB"/>
        </w:rPr>
        <w:t>WpÜG</w:t>
      </w:r>
      <w:proofErr w:type="spellEnd"/>
      <w:r w:rsidR="00617271">
        <w:rPr>
          <w:sz w:val="19"/>
          <w:szCs w:val="19"/>
          <w:lang w:val="en-GB"/>
        </w:rPr>
        <w:t xml:space="preserve"> requirements </w:t>
      </w:r>
      <w:r w:rsidRPr="002121A4">
        <w:rPr>
          <w:sz w:val="19"/>
          <w:szCs w:val="19"/>
          <w:lang w:val="en-GB"/>
        </w:rPr>
        <w:t xml:space="preserve">will suspend rights attaching to shares (§ 59 </w:t>
      </w:r>
      <w:proofErr w:type="spellStart"/>
      <w:r w:rsidRPr="002121A4">
        <w:rPr>
          <w:sz w:val="19"/>
          <w:szCs w:val="19"/>
          <w:lang w:val="en-GB"/>
        </w:rPr>
        <w:t>WpÜG</w:t>
      </w:r>
      <w:proofErr w:type="spellEnd"/>
      <w:r w:rsidRPr="002121A4">
        <w:rPr>
          <w:sz w:val="19"/>
          <w:szCs w:val="19"/>
          <w:lang w:val="en-GB"/>
        </w:rPr>
        <w:t xml:space="preserve">) and trigger administrative sanctions (§ 60(1) no. 2–5 </w:t>
      </w:r>
      <w:proofErr w:type="spellStart"/>
      <w:r w:rsidRPr="002121A4">
        <w:rPr>
          <w:sz w:val="19"/>
          <w:szCs w:val="19"/>
          <w:lang w:val="en-GB"/>
        </w:rPr>
        <w:t>WpÜG</w:t>
      </w:r>
      <w:proofErr w:type="spellEnd"/>
      <w:r w:rsidRPr="002121A4">
        <w:rPr>
          <w:sz w:val="19"/>
          <w:szCs w:val="19"/>
          <w:lang w:val="en-GB"/>
        </w:rPr>
        <w:t xml:space="preserve">). However, failure to make the mandatory bid does not give shareholders an actionable right to request payment of what would have been the equitable price pursuant to takeover regulations (see the decision in </w:t>
      </w:r>
      <w:r w:rsidRPr="00D7245A">
        <w:rPr>
          <w:i/>
          <w:sz w:val="19"/>
          <w:szCs w:val="19"/>
          <w:lang w:val="en-GB"/>
        </w:rPr>
        <w:t>BKN</w:t>
      </w:r>
      <w:r w:rsidRPr="002121A4">
        <w:rPr>
          <w:sz w:val="19"/>
          <w:szCs w:val="19"/>
          <w:lang w:val="en-GB"/>
        </w:rPr>
        <w:t>).</w:t>
      </w:r>
    </w:p>
    <w:p w14:paraId="78803BEA" w14:textId="230ADF18" w:rsidR="00170B05" w:rsidRPr="002121A4" w:rsidRDefault="004D1916" w:rsidP="00956EF4">
      <w:pPr>
        <w:rPr>
          <w:sz w:val="19"/>
          <w:szCs w:val="19"/>
          <w:lang w:val="en-GB"/>
        </w:rPr>
      </w:pPr>
      <w:r>
        <w:rPr>
          <w:sz w:val="19"/>
          <w:szCs w:val="19"/>
          <w:lang w:val="en-GB"/>
        </w:rPr>
        <w:t xml:space="preserve">b) </w:t>
      </w:r>
      <w:r w:rsidR="00170B05" w:rsidRPr="002121A4">
        <w:rPr>
          <w:sz w:val="19"/>
          <w:szCs w:val="19"/>
          <w:lang w:val="en-GB"/>
        </w:rPr>
        <w:t xml:space="preserve">The use of A GmbH as a “vehicle” does not change the assessment as A would be deemed to be a subsidiary of M within the meaning of § 30(1) no. 1 </w:t>
      </w:r>
      <w:proofErr w:type="spellStart"/>
      <w:r w:rsidR="00170B05" w:rsidRPr="002121A4">
        <w:rPr>
          <w:sz w:val="19"/>
          <w:szCs w:val="19"/>
          <w:lang w:val="en-GB"/>
        </w:rPr>
        <w:t>WpÜG</w:t>
      </w:r>
      <w:proofErr w:type="spellEnd"/>
      <w:r w:rsidR="00170B05" w:rsidRPr="002121A4">
        <w:rPr>
          <w:sz w:val="19"/>
          <w:szCs w:val="19"/>
          <w:lang w:val="en-GB"/>
        </w:rPr>
        <w:t xml:space="preserve">, § 34(1) no. 1 </w:t>
      </w:r>
      <w:proofErr w:type="spellStart"/>
      <w:r w:rsidR="00170B05" w:rsidRPr="002121A4">
        <w:rPr>
          <w:sz w:val="19"/>
          <w:szCs w:val="19"/>
          <w:lang w:val="en-GB"/>
        </w:rPr>
        <w:t>WpHG</w:t>
      </w:r>
      <w:proofErr w:type="spellEnd"/>
      <w:r w:rsidR="00170B05" w:rsidRPr="002121A4">
        <w:rPr>
          <w:sz w:val="19"/>
          <w:szCs w:val="19"/>
          <w:lang w:val="en-GB"/>
        </w:rPr>
        <w:t>, and accordingly, all shares held by A would be treated as shares held by M</w:t>
      </w:r>
      <w:r w:rsidR="00A44252">
        <w:rPr>
          <w:sz w:val="19"/>
          <w:szCs w:val="19"/>
          <w:lang w:val="en-GB"/>
        </w:rPr>
        <w:t xml:space="preserve">. </w:t>
      </w:r>
      <w:r w:rsidR="004C56AE">
        <w:rPr>
          <w:sz w:val="19"/>
          <w:szCs w:val="19"/>
          <w:lang w:val="en-GB"/>
        </w:rPr>
        <w:t>It is important to n</w:t>
      </w:r>
      <w:r w:rsidR="00170B05" w:rsidRPr="002121A4">
        <w:rPr>
          <w:sz w:val="19"/>
          <w:szCs w:val="19"/>
          <w:lang w:val="en-GB"/>
        </w:rPr>
        <w:t xml:space="preserve">ote that aggregation </w:t>
      </w:r>
      <w:r w:rsidR="00243DF9">
        <w:rPr>
          <w:sz w:val="19"/>
          <w:szCs w:val="19"/>
          <w:lang w:val="en-GB"/>
        </w:rPr>
        <w:t>under § 3</w:t>
      </w:r>
      <w:r w:rsidR="00C417A8">
        <w:rPr>
          <w:sz w:val="19"/>
          <w:szCs w:val="19"/>
          <w:lang w:val="en-GB"/>
        </w:rPr>
        <w:t>0</w:t>
      </w:r>
      <w:r w:rsidR="00D56BA2">
        <w:rPr>
          <w:sz w:val="19"/>
          <w:szCs w:val="19"/>
          <w:lang w:val="en-GB"/>
        </w:rPr>
        <w:t>(1) no. 1</w:t>
      </w:r>
      <w:r w:rsidR="00243DF9">
        <w:rPr>
          <w:sz w:val="19"/>
          <w:szCs w:val="19"/>
          <w:lang w:val="en-GB"/>
        </w:rPr>
        <w:t xml:space="preserve"> </w:t>
      </w:r>
      <w:proofErr w:type="spellStart"/>
      <w:r w:rsidR="00243DF9">
        <w:rPr>
          <w:sz w:val="19"/>
          <w:szCs w:val="19"/>
          <w:lang w:val="en-GB"/>
        </w:rPr>
        <w:t>WpÜG</w:t>
      </w:r>
      <w:proofErr w:type="spellEnd"/>
      <w:r w:rsidR="00243DF9">
        <w:rPr>
          <w:sz w:val="19"/>
          <w:szCs w:val="19"/>
          <w:lang w:val="en-GB"/>
        </w:rPr>
        <w:t xml:space="preserve"> (and also § 34</w:t>
      </w:r>
      <w:r w:rsidR="00D56BA2">
        <w:rPr>
          <w:sz w:val="19"/>
          <w:szCs w:val="19"/>
          <w:lang w:val="en-GB"/>
        </w:rPr>
        <w:t>(1) no. 1</w:t>
      </w:r>
      <w:r w:rsidR="00243DF9">
        <w:rPr>
          <w:sz w:val="19"/>
          <w:szCs w:val="19"/>
          <w:lang w:val="en-GB"/>
        </w:rPr>
        <w:t xml:space="preserve"> </w:t>
      </w:r>
      <w:proofErr w:type="spellStart"/>
      <w:r w:rsidR="00243DF9">
        <w:rPr>
          <w:sz w:val="19"/>
          <w:szCs w:val="19"/>
          <w:lang w:val="en-GB"/>
        </w:rPr>
        <w:t>WpHG</w:t>
      </w:r>
      <w:proofErr w:type="spellEnd"/>
      <w:r w:rsidR="00243DF9">
        <w:rPr>
          <w:sz w:val="19"/>
          <w:szCs w:val="19"/>
          <w:lang w:val="en-GB"/>
        </w:rPr>
        <w:t xml:space="preserve">) </w:t>
      </w:r>
      <w:r w:rsidR="00170B05" w:rsidRPr="002121A4">
        <w:rPr>
          <w:sz w:val="19"/>
          <w:szCs w:val="19"/>
          <w:lang w:val="en-GB"/>
        </w:rPr>
        <w:t xml:space="preserve">is not </w:t>
      </w:r>
      <w:r w:rsidR="00170B05" w:rsidRPr="00A44252">
        <w:rPr>
          <w:i/>
          <w:sz w:val="19"/>
          <w:szCs w:val="19"/>
          <w:lang w:val="en-GB"/>
        </w:rPr>
        <w:t>pro rata</w:t>
      </w:r>
      <w:r w:rsidR="00243DF9" w:rsidRPr="00243DF9">
        <w:rPr>
          <w:sz w:val="19"/>
          <w:szCs w:val="19"/>
          <w:lang w:val="en-GB"/>
        </w:rPr>
        <w:t>:</w:t>
      </w:r>
      <w:r w:rsidR="00170B05" w:rsidRPr="002121A4">
        <w:rPr>
          <w:sz w:val="19"/>
          <w:szCs w:val="19"/>
          <w:lang w:val="en-GB"/>
        </w:rPr>
        <w:t xml:space="preserve"> </w:t>
      </w:r>
      <w:r w:rsidR="00243DF9">
        <w:rPr>
          <w:sz w:val="19"/>
          <w:szCs w:val="19"/>
          <w:lang w:val="en-GB"/>
        </w:rPr>
        <w:t xml:space="preserve">it does not matter whether </w:t>
      </w:r>
      <w:r w:rsidR="00A36387">
        <w:rPr>
          <w:sz w:val="19"/>
          <w:szCs w:val="19"/>
          <w:lang w:val="en-GB"/>
        </w:rPr>
        <w:t>M</w:t>
      </w:r>
      <w:r w:rsidR="00243DF9">
        <w:rPr>
          <w:sz w:val="19"/>
          <w:szCs w:val="19"/>
          <w:lang w:val="en-GB"/>
        </w:rPr>
        <w:t xml:space="preserve"> holds 60, 7</w:t>
      </w:r>
      <w:r w:rsidR="00A36387">
        <w:rPr>
          <w:sz w:val="19"/>
          <w:szCs w:val="19"/>
          <w:lang w:val="en-GB"/>
        </w:rPr>
        <w:t>5</w:t>
      </w:r>
      <w:r w:rsidR="00243DF9">
        <w:rPr>
          <w:sz w:val="19"/>
          <w:szCs w:val="19"/>
          <w:lang w:val="en-GB"/>
        </w:rPr>
        <w:t xml:space="preserve"> or 80% in </w:t>
      </w:r>
      <w:r w:rsidR="00A36387">
        <w:rPr>
          <w:sz w:val="19"/>
          <w:szCs w:val="19"/>
          <w:lang w:val="en-GB"/>
        </w:rPr>
        <w:t>A GmbH</w:t>
      </w:r>
      <w:r w:rsidR="00243DF9">
        <w:rPr>
          <w:sz w:val="19"/>
          <w:szCs w:val="19"/>
          <w:lang w:val="en-GB"/>
        </w:rPr>
        <w:t xml:space="preserve">; in all scenarios 100% of the participations of the subsidiary in listed companies will be attributed to the parent. </w:t>
      </w:r>
      <w:r w:rsidR="004C56AE">
        <w:rPr>
          <w:sz w:val="19"/>
          <w:szCs w:val="19"/>
          <w:lang w:val="en-GB"/>
        </w:rPr>
        <w:t xml:space="preserve">The reason is that once control within the meaning of § 30(1) no. 1 </w:t>
      </w:r>
      <w:proofErr w:type="spellStart"/>
      <w:r w:rsidR="004C56AE">
        <w:rPr>
          <w:sz w:val="19"/>
          <w:szCs w:val="19"/>
          <w:lang w:val="en-GB"/>
        </w:rPr>
        <w:t>WpÜG</w:t>
      </w:r>
      <w:proofErr w:type="spellEnd"/>
      <w:r w:rsidR="004C56AE">
        <w:rPr>
          <w:sz w:val="19"/>
          <w:szCs w:val="19"/>
          <w:lang w:val="en-GB"/>
        </w:rPr>
        <w:t xml:space="preserve"> exists, this gives the parent control over the entire participation held by the subsidiary. </w:t>
      </w:r>
    </w:p>
    <w:p w14:paraId="6CD557C6" w14:textId="12BDDB0D"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_Ref163124404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48</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_Ref163124404 \h </w:instrText>
      </w:r>
      <w:r w:rsidRPr="002121A4">
        <w:rPr>
          <w:b/>
          <w:sz w:val="19"/>
          <w:szCs w:val="19"/>
          <w:lang w:val="en-GB"/>
        </w:rPr>
      </w:r>
      <w:r w:rsidRPr="002121A4">
        <w:rPr>
          <w:b/>
          <w:sz w:val="19"/>
          <w:szCs w:val="19"/>
          <w:lang w:val="en-GB"/>
        </w:rPr>
        <w:fldChar w:fldCharType="separate"/>
      </w:r>
      <w:r w:rsidR="00D56145">
        <w:rPr>
          <w:b/>
          <w:noProof/>
          <w:sz w:val="19"/>
          <w:szCs w:val="19"/>
          <w:lang w:val="en-GB"/>
        </w:rPr>
        <w:t>72</w:t>
      </w:r>
      <w:r w:rsidRPr="002121A4">
        <w:rPr>
          <w:b/>
          <w:sz w:val="19"/>
          <w:szCs w:val="19"/>
          <w:lang w:val="en-GB"/>
        </w:rPr>
        <w:fldChar w:fldCharType="end"/>
      </w:r>
      <w:r w:rsidRPr="002121A4">
        <w:rPr>
          <w:b/>
          <w:sz w:val="19"/>
          <w:szCs w:val="19"/>
          <w:lang w:val="en-GB"/>
        </w:rPr>
        <w:t>).</w:t>
      </w:r>
      <w:r w:rsidRPr="002121A4">
        <w:rPr>
          <w:sz w:val="19"/>
          <w:szCs w:val="19"/>
          <w:lang w:val="en-GB"/>
        </w:rPr>
        <w:t xml:space="preserve"> This case turns around article 5(2) TBD and § 35(3) </w:t>
      </w:r>
      <w:proofErr w:type="spellStart"/>
      <w:r w:rsidRPr="002121A4">
        <w:rPr>
          <w:sz w:val="19"/>
          <w:szCs w:val="19"/>
          <w:lang w:val="en-GB"/>
        </w:rPr>
        <w:t>WpÜG</w:t>
      </w:r>
      <w:proofErr w:type="spellEnd"/>
      <w:r w:rsidRPr="002121A4">
        <w:rPr>
          <w:sz w:val="19"/>
          <w:szCs w:val="19"/>
          <w:lang w:val="en-GB"/>
        </w:rPr>
        <w:t xml:space="preserve"> which exempt cases from a mandatory bid where a shareholder acquires control through a voluntary bid. </w:t>
      </w:r>
      <w:r w:rsidR="00FB7FD9">
        <w:rPr>
          <w:sz w:val="19"/>
          <w:szCs w:val="19"/>
          <w:lang w:val="en-GB"/>
        </w:rPr>
        <w:t>T</w:t>
      </w:r>
      <w:r w:rsidRPr="002121A4">
        <w:rPr>
          <w:sz w:val="19"/>
          <w:szCs w:val="19"/>
          <w:lang w:val="en-GB"/>
        </w:rPr>
        <w:t xml:space="preserve">he </w:t>
      </w:r>
      <w:r w:rsidRPr="008A71AF">
        <w:rPr>
          <w:i/>
          <w:sz w:val="19"/>
          <w:szCs w:val="19"/>
          <w:lang w:val="en-GB"/>
        </w:rPr>
        <w:t>wording</w:t>
      </w:r>
      <w:r w:rsidRPr="002121A4">
        <w:rPr>
          <w:sz w:val="19"/>
          <w:szCs w:val="19"/>
          <w:lang w:val="en-GB"/>
        </w:rPr>
        <w:t xml:space="preserve"> of § 35(3) </w:t>
      </w:r>
      <w:proofErr w:type="spellStart"/>
      <w:r w:rsidRPr="002121A4">
        <w:rPr>
          <w:sz w:val="19"/>
          <w:szCs w:val="19"/>
          <w:lang w:val="en-GB"/>
        </w:rPr>
        <w:t>WpÜG</w:t>
      </w:r>
      <w:proofErr w:type="spellEnd"/>
      <w:r w:rsidRPr="002121A4">
        <w:rPr>
          <w:sz w:val="19"/>
          <w:szCs w:val="19"/>
          <w:lang w:val="en-GB"/>
        </w:rPr>
        <w:t xml:space="preserve"> can be read </w:t>
      </w:r>
      <w:r w:rsidR="00836DB4">
        <w:rPr>
          <w:sz w:val="19"/>
          <w:szCs w:val="19"/>
          <w:lang w:val="en-GB"/>
        </w:rPr>
        <w:t xml:space="preserve">at first sight </w:t>
      </w:r>
      <w:r w:rsidRPr="002121A4">
        <w:rPr>
          <w:sz w:val="19"/>
          <w:szCs w:val="19"/>
          <w:lang w:val="en-GB"/>
        </w:rPr>
        <w:t xml:space="preserve">as requiring causality in the sense that it only covers </w:t>
      </w:r>
      <w:r w:rsidR="00FB7FD9">
        <w:rPr>
          <w:sz w:val="19"/>
          <w:szCs w:val="19"/>
          <w:lang w:val="en-GB"/>
        </w:rPr>
        <w:t xml:space="preserve">scenarios where </w:t>
      </w:r>
      <w:r w:rsidR="00836DB4">
        <w:rPr>
          <w:sz w:val="19"/>
          <w:szCs w:val="19"/>
          <w:lang w:val="en-GB"/>
        </w:rPr>
        <w:t xml:space="preserve">the </w:t>
      </w:r>
      <w:r w:rsidR="00FB7FD9">
        <w:rPr>
          <w:sz w:val="19"/>
          <w:szCs w:val="19"/>
          <w:lang w:val="en-GB"/>
        </w:rPr>
        <w:t>bid itself enables the bidder to cross the control threshold</w:t>
      </w:r>
      <w:r w:rsidR="00210CFA">
        <w:rPr>
          <w:sz w:val="19"/>
          <w:szCs w:val="19"/>
          <w:lang w:val="en-GB"/>
        </w:rPr>
        <w:t>:</w:t>
      </w:r>
      <w:r w:rsidR="00700E5D">
        <w:rPr>
          <w:sz w:val="19"/>
          <w:szCs w:val="19"/>
          <w:lang w:val="en-GB"/>
        </w:rPr>
        <w:t xml:space="preserve"> </w:t>
      </w:r>
      <w:r w:rsidR="00FB7FD9">
        <w:rPr>
          <w:sz w:val="19"/>
          <w:szCs w:val="19"/>
          <w:lang w:val="en-GB"/>
        </w:rPr>
        <w:t>e.g., where the bidder holds an initial stake of 5%</w:t>
      </w:r>
      <w:r w:rsidR="00210CFA">
        <w:rPr>
          <w:sz w:val="19"/>
          <w:szCs w:val="19"/>
          <w:lang w:val="en-GB"/>
        </w:rPr>
        <w:t xml:space="preserve"> prior to a voluntary bid</w:t>
      </w:r>
      <w:r w:rsidR="00FB7FD9">
        <w:rPr>
          <w:sz w:val="19"/>
          <w:szCs w:val="19"/>
          <w:lang w:val="en-GB"/>
        </w:rPr>
        <w:t xml:space="preserve">, and then acquires another 30% through </w:t>
      </w:r>
      <w:r w:rsidR="00210CFA">
        <w:rPr>
          <w:sz w:val="19"/>
          <w:szCs w:val="19"/>
          <w:lang w:val="en-GB"/>
        </w:rPr>
        <w:t xml:space="preserve">the </w:t>
      </w:r>
      <w:r w:rsidR="00FB7FD9">
        <w:rPr>
          <w:sz w:val="19"/>
          <w:szCs w:val="19"/>
          <w:lang w:val="en-GB"/>
        </w:rPr>
        <w:t>bid, no mandatory bid is required. However</w:t>
      </w:r>
      <w:r w:rsidRPr="002121A4">
        <w:rPr>
          <w:sz w:val="19"/>
          <w:szCs w:val="19"/>
          <w:lang w:val="en-GB"/>
        </w:rPr>
        <w:t xml:space="preserve">, it is universally accepted that </w:t>
      </w:r>
      <w:r w:rsidR="0092398E">
        <w:rPr>
          <w:sz w:val="19"/>
          <w:szCs w:val="19"/>
          <w:lang w:val="en-GB"/>
        </w:rPr>
        <w:t xml:space="preserve">§ 35(3) </w:t>
      </w:r>
      <w:proofErr w:type="spellStart"/>
      <w:r w:rsidR="0092398E">
        <w:rPr>
          <w:sz w:val="19"/>
          <w:szCs w:val="19"/>
          <w:lang w:val="en-GB"/>
        </w:rPr>
        <w:t>WpÜG</w:t>
      </w:r>
      <w:proofErr w:type="spellEnd"/>
      <w:r w:rsidR="0092398E">
        <w:rPr>
          <w:sz w:val="19"/>
          <w:szCs w:val="19"/>
          <w:lang w:val="en-GB"/>
        </w:rPr>
        <w:t xml:space="preserve"> goes beyond this and that </w:t>
      </w:r>
      <w:r w:rsidRPr="002121A4">
        <w:rPr>
          <w:sz w:val="19"/>
          <w:szCs w:val="19"/>
          <w:lang w:val="en-GB"/>
        </w:rPr>
        <w:t xml:space="preserve">it is sufficient that </w:t>
      </w:r>
      <w:r w:rsidR="00836DB4">
        <w:rPr>
          <w:sz w:val="19"/>
          <w:szCs w:val="19"/>
          <w:lang w:val="en-GB"/>
        </w:rPr>
        <w:t>there is a connection in terms of timing and substance between the bid on the one hand and the acquisition of control on the other</w:t>
      </w:r>
      <w:r w:rsidR="008A71AF">
        <w:rPr>
          <w:sz w:val="19"/>
          <w:szCs w:val="19"/>
          <w:lang w:val="en-GB"/>
        </w:rPr>
        <w:t>.</w:t>
      </w:r>
      <w:r w:rsidR="008A71AF">
        <w:rPr>
          <w:rStyle w:val="Funotenzeichen"/>
          <w:sz w:val="19"/>
          <w:szCs w:val="19"/>
          <w:lang w:val="en-GB"/>
        </w:rPr>
        <w:footnoteReference w:id="432"/>
      </w:r>
      <w:r w:rsidRPr="002121A4">
        <w:rPr>
          <w:sz w:val="19"/>
          <w:szCs w:val="19"/>
          <w:lang w:val="en-GB"/>
        </w:rPr>
        <w:t xml:space="preserve"> </w:t>
      </w:r>
      <w:r w:rsidR="008A71AF">
        <w:rPr>
          <w:sz w:val="19"/>
          <w:szCs w:val="19"/>
          <w:lang w:val="en-GB"/>
        </w:rPr>
        <w:t>O</w:t>
      </w:r>
      <w:r w:rsidRPr="002121A4">
        <w:rPr>
          <w:sz w:val="19"/>
          <w:szCs w:val="19"/>
          <w:lang w:val="en-GB"/>
        </w:rPr>
        <w:t xml:space="preserve">n this basis, § 35(3) </w:t>
      </w:r>
      <w:proofErr w:type="spellStart"/>
      <w:r w:rsidRPr="002121A4">
        <w:rPr>
          <w:sz w:val="19"/>
          <w:szCs w:val="19"/>
          <w:lang w:val="en-GB"/>
        </w:rPr>
        <w:t>WpÜG</w:t>
      </w:r>
      <w:proofErr w:type="spellEnd"/>
      <w:r w:rsidRPr="002121A4">
        <w:rPr>
          <w:sz w:val="19"/>
          <w:szCs w:val="19"/>
          <w:lang w:val="en-GB"/>
        </w:rPr>
        <w:t xml:space="preserve"> also covers acquisitions </w:t>
      </w:r>
      <w:r w:rsidR="00FB7FD9">
        <w:rPr>
          <w:sz w:val="19"/>
          <w:szCs w:val="19"/>
          <w:lang w:val="en-GB"/>
        </w:rPr>
        <w:t>in parallel to a</w:t>
      </w:r>
      <w:r w:rsidRPr="002121A4">
        <w:rPr>
          <w:sz w:val="19"/>
          <w:szCs w:val="19"/>
          <w:lang w:val="en-GB"/>
        </w:rPr>
        <w:t xml:space="preserve"> the voluntary bid</w:t>
      </w:r>
      <w:r w:rsidR="00FB7FD9">
        <w:rPr>
          <w:sz w:val="19"/>
          <w:szCs w:val="19"/>
          <w:lang w:val="en-GB"/>
        </w:rPr>
        <w:t xml:space="preserve"> during the period between </w:t>
      </w:r>
      <w:r w:rsidRPr="002121A4">
        <w:rPr>
          <w:sz w:val="19"/>
          <w:szCs w:val="19"/>
          <w:lang w:val="en-GB"/>
        </w:rPr>
        <w:t xml:space="preserve">the publication of an offer and </w:t>
      </w:r>
      <w:r w:rsidR="00FB7FD9">
        <w:rPr>
          <w:sz w:val="19"/>
          <w:szCs w:val="19"/>
          <w:lang w:val="en-GB"/>
        </w:rPr>
        <w:t xml:space="preserve">before </w:t>
      </w:r>
      <w:r w:rsidRPr="002121A4">
        <w:rPr>
          <w:sz w:val="19"/>
          <w:szCs w:val="19"/>
          <w:lang w:val="en-GB"/>
        </w:rPr>
        <w:t xml:space="preserve">the end of the offer period. BaFin also accepts that § 35(3) </w:t>
      </w:r>
      <w:proofErr w:type="spellStart"/>
      <w:r w:rsidRPr="002121A4">
        <w:rPr>
          <w:sz w:val="19"/>
          <w:szCs w:val="19"/>
          <w:lang w:val="en-GB"/>
        </w:rPr>
        <w:t>WpÜG</w:t>
      </w:r>
      <w:proofErr w:type="spellEnd"/>
      <w:r w:rsidRPr="002121A4">
        <w:rPr>
          <w:sz w:val="19"/>
          <w:szCs w:val="19"/>
          <w:lang w:val="en-GB"/>
        </w:rPr>
        <w:t xml:space="preserve"> applies to acquisitions after the end of the offer period provided the underlying agreement was made during the offer period.</w:t>
      </w:r>
      <w:r w:rsidR="00876F56">
        <w:rPr>
          <w:rStyle w:val="Funotenzeichen"/>
          <w:sz w:val="19"/>
          <w:szCs w:val="19"/>
          <w:lang w:val="en-GB"/>
        </w:rPr>
        <w:footnoteReference w:id="433"/>
      </w:r>
      <w:r w:rsidR="00D354D5">
        <w:rPr>
          <w:sz w:val="19"/>
          <w:szCs w:val="19"/>
          <w:lang w:val="en-GB"/>
        </w:rPr>
        <w:t xml:space="preserve"> On this basis, </w:t>
      </w:r>
      <w:r w:rsidR="00284893">
        <w:rPr>
          <w:sz w:val="19"/>
          <w:szCs w:val="19"/>
          <w:lang w:val="en-GB"/>
        </w:rPr>
        <w:t>the case at hand</w:t>
      </w:r>
      <w:r w:rsidR="00D354D5">
        <w:rPr>
          <w:sz w:val="19"/>
          <w:szCs w:val="19"/>
          <w:lang w:val="en-GB"/>
        </w:rPr>
        <w:t xml:space="preserve"> is captured by § 35(3) </w:t>
      </w:r>
      <w:proofErr w:type="spellStart"/>
      <w:r w:rsidR="00D354D5">
        <w:rPr>
          <w:sz w:val="19"/>
          <w:szCs w:val="19"/>
          <w:lang w:val="en-GB"/>
        </w:rPr>
        <w:t>WpÜG</w:t>
      </w:r>
      <w:proofErr w:type="spellEnd"/>
      <w:r w:rsidR="00D354D5">
        <w:rPr>
          <w:sz w:val="19"/>
          <w:szCs w:val="19"/>
          <w:lang w:val="en-GB"/>
        </w:rPr>
        <w:t xml:space="preserve"> and no mandatory offer is required.</w:t>
      </w:r>
    </w:p>
    <w:p w14:paraId="2A4FF246" w14:textId="6D628535" w:rsidR="00170B05" w:rsidRPr="002121A4"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_Ref163124412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49</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_Ref163124412 \h </w:instrText>
      </w:r>
      <w:r w:rsidRPr="002121A4">
        <w:rPr>
          <w:b/>
          <w:sz w:val="19"/>
          <w:szCs w:val="19"/>
          <w:lang w:val="en-GB"/>
        </w:rPr>
      </w:r>
      <w:r w:rsidRPr="002121A4">
        <w:rPr>
          <w:b/>
          <w:sz w:val="19"/>
          <w:szCs w:val="19"/>
          <w:lang w:val="en-GB"/>
        </w:rPr>
        <w:fldChar w:fldCharType="separate"/>
      </w:r>
      <w:r w:rsidR="00D56145">
        <w:rPr>
          <w:b/>
          <w:noProof/>
          <w:sz w:val="19"/>
          <w:szCs w:val="19"/>
          <w:lang w:val="en-GB"/>
        </w:rPr>
        <w:t>74</w:t>
      </w:r>
      <w:r w:rsidRPr="002121A4">
        <w:rPr>
          <w:b/>
          <w:sz w:val="19"/>
          <w:szCs w:val="19"/>
          <w:lang w:val="en-GB"/>
        </w:rPr>
        <w:fldChar w:fldCharType="end"/>
      </w:r>
      <w:r w:rsidRPr="002121A4">
        <w:rPr>
          <w:b/>
          <w:sz w:val="19"/>
          <w:szCs w:val="19"/>
          <w:lang w:val="en-GB"/>
        </w:rPr>
        <w:t>).</w:t>
      </w:r>
      <w:r w:rsidRPr="002121A4">
        <w:rPr>
          <w:sz w:val="19"/>
          <w:szCs w:val="19"/>
          <w:lang w:val="en-GB"/>
        </w:rPr>
        <w:t xml:space="preserve"> Pursuant to </w:t>
      </w:r>
      <w:r w:rsidR="00430814">
        <w:rPr>
          <w:sz w:val="19"/>
          <w:szCs w:val="19"/>
          <w:lang w:val="en-GB"/>
        </w:rPr>
        <w:t xml:space="preserve">the decision in </w:t>
      </w:r>
      <w:r w:rsidRPr="00D7245A">
        <w:rPr>
          <w:i/>
          <w:sz w:val="19"/>
          <w:szCs w:val="19"/>
          <w:lang w:val="en-GB"/>
        </w:rPr>
        <w:t>BKN</w:t>
      </w:r>
      <w:r w:rsidRPr="002121A4">
        <w:rPr>
          <w:sz w:val="19"/>
          <w:szCs w:val="19"/>
          <w:lang w:val="en-GB"/>
        </w:rPr>
        <w:t>, § 35</w:t>
      </w:r>
      <w:r w:rsidR="00BE7C9E">
        <w:rPr>
          <w:sz w:val="19"/>
          <w:szCs w:val="19"/>
          <w:lang w:val="en-GB"/>
        </w:rPr>
        <w:t>(</w:t>
      </w:r>
      <w:r w:rsidR="00A455EA">
        <w:rPr>
          <w:sz w:val="19"/>
          <w:szCs w:val="19"/>
          <w:lang w:val="en-GB"/>
        </w:rPr>
        <w:t>2</w:t>
      </w:r>
      <w:r w:rsidR="00BE7C9E">
        <w:rPr>
          <w:sz w:val="19"/>
          <w:szCs w:val="19"/>
          <w:lang w:val="en-GB"/>
        </w:rPr>
        <w:t>)</w:t>
      </w:r>
      <w:r w:rsidRPr="002121A4">
        <w:rPr>
          <w:sz w:val="19"/>
          <w:szCs w:val="19"/>
          <w:lang w:val="en-GB"/>
        </w:rPr>
        <w:t xml:space="preserve"> </w:t>
      </w:r>
      <w:proofErr w:type="spellStart"/>
      <w:r w:rsidRPr="002121A4">
        <w:rPr>
          <w:sz w:val="19"/>
          <w:szCs w:val="19"/>
          <w:lang w:val="en-GB"/>
        </w:rPr>
        <w:t>WpÜG</w:t>
      </w:r>
      <w:proofErr w:type="spellEnd"/>
      <w:r w:rsidRPr="002121A4">
        <w:rPr>
          <w:sz w:val="19"/>
          <w:szCs w:val="19"/>
          <w:lang w:val="en-GB"/>
        </w:rPr>
        <w:t xml:space="preserve"> </w:t>
      </w:r>
      <w:r w:rsidR="00BE7C9E">
        <w:rPr>
          <w:sz w:val="19"/>
          <w:szCs w:val="19"/>
          <w:lang w:val="en-GB"/>
        </w:rPr>
        <w:t xml:space="preserve">only </w:t>
      </w:r>
      <w:r w:rsidRPr="002121A4">
        <w:rPr>
          <w:sz w:val="19"/>
          <w:szCs w:val="19"/>
          <w:lang w:val="en-GB"/>
        </w:rPr>
        <w:t>creates an obligation to publish an offer whenever control is acquired – but absent such offer, shareholders have no claim against the shareholder that acquired control for payment of the equitable price.</w:t>
      </w:r>
      <w:r w:rsidR="00A455EA">
        <w:rPr>
          <w:rStyle w:val="Funotenzeichen"/>
          <w:sz w:val="19"/>
          <w:szCs w:val="19"/>
          <w:lang w:val="en-GB"/>
        </w:rPr>
        <w:footnoteReference w:id="434"/>
      </w:r>
      <w:r w:rsidRPr="002121A4">
        <w:rPr>
          <w:sz w:val="19"/>
          <w:szCs w:val="19"/>
          <w:lang w:val="en-GB"/>
        </w:rPr>
        <w:t xml:space="preserve"> </w:t>
      </w:r>
      <w:r w:rsidR="00170A2D">
        <w:rPr>
          <w:sz w:val="19"/>
          <w:szCs w:val="19"/>
          <w:lang w:val="en-GB"/>
        </w:rPr>
        <w:t xml:space="preserve">The wording of § 35(2) </w:t>
      </w:r>
      <w:proofErr w:type="spellStart"/>
      <w:r w:rsidR="00170A2D">
        <w:rPr>
          <w:sz w:val="19"/>
          <w:szCs w:val="19"/>
          <w:lang w:val="en-GB"/>
        </w:rPr>
        <w:t>WpÜG</w:t>
      </w:r>
      <w:proofErr w:type="spellEnd"/>
      <w:r w:rsidR="00170A2D">
        <w:rPr>
          <w:sz w:val="19"/>
          <w:szCs w:val="19"/>
          <w:lang w:val="en-GB"/>
        </w:rPr>
        <w:t xml:space="preserve"> does not create a claim for payment of the equitable price, and such a claim is not backed by legislative material either.</w:t>
      </w:r>
      <w:r w:rsidR="00170A2D">
        <w:rPr>
          <w:rStyle w:val="Funotenzeichen"/>
          <w:sz w:val="19"/>
          <w:szCs w:val="19"/>
          <w:lang w:val="en-GB"/>
        </w:rPr>
        <w:footnoteReference w:id="435"/>
      </w:r>
      <w:r w:rsidR="0069292B">
        <w:rPr>
          <w:sz w:val="19"/>
          <w:szCs w:val="19"/>
          <w:lang w:val="en-GB"/>
        </w:rPr>
        <w:t xml:space="preserve"> The existing sanctions for failure to publish an offer (e.g., loss of rights pursuant to § 59 </w:t>
      </w:r>
      <w:proofErr w:type="spellStart"/>
      <w:r w:rsidR="0069292B">
        <w:rPr>
          <w:sz w:val="19"/>
          <w:szCs w:val="19"/>
          <w:lang w:val="en-GB"/>
        </w:rPr>
        <w:t>W</w:t>
      </w:r>
      <w:r w:rsidR="00254488">
        <w:rPr>
          <w:sz w:val="19"/>
          <w:szCs w:val="19"/>
          <w:lang w:val="en-GB"/>
        </w:rPr>
        <w:t>P</w:t>
      </w:r>
      <w:r w:rsidR="0069292B">
        <w:rPr>
          <w:sz w:val="19"/>
          <w:szCs w:val="19"/>
          <w:lang w:val="en-GB"/>
        </w:rPr>
        <w:t>üG</w:t>
      </w:r>
      <w:proofErr w:type="spellEnd"/>
      <w:r w:rsidR="0069292B">
        <w:rPr>
          <w:sz w:val="19"/>
          <w:szCs w:val="19"/>
          <w:lang w:val="en-GB"/>
        </w:rPr>
        <w:t xml:space="preserve">, and administrative fines under § 60 </w:t>
      </w:r>
      <w:proofErr w:type="spellStart"/>
      <w:r w:rsidR="0069292B">
        <w:rPr>
          <w:sz w:val="19"/>
          <w:szCs w:val="19"/>
          <w:lang w:val="en-GB"/>
        </w:rPr>
        <w:t>WpÜG</w:t>
      </w:r>
      <w:proofErr w:type="spellEnd"/>
      <w:r w:rsidR="0069292B">
        <w:rPr>
          <w:sz w:val="19"/>
          <w:szCs w:val="19"/>
          <w:lang w:val="en-GB"/>
        </w:rPr>
        <w:t>)</w:t>
      </w:r>
      <w:r w:rsidR="00F3182E">
        <w:rPr>
          <w:sz w:val="19"/>
          <w:szCs w:val="19"/>
          <w:lang w:val="en-GB"/>
        </w:rPr>
        <w:t xml:space="preserve"> are sufficient.</w:t>
      </w:r>
      <w:r w:rsidR="00F3182E">
        <w:rPr>
          <w:rStyle w:val="Funotenzeichen"/>
          <w:sz w:val="19"/>
          <w:szCs w:val="19"/>
          <w:lang w:val="en-GB"/>
        </w:rPr>
        <w:footnoteReference w:id="436"/>
      </w:r>
      <w:r w:rsidR="00F3182E">
        <w:rPr>
          <w:sz w:val="19"/>
          <w:szCs w:val="19"/>
          <w:lang w:val="en-GB"/>
        </w:rPr>
        <w:t xml:space="preserve"> </w:t>
      </w:r>
      <w:r w:rsidR="00254488">
        <w:rPr>
          <w:sz w:val="19"/>
          <w:szCs w:val="19"/>
          <w:lang w:val="en-GB"/>
        </w:rPr>
        <w:lastRenderedPageBreak/>
        <w:t xml:space="preserve">The provision for interest in case of late offers (§ 38 </w:t>
      </w:r>
      <w:proofErr w:type="spellStart"/>
      <w:r w:rsidR="00254488">
        <w:rPr>
          <w:sz w:val="19"/>
          <w:szCs w:val="19"/>
          <w:lang w:val="en-GB"/>
        </w:rPr>
        <w:t>WpÜG</w:t>
      </w:r>
      <w:proofErr w:type="spellEnd"/>
      <w:r w:rsidR="00254488">
        <w:rPr>
          <w:sz w:val="19"/>
          <w:szCs w:val="19"/>
          <w:lang w:val="en-GB"/>
        </w:rPr>
        <w:t>) only applies if ultimately, an offer is made and accepted.</w:t>
      </w:r>
      <w:r w:rsidR="00254488">
        <w:rPr>
          <w:rStyle w:val="Funotenzeichen"/>
          <w:sz w:val="19"/>
          <w:szCs w:val="19"/>
          <w:lang w:val="en-GB"/>
        </w:rPr>
        <w:footnoteReference w:id="437"/>
      </w:r>
      <w:r w:rsidR="00102596">
        <w:rPr>
          <w:sz w:val="19"/>
          <w:szCs w:val="19"/>
          <w:lang w:val="en-GB"/>
        </w:rPr>
        <w:t xml:space="preserve"> </w:t>
      </w:r>
      <w:r w:rsidRPr="002121A4">
        <w:rPr>
          <w:sz w:val="19"/>
          <w:szCs w:val="19"/>
          <w:lang w:val="en-GB"/>
        </w:rPr>
        <w:t xml:space="preserve">Shareholder protection principles pursuant article 3(1)(a) TBD </w:t>
      </w:r>
      <w:r w:rsidR="00102596">
        <w:rPr>
          <w:sz w:val="19"/>
          <w:szCs w:val="19"/>
          <w:lang w:val="en-GB"/>
        </w:rPr>
        <w:t xml:space="preserve">do not require </w:t>
      </w:r>
      <w:r w:rsidRPr="002121A4">
        <w:rPr>
          <w:sz w:val="19"/>
          <w:szCs w:val="19"/>
          <w:lang w:val="en-GB"/>
        </w:rPr>
        <w:t>such a claim</w:t>
      </w:r>
      <w:r w:rsidR="00102596">
        <w:rPr>
          <w:sz w:val="19"/>
          <w:szCs w:val="19"/>
          <w:lang w:val="en-GB"/>
        </w:rPr>
        <w:t xml:space="preserve"> either.</w:t>
      </w:r>
      <w:r w:rsidR="00102596">
        <w:rPr>
          <w:rStyle w:val="Funotenzeichen"/>
          <w:sz w:val="19"/>
          <w:szCs w:val="19"/>
          <w:lang w:val="en-GB"/>
        </w:rPr>
        <w:footnoteReference w:id="438"/>
      </w:r>
      <w:r w:rsidR="00226DD7">
        <w:rPr>
          <w:sz w:val="19"/>
          <w:szCs w:val="19"/>
          <w:lang w:val="en-GB"/>
        </w:rPr>
        <w:t xml:space="preserve"> Such payment claims cannot be based on § 823(2) BGB either, because </w:t>
      </w:r>
      <w:r w:rsidRPr="002121A4">
        <w:rPr>
          <w:sz w:val="19"/>
          <w:szCs w:val="19"/>
          <w:lang w:val="en-GB"/>
        </w:rPr>
        <w:t xml:space="preserve">§ 35(2) </w:t>
      </w:r>
      <w:proofErr w:type="spellStart"/>
      <w:r w:rsidRPr="002121A4">
        <w:rPr>
          <w:sz w:val="19"/>
          <w:szCs w:val="19"/>
          <w:lang w:val="en-GB"/>
        </w:rPr>
        <w:t>WpÜG</w:t>
      </w:r>
      <w:proofErr w:type="spellEnd"/>
      <w:r w:rsidRPr="002121A4">
        <w:rPr>
          <w:sz w:val="19"/>
          <w:szCs w:val="19"/>
          <w:lang w:val="en-GB"/>
        </w:rPr>
        <w:t xml:space="preserve"> </w:t>
      </w:r>
      <w:r w:rsidR="00226DD7">
        <w:rPr>
          <w:sz w:val="19"/>
          <w:szCs w:val="19"/>
          <w:lang w:val="en-GB"/>
        </w:rPr>
        <w:t xml:space="preserve">was not intended by the legislator to be </w:t>
      </w:r>
      <w:r w:rsidRPr="002121A4">
        <w:rPr>
          <w:sz w:val="19"/>
          <w:szCs w:val="19"/>
          <w:lang w:val="en-GB"/>
        </w:rPr>
        <w:t xml:space="preserve">a provision aimed at the protection of individual </w:t>
      </w:r>
      <w:r w:rsidR="00D7245A" w:rsidRPr="002121A4">
        <w:rPr>
          <w:sz w:val="19"/>
          <w:szCs w:val="19"/>
          <w:lang w:val="en-GB"/>
        </w:rPr>
        <w:t>shareholders</w:t>
      </w:r>
      <w:r w:rsidRPr="002121A4">
        <w:rPr>
          <w:sz w:val="19"/>
          <w:szCs w:val="19"/>
          <w:lang w:val="en-GB"/>
        </w:rPr>
        <w:t>.</w:t>
      </w:r>
      <w:r w:rsidR="00226DD7">
        <w:rPr>
          <w:rStyle w:val="Funotenzeichen"/>
          <w:sz w:val="19"/>
          <w:szCs w:val="19"/>
          <w:lang w:val="en-GB"/>
        </w:rPr>
        <w:footnoteReference w:id="439"/>
      </w:r>
      <w:r w:rsidRPr="002121A4">
        <w:rPr>
          <w:sz w:val="19"/>
          <w:szCs w:val="19"/>
          <w:lang w:val="en-GB"/>
        </w:rPr>
        <w:t xml:space="preserve"> </w:t>
      </w:r>
    </w:p>
    <w:p w14:paraId="1D5BFC6F" w14:textId="3AA9BE2C" w:rsidR="00973D5D" w:rsidRDefault="00170B05" w:rsidP="00956EF4">
      <w:pPr>
        <w:rPr>
          <w:sz w:val="19"/>
          <w:szCs w:val="19"/>
          <w:lang w:val="en-GB"/>
        </w:rPr>
      </w:pPr>
      <w:r w:rsidRPr="002121A4">
        <w:rPr>
          <w:b/>
          <w:sz w:val="19"/>
          <w:szCs w:val="19"/>
          <w:lang w:val="en-GB"/>
        </w:rPr>
        <w:fldChar w:fldCharType="begin"/>
      </w:r>
      <w:r w:rsidRPr="002121A4">
        <w:rPr>
          <w:b/>
          <w:sz w:val="19"/>
          <w:szCs w:val="19"/>
          <w:lang w:val="en-GB"/>
        </w:rPr>
        <w:instrText xml:space="preserve"> REF _Ref141952716 \r \h  \* MERGEFORMAT </w:instrText>
      </w:r>
      <w:r w:rsidRPr="002121A4">
        <w:rPr>
          <w:b/>
          <w:sz w:val="19"/>
          <w:szCs w:val="19"/>
          <w:lang w:val="en-GB"/>
        </w:rPr>
      </w:r>
      <w:r w:rsidRPr="002121A4">
        <w:rPr>
          <w:b/>
          <w:sz w:val="19"/>
          <w:szCs w:val="19"/>
          <w:lang w:val="en-GB"/>
        </w:rPr>
        <w:fldChar w:fldCharType="separate"/>
      </w:r>
      <w:r w:rsidR="00D56145">
        <w:rPr>
          <w:b/>
          <w:sz w:val="19"/>
          <w:szCs w:val="19"/>
          <w:lang w:val="en-GB"/>
        </w:rPr>
        <w:t>Case Study 50</w:t>
      </w:r>
      <w:r w:rsidRPr="002121A4">
        <w:rPr>
          <w:b/>
          <w:sz w:val="19"/>
          <w:szCs w:val="19"/>
          <w:lang w:val="en-GB"/>
        </w:rPr>
        <w:fldChar w:fldCharType="end"/>
      </w:r>
      <w:r w:rsidRPr="002121A4">
        <w:rPr>
          <w:b/>
          <w:sz w:val="19"/>
          <w:szCs w:val="19"/>
          <w:lang w:val="en-GB"/>
        </w:rPr>
        <w:t xml:space="preserve"> (p. </w:t>
      </w:r>
      <w:r w:rsidRPr="002121A4">
        <w:rPr>
          <w:b/>
          <w:sz w:val="19"/>
          <w:szCs w:val="19"/>
          <w:lang w:val="en-GB"/>
        </w:rPr>
        <w:fldChar w:fldCharType="begin"/>
      </w:r>
      <w:r w:rsidRPr="002121A4">
        <w:rPr>
          <w:b/>
          <w:sz w:val="19"/>
          <w:szCs w:val="19"/>
          <w:lang w:val="en-GB"/>
        </w:rPr>
        <w:instrText xml:space="preserve"> PAGEREF _Ref141952716 \h </w:instrText>
      </w:r>
      <w:r w:rsidRPr="002121A4">
        <w:rPr>
          <w:b/>
          <w:sz w:val="19"/>
          <w:szCs w:val="19"/>
          <w:lang w:val="en-GB"/>
        </w:rPr>
      </w:r>
      <w:r w:rsidRPr="002121A4">
        <w:rPr>
          <w:b/>
          <w:sz w:val="19"/>
          <w:szCs w:val="19"/>
          <w:lang w:val="en-GB"/>
        </w:rPr>
        <w:fldChar w:fldCharType="separate"/>
      </w:r>
      <w:r w:rsidR="00D56145">
        <w:rPr>
          <w:b/>
          <w:noProof/>
          <w:sz w:val="19"/>
          <w:szCs w:val="19"/>
          <w:lang w:val="en-GB"/>
        </w:rPr>
        <w:t>74</w:t>
      </w:r>
      <w:r w:rsidRPr="002121A4">
        <w:rPr>
          <w:b/>
          <w:sz w:val="19"/>
          <w:szCs w:val="19"/>
          <w:lang w:val="en-GB"/>
        </w:rPr>
        <w:fldChar w:fldCharType="end"/>
      </w:r>
      <w:r w:rsidRPr="002121A4">
        <w:rPr>
          <w:b/>
          <w:sz w:val="19"/>
          <w:szCs w:val="19"/>
          <w:lang w:val="en-GB"/>
        </w:rPr>
        <w:t>).</w:t>
      </w:r>
      <w:r w:rsidRPr="002121A4">
        <w:rPr>
          <w:sz w:val="19"/>
          <w:szCs w:val="19"/>
          <w:lang w:val="en-GB"/>
        </w:rPr>
        <w:t xml:space="preserve"> According to </w:t>
      </w:r>
      <w:proofErr w:type="spellStart"/>
      <w:r w:rsidRPr="00D7245A">
        <w:rPr>
          <w:i/>
          <w:sz w:val="19"/>
          <w:szCs w:val="19"/>
          <w:lang w:val="en-GB"/>
        </w:rPr>
        <w:t>Celesio</w:t>
      </w:r>
      <w:proofErr w:type="spellEnd"/>
      <w:r w:rsidRPr="00D7245A">
        <w:rPr>
          <w:i/>
          <w:sz w:val="19"/>
          <w:szCs w:val="19"/>
          <w:lang w:val="en-GB"/>
        </w:rPr>
        <w:t xml:space="preserve"> I</w:t>
      </w:r>
      <w:r w:rsidRPr="002121A4">
        <w:rPr>
          <w:sz w:val="19"/>
          <w:szCs w:val="19"/>
          <w:lang w:val="en-GB"/>
        </w:rPr>
        <w:t xml:space="preserve">, </w:t>
      </w:r>
      <w:r w:rsidR="002C65DB">
        <w:rPr>
          <w:sz w:val="19"/>
          <w:szCs w:val="19"/>
          <w:lang w:val="en-GB"/>
        </w:rPr>
        <w:t xml:space="preserve">the purpose of </w:t>
      </w:r>
      <w:r w:rsidRPr="002121A4">
        <w:rPr>
          <w:sz w:val="19"/>
          <w:szCs w:val="19"/>
          <w:lang w:val="en-GB"/>
        </w:rPr>
        <w:t xml:space="preserve">§ 31(6) </w:t>
      </w:r>
      <w:proofErr w:type="spellStart"/>
      <w:r w:rsidRPr="002121A4">
        <w:rPr>
          <w:sz w:val="19"/>
          <w:szCs w:val="19"/>
          <w:lang w:val="en-GB"/>
        </w:rPr>
        <w:t>WpÜG</w:t>
      </w:r>
      <w:proofErr w:type="spellEnd"/>
      <w:r w:rsidRPr="002121A4">
        <w:rPr>
          <w:sz w:val="19"/>
          <w:szCs w:val="19"/>
          <w:lang w:val="en-GB"/>
        </w:rPr>
        <w:t xml:space="preserve"> is </w:t>
      </w:r>
      <w:r w:rsidR="002C65DB">
        <w:rPr>
          <w:sz w:val="19"/>
          <w:szCs w:val="19"/>
          <w:lang w:val="en-GB"/>
        </w:rPr>
        <w:t>to prevent circumvention of § 31(4) and (5), and to tie the bidder to the purchase price that he deemed equitable in the context of the bid.</w:t>
      </w:r>
      <w:r w:rsidR="002C65DB">
        <w:rPr>
          <w:rStyle w:val="Funotenzeichen"/>
          <w:sz w:val="19"/>
          <w:szCs w:val="19"/>
          <w:lang w:val="en-GB"/>
        </w:rPr>
        <w:footnoteReference w:id="440"/>
      </w:r>
      <w:r w:rsidR="002C65DB">
        <w:rPr>
          <w:sz w:val="19"/>
          <w:szCs w:val="19"/>
          <w:lang w:val="en-GB"/>
        </w:rPr>
        <w:t xml:space="preserve"> It therefore includes any type of agreement, such as the acquisition of </w:t>
      </w:r>
      <w:r w:rsidRPr="002121A4">
        <w:rPr>
          <w:sz w:val="19"/>
          <w:szCs w:val="19"/>
          <w:lang w:val="en-GB"/>
        </w:rPr>
        <w:t xml:space="preserve">a convertible </w:t>
      </w:r>
      <w:r w:rsidRPr="002C65DB">
        <w:rPr>
          <w:i/>
          <w:sz w:val="19"/>
          <w:szCs w:val="19"/>
          <w:lang w:val="en-GB"/>
        </w:rPr>
        <w:t>bond</w:t>
      </w:r>
      <w:r w:rsidRPr="002121A4">
        <w:rPr>
          <w:sz w:val="19"/>
          <w:szCs w:val="19"/>
          <w:lang w:val="en-GB"/>
        </w:rPr>
        <w:t xml:space="preserve"> </w:t>
      </w:r>
      <w:r w:rsidR="002C65DB">
        <w:rPr>
          <w:sz w:val="19"/>
          <w:szCs w:val="19"/>
          <w:lang w:val="en-GB"/>
        </w:rPr>
        <w:t xml:space="preserve">as in this case, </w:t>
      </w:r>
      <w:r w:rsidRPr="002121A4">
        <w:rPr>
          <w:sz w:val="19"/>
          <w:szCs w:val="19"/>
          <w:lang w:val="en-GB"/>
        </w:rPr>
        <w:t xml:space="preserve">even though the </w:t>
      </w:r>
      <w:r w:rsidR="005A6792">
        <w:rPr>
          <w:sz w:val="19"/>
          <w:szCs w:val="19"/>
          <w:lang w:val="en-GB"/>
        </w:rPr>
        <w:t xml:space="preserve">subsequent </w:t>
      </w:r>
      <w:r w:rsidRPr="002121A4">
        <w:rPr>
          <w:sz w:val="19"/>
          <w:szCs w:val="19"/>
          <w:lang w:val="en-GB"/>
        </w:rPr>
        <w:t xml:space="preserve">acquisition of </w:t>
      </w:r>
      <w:r w:rsidRPr="002C65DB">
        <w:rPr>
          <w:i/>
          <w:sz w:val="19"/>
          <w:szCs w:val="19"/>
          <w:lang w:val="en-GB"/>
        </w:rPr>
        <w:t>shares</w:t>
      </w:r>
      <w:r w:rsidRPr="002121A4">
        <w:rPr>
          <w:sz w:val="19"/>
          <w:szCs w:val="19"/>
          <w:lang w:val="en-GB"/>
        </w:rPr>
        <w:t xml:space="preserve"> requires further steps (i.e., exercise of the conversion right).</w:t>
      </w:r>
      <w:r w:rsidR="002C65DB">
        <w:rPr>
          <w:sz w:val="19"/>
          <w:szCs w:val="19"/>
          <w:lang w:val="en-GB"/>
        </w:rPr>
        <w:t xml:space="preserve"> Applying § 31(6) </w:t>
      </w:r>
      <w:proofErr w:type="spellStart"/>
      <w:r w:rsidR="002C65DB">
        <w:rPr>
          <w:sz w:val="19"/>
          <w:szCs w:val="19"/>
          <w:lang w:val="en-GB"/>
        </w:rPr>
        <w:t>WpÜG</w:t>
      </w:r>
      <w:proofErr w:type="spellEnd"/>
      <w:r w:rsidR="002C65DB">
        <w:rPr>
          <w:sz w:val="19"/>
          <w:szCs w:val="19"/>
          <w:lang w:val="en-GB"/>
        </w:rPr>
        <w:t xml:space="preserve"> in this way does not breach article 5(4) TBD either.</w:t>
      </w:r>
      <w:r w:rsidR="002C65DB">
        <w:rPr>
          <w:rStyle w:val="Funotenzeichen"/>
          <w:sz w:val="19"/>
          <w:szCs w:val="19"/>
          <w:lang w:val="en-GB"/>
        </w:rPr>
        <w:footnoteReference w:id="441"/>
      </w:r>
      <w:r w:rsidRPr="002121A4">
        <w:rPr>
          <w:sz w:val="19"/>
          <w:szCs w:val="19"/>
          <w:lang w:val="en-GB"/>
        </w:rPr>
        <w:t xml:space="preserve"> Accordingly, the minimum equitable price corresponds to the purchase price paid through the conversion of the bond</w:t>
      </w:r>
      <w:r w:rsidR="002C65DB">
        <w:rPr>
          <w:sz w:val="19"/>
          <w:szCs w:val="19"/>
          <w:lang w:val="en-GB"/>
        </w:rPr>
        <w:t xml:space="preserve"> (§ 4 </w:t>
      </w:r>
      <w:proofErr w:type="spellStart"/>
      <w:r w:rsidR="002C65DB">
        <w:rPr>
          <w:sz w:val="19"/>
          <w:szCs w:val="19"/>
          <w:lang w:val="en-GB"/>
        </w:rPr>
        <w:t>WpÜG</w:t>
      </w:r>
      <w:proofErr w:type="spellEnd"/>
      <w:r w:rsidR="002C65DB">
        <w:rPr>
          <w:sz w:val="19"/>
          <w:szCs w:val="19"/>
          <w:lang w:val="en-GB"/>
        </w:rPr>
        <w:t>-AV)</w:t>
      </w:r>
      <w:r w:rsidRPr="002121A4">
        <w:rPr>
          <w:sz w:val="19"/>
          <w:szCs w:val="19"/>
          <w:lang w:val="en-GB"/>
        </w:rPr>
        <w:t xml:space="preserve">, and shareholders who accepted can claim the balance. </w:t>
      </w:r>
    </w:p>
    <w:p w14:paraId="598F7DB8" w14:textId="63356899" w:rsidR="00170B05" w:rsidRPr="002121A4" w:rsidRDefault="00170B05" w:rsidP="00956EF4">
      <w:pPr>
        <w:rPr>
          <w:sz w:val="19"/>
          <w:szCs w:val="19"/>
          <w:lang w:val="en-GB"/>
        </w:rPr>
      </w:pPr>
      <w:r w:rsidRPr="002121A4">
        <w:rPr>
          <w:sz w:val="19"/>
          <w:szCs w:val="19"/>
          <w:lang w:val="en-GB"/>
        </w:rPr>
        <w:t xml:space="preserve">However, </w:t>
      </w:r>
      <w:r w:rsidR="002A3FC7">
        <w:rPr>
          <w:sz w:val="19"/>
          <w:szCs w:val="19"/>
          <w:lang w:val="en-GB"/>
        </w:rPr>
        <w:t xml:space="preserve">pursuant to </w:t>
      </w:r>
      <w:proofErr w:type="spellStart"/>
      <w:r w:rsidR="002A3FC7" w:rsidRPr="00973D5D">
        <w:rPr>
          <w:i/>
          <w:sz w:val="19"/>
          <w:szCs w:val="19"/>
          <w:lang w:val="en-GB"/>
        </w:rPr>
        <w:t>Celesio</w:t>
      </w:r>
      <w:proofErr w:type="spellEnd"/>
      <w:r w:rsidR="002A3FC7" w:rsidRPr="00973D5D">
        <w:rPr>
          <w:i/>
          <w:sz w:val="19"/>
          <w:szCs w:val="19"/>
          <w:lang w:val="en-GB"/>
        </w:rPr>
        <w:t xml:space="preserve"> II</w:t>
      </w:r>
      <w:r w:rsidR="002A3FC7">
        <w:rPr>
          <w:sz w:val="19"/>
          <w:szCs w:val="19"/>
          <w:lang w:val="en-GB"/>
        </w:rPr>
        <w:t xml:space="preserve">, </w:t>
      </w:r>
      <w:r w:rsidRPr="002121A4">
        <w:rPr>
          <w:sz w:val="19"/>
          <w:szCs w:val="19"/>
          <w:lang w:val="en-GB"/>
        </w:rPr>
        <w:t>shareholders who did not accept have no claim</w:t>
      </w:r>
      <w:r w:rsidR="002A3FC7">
        <w:rPr>
          <w:sz w:val="19"/>
          <w:szCs w:val="19"/>
          <w:lang w:val="en-GB"/>
        </w:rPr>
        <w:t>.</w:t>
      </w:r>
      <w:r w:rsidR="002A3FC7">
        <w:rPr>
          <w:rStyle w:val="Funotenzeichen"/>
          <w:sz w:val="19"/>
          <w:szCs w:val="19"/>
          <w:lang w:val="en-GB"/>
        </w:rPr>
        <w:footnoteReference w:id="442"/>
      </w:r>
      <w:r w:rsidRPr="002121A4">
        <w:rPr>
          <w:sz w:val="19"/>
          <w:szCs w:val="19"/>
          <w:lang w:val="en-GB"/>
        </w:rPr>
        <w:t xml:space="preserve"> </w:t>
      </w:r>
      <w:r w:rsidR="00973D5D">
        <w:rPr>
          <w:sz w:val="19"/>
          <w:szCs w:val="19"/>
          <w:lang w:val="en-GB"/>
        </w:rPr>
        <w:t xml:space="preserve">§ 31(1) </w:t>
      </w:r>
      <w:proofErr w:type="spellStart"/>
      <w:r w:rsidR="00973D5D">
        <w:rPr>
          <w:sz w:val="19"/>
          <w:szCs w:val="19"/>
          <w:lang w:val="en-GB"/>
        </w:rPr>
        <w:t>WpÜG</w:t>
      </w:r>
      <w:proofErr w:type="spellEnd"/>
      <w:r w:rsidR="00973D5D">
        <w:rPr>
          <w:sz w:val="19"/>
          <w:szCs w:val="19"/>
          <w:lang w:val="en-GB"/>
        </w:rPr>
        <w:t xml:space="preserve"> does not create an individual claim to equitable compensation.</w:t>
      </w:r>
      <w:r w:rsidR="00973D5D">
        <w:rPr>
          <w:rStyle w:val="Funotenzeichen"/>
          <w:sz w:val="19"/>
          <w:szCs w:val="19"/>
          <w:lang w:val="en-GB"/>
        </w:rPr>
        <w:footnoteReference w:id="443"/>
      </w:r>
      <w:r w:rsidR="00973D5D">
        <w:rPr>
          <w:sz w:val="19"/>
          <w:szCs w:val="19"/>
          <w:lang w:val="en-GB"/>
        </w:rPr>
        <w:t xml:space="preserve"> The wording of </w:t>
      </w:r>
      <w:r w:rsidRPr="002121A4">
        <w:rPr>
          <w:sz w:val="19"/>
          <w:szCs w:val="19"/>
          <w:lang w:val="en-GB"/>
        </w:rPr>
        <w:t xml:space="preserve">§ 31(5)(1) </w:t>
      </w:r>
      <w:proofErr w:type="spellStart"/>
      <w:r w:rsidRPr="002121A4">
        <w:rPr>
          <w:sz w:val="19"/>
          <w:szCs w:val="19"/>
          <w:lang w:val="en-GB"/>
        </w:rPr>
        <w:t>WpÜG</w:t>
      </w:r>
      <w:proofErr w:type="spellEnd"/>
      <w:r w:rsidRPr="002121A4">
        <w:rPr>
          <w:sz w:val="19"/>
          <w:szCs w:val="19"/>
          <w:lang w:val="en-GB"/>
        </w:rPr>
        <w:t xml:space="preserve"> implies that only shareholders </w:t>
      </w:r>
      <w:r w:rsidRPr="002A3FC7">
        <w:rPr>
          <w:i/>
          <w:sz w:val="19"/>
          <w:szCs w:val="19"/>
          <w:lang w:val="en-GB"/>
        </w:rPr>
        <w:t>who accept an offer</w:t>
      </w:r>
      <w:r w:rsidRPr="002121A4">
        <w:rPr>
          <w:sz w:val="19"/>
          <w:szCs w:val="19"/>
          <w:lang w:val="en-GB"/>
        </w:rPr>
        <w:t xml:space="preserve"> have a claim to the equitable price.</w:t>
      </w:r>
      <w:r w:rsidR="00973D5D">
        <w:rPr>
          <w:rStyle w:val="Funotenzeichen"/>
          <w:sz w:val="19"/>
          <w:szCs w:val="19"/>
          <w:lang w:val="en-GB"/>
        </w:rPr>
        <w:footnoteReference w:id="444"/>
      </w:r>
      <w:r w:rsidR="003879AC">
        <w:rPr>
          <w:sz w:val="19"/>
          <w:szCs w:val="19"/>
          <w:lang w:val="en-GB"/>
        </w:rPr>
        <w:t xml:space="preserve"> Also, the sell-out provision in § 39c </w:t>
      </w:r>
      <w:proofErr w:type="spellStart"/>
      <w:r w:rsidR="003879AC">
        <w:rPr>
          <w:sz w:val="19"/>
          <w:szCs w:val="19"/>
          <w:lang w:val="en-GB"/>
        </w:rPr>
        <w:t>WpÜG</w:t>
      </w:r>
      <w:proofErr w:type="spellEnd"/>
      <w:r w:rsidR="003879AC">
        <w:rPr>
          <w:sz w:val="19"/>
          <w:szCs w:val="19"/>
          <w:lang w:val="en-GB"/>
        </w:rPr>
        <w:t xml:space="preserve"> for shareholders who have not accepted a bid suggests that absent acceptance of the offer, shareholders do not have a right to equitable compensation.</w:t>
      </w:r>
      <w:r w:rsidR="003879AC">
        <w:rPr>
          <w:rStyle w:val="Funotenzeichen"/>
          <w:sz w:val="19"/>
          <w:szCs w:val="19"/>
          <w:lang w:val="en-GB"/>
        </w:rPr>
        <w:footnoteReference w:id="445"/>
      </w:r>
      <w:r w:rsidR="00596B46">
        <w:rPr>
          <w:sz w:val="19"/>
          <w:szCs w:val="19"/>
          <w:lang w:val="en-GB"/>
        </w:rPr>
        <w:t xml:space="preserve"> Non-accepting shareholders cannot base a claim to equitable compensation on a breach of pre-contractual duties either.</w:t>
      </w:r>
      <w:r w:rsidR="00596B46">
        <w:rPr>
          <w:rStyle w:val="Funotenzeichen"/>
          <w:sz w:val="19"/>
          <w:szCs w:val="19"/>
          <w:lang w:val="en-GB"/>
        </w:rPr>
        <w:footnoteReference w:id="446"/>
      </w:r>
      <w:r w:rsidR="00596B46">
        <w:rPr>
          <w:sz w:val="19"/>
          <w:szCs w:val="19"/>
          <w:lang w:val="en-GB"/>
        </w:rPr>
        <w:t xml:space="preserve"> This conclusion is compatible with the TBD, as article 4(6) TBD leaves it to Member States to determine enforcement mechanisms, </w:t>
      </w:r>
      <w:r w:rsidR="007B5DC1">
        <w:rPr>
          <w:sz w:val="19"/>
          <w:szCs w:val="19"/>
          <w:lang w:val="en-GB"/>
        </w:rPr>
        <w:t>and pursuant to article 17, it is sufficient to provide for sanctions that are effective, proportionate and dissuasive.</w:t>
      </w:r>
      <w:r w:rsidR="007B5DC1">
        <w:rPr>
          <w:rStyle w:val="Funotenzeichen"/>
          <w:sz w:val="19"/>
          <w:szCs w:val="19"/>
          <w:lang w:val="en-GB"/>
        </w:rPr>
        <w:footnoteReference w:id="447"/>
      </w:r>
      <w:r w:rsidR="007F175B">
        <w:rPr>
          <w:sz w:val="19"/>
          <w:szCs w:val="19"/>
          <w:lang w:val="en-GB"/>
        </w:rPr>
        <w:t xml:space="preserve"> For this, preventive control of the price requirements under §§ 3ff. </w:t>
      </w:r>
      <w:proofErr w:type="spellStart"/>
      <w:r w:rsidR="007F175B">
        <w:rPr>
          <w:sz w:val="19"/>
          <w:szCs w:val="19"/>
          <w:lang w:val="en-GB"/>
        </w:rPr>
        <w:t>WpÜG</w:t>
      </w:r>
      <w:proofErr w:type="spellEnd"/>
      <w:r w:rsidR="007F175B">
        <w:rPr>
          <w:sz w:val="19"/>
          <w:szCs w:val="19"/>
          <w:lang w:val="en-GB"/>
        </w:rPr>
        <w:t xml:space="preserve">-AV by BaFin (pursuant to § 15(1) no. 2 </w:t>
      </w:r>
      <w:proofErr w:type="spellStart"/>
      <w:r w:rsidR="007F175B">
        <w:rPr>
          <w:sz w:val="19"/>
          <w:szCs w:val="19"/>
          <w:lang w:val="en-GB"/>
        </w:rPr>
        <w:t>WpÜG</w:t>
      </w:r>
      <w:proofErr w:type="spellEnd"/>
      <w:r w:rsidR="007F175B">
        <w:rPr>
          <w:sz w:val="19"/>
          <w:szCs w:val="19"/>
          <w:lang w:val="en-GB"/>
        </w:rPr>
        <w:t xml:space="preserve">) combined with the enforcement options for accepting shareholders under </w:t>
      </w:r>
      <w:proofErr w:type="spellStart"/>
      <w:r w:rsidR="007F175B">
        <w:rPr>
          <w:sz w:val="19"/>
          <w:szCs w:val="19"/>
          <w:lang w:val="en-GB"/>
        </w:rPr>
        <w:t>Celesio</w:t>
      </w:r>
      <w:proofErr w:type="spellEnd"/>
      <w:r w:rsidR="007F175B">
        <w:rPr>
          <w:sz w:val="19"/>
          <w:szCs w:val="19"/>
          <w:lang w:val="en-GB"/>
        </w:rPr>
        <w:t xml:space="preserve"> I are sufficient.</w:t>
      </w:r>
      <w:r w:rsidR="00BF3DDD">
        <w:rPr>
          <w:rStyle w:val="Funotenzeichen"/>
          <w:sz w:val="19"/>
          <w:szCs w:val="19"/>
          <w:lang w:val="en-GB"/>
        </w:rPr>
        <w:footnoteReference w:id="448"/>
      </w:r>
    </w:p>
    <w:sectPr w:rsidR="00170B05" w:rsidRPr="002121A4" w:rsidSect="00593593">
      <w:type w:val="continuous"/>
      <w:pgSz w:w="11906" w:h="16838"/>
      <w:pgMar w:top="1418" w:right="1440" w:bottom="1418" w:left="1440" w:header="426" w:footer="7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E1D6" w14:textId="77777777" w:rsidR="000457FB" w:rsidRDefault="000457FB" w:rsidP="009642B3">
      <w:pPr>
        <w:spacing w:before="0"/>
      </w:pPr>
      <w:r>
        <w:separator/>
      </w:r>
    </w:p>
  </w:endnote>
  <w:endnote w:type="continuationSeparator" w:id="0">
    <w:p w14:paraId="4578001C" w14:textId="77777777" w:rsidR="000457FB" w:rsidRDefault="000457FB" w:rsidP="009642B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035280"/>
      <w:docPartObj>
        <w:docPartGallery w:val="Page Numbers (Bottom of Page)"/>
        <w:docPartUnique/>
      </w:docPartObj>
    </w:sdtPr>
    <w:sdtEndPr/>
    <w:sdtContent>
      <w:p w14:paraId="4A296ECD" w14:textId="3374FFC4" w:rsidR="002C2D13" w:rsidRPr="002C2D13" w:rsidRDefault="001F4F58" w:rsidP="008A47AB">
        <w:pPr>
          <w:pStyle w:val="Fuzeil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EA5A" w14:textId="77777777" w:rsidR="000457FB" w:rsidRDefault="000457FB" w:rsidP="009642B3">
      <w:pPr>
        <w:spacing w:before="0"/>
      </w:pPr>
      <w:r>
        <w:separator/>
      </w:r>
    </w:p>
  </w:footnote>
  <w:footnote w:type="continuationSeparator" w:id="0">
    <w:p w14:paraId="0F55A233" w14:textId="77777777" w:rsidR="000457FB" w:rsidRDefault="000457FB" w:rsidP="009642B3">
      <w:pPr>
        <w:spacing w:before="0"/>
      </w:pPr>
      <w:r>
        <w:continuationSeparator/>
      </w:r>
    </w:p>
  </w:footnote>
  <w:footnote w:id="1">
    <w:p w14:paraId="4600D690" w14:textId="46D61246" w:rsidR="006E3D84" w:rsidRPr="00E15A6C" w:rsidRDefault="006E3D84" w:rsidP="006C39E7">
      <w:pPr>
        <w:pStyle w:val="Funotentext"/>
        <w:jc w:val="left"/>
        <w:rPr>
          <w:lang w:val="pt-BR"/>
        </w:rPr>
      </w:pPr>
      <w:r w:rsidRPr="00BF5E97">
        <w:rPr>
          <w:rStyle w:val="Funotenzeichen"/>
        </w:rPr>
        <w:footnoteRef/>
      </w:r>
      <w:r w:rsidRPr="00E15A6C">
        <w:rPr>
          <w:lang w:val="pt-BR"/>
        </w:rPr>
        <w:t xml:space="preserve"> ESMA, </w:t>
      </w:r>
      <w:r w:rsidRPr="00E15A6C">
        <w:rPr>
          <w:i/>
          <w:lang w:val="pt-BR"/>
        </w:rPr>
        <w:t>EU Securities Markets</w:t>
      </w:r>
      <w:r w:rsidR="00E15A6C" w:rsidRPr="00E15A6C">
        <w:rPr>
          <w:i/>
          <w:lang w:val="pt-BR"/>
        </w:rPr>
        <w:t xml:space="preserve"> 2023</w:t>
      </w:r>
      <w:r w:rsidRPr="00E15A6C">
        <w:rPr>
          <w:lang w:val="pt-BR"/>
        </w:rPr>
        <w:t>, ESMA50-</w:t>
      </w:r>
      <w:r w:rsidR="00E15A6C" w:rsidRPr="00E15A6C">
        <w:rPr>
          <w:lang w:val="pt-BR"/>
        </w:rPr>
        <w:t>524821-3149</w:t>
      </w:r>
      <w:r w:rsidRPr="00E15A6C">
        <w:rPr>
          <w:lang w:val="pt-BR"/>
        </w:rPr>
        <w:t>, 202</w:t>
      </w:r>
      <w:r w:rsidR="00E15A6C" w:rsidRPr="00E15A6C">
        <w:rPr>
          <w:lang w:val="pt-BR"/>
        </w:rPr>
        <w:t>4</w:t>
      </w:r>
      <w:r w:rsidRPr="00E15A6C">
        <w:rPr>
          <w:lang w:val="pt-BR"/>
        </w:rPr>
        <w:t>, p. </w:t>
      </w:r>
      <w:r w:rsidR="00E15A6C" w:rsidRPr="00E15A6C">
        <w:rPr>
          <w:lang w:val="pt-BR"/>
        </w:rPr>
        <w:t>5</w:t>
      </w:r>
      <w:r w:rsidRPr="00E15A6C">
        <w:rPr>
          <w:lang w:val="pt-BR"/>
        </w:rPr>
        <w:t xml:space="preserve"> (</w:t>
      </w:r>
      <w:r w:rsidR="00E15A6C" w:rsidRPr="00E15A6C">
        <w:rPr>
          <w:lang w:val="pt-BR"/>
        </w:rPr>
        <w:t>https://www.esma.europa.eu/sites/default/files/2024-05/ESMA50-524821-3149_EU_Securities_Markets_2023.pdf</w:t>
      </w:r>
      <w:r w:rsidR="00E25DFF" w:rsidRPr="00E15A6C">
        <w:rPr>
          <w:lang w:val="pt-BR"/>
        </w:rPr>
        <w:t xml:space="preserve">, accessed </w:t>
      </w:r>
      <w:r w:rsidR="00E15A6C" w:rsidRPr="00E15A6C">
        <w:rPr>
          <w:lang w:val="pt-BR"/>
        </w:rPr>
        <w:t>3</w:t>
      </w:r>
      <w:r w:rsidR="00E25DFF" w:rsidRPr="00E15A6C">
        <w:rPr>
          <w:lang w:val="pt-BR"/>
        </w:rPr>
        <w:t xml:space="preserve"> </w:t>
      </w:r>
      <w:r w:rsidR="00E15A6C" w:rsidRPr="00E15A6C">
        <w:rPr>
          <w:lang w:val="pt-BR"/>
        </w:rPr>
        <w:t>Mar</w:t>
      </w:r>
      <w:r w:rsidR="009540D7" w:rsidRPr="00E15A6C">
        <w:rPr>
          <w:lang w:val="pt-BR"/>
        </w:rPr>
        <w:t xml:space="preserve"> </w:t>
      </w:r>
      <w:r w:rsidR="00E25DFF" w:rsidRPr="00E15A6C">
        <w:rPr>
          <w:lang w:val="pt-BR"/>
        </w:rPr>
        <w:t>202</w:t>
      </w:r>
      <w:r w:rsidR="00E15A6C">
        <w:rPr>
          <w:lang w:val="pt-BR"/>
        </w:rPr>
        <w:t>5</w:t>
      </w:r>
      <w:r w:rsidRPr="00E15A6C">
        <w:rPr>
          <w:lang w:val="pt-BR"/>
        </w:rPr>
        <w:t>).</w:t>
      </w:r>
    </w:p>
  </w:footnote>
  <w:footnote w:id="2">
    <w:p w14:paraId="1751D1A8" w14:textId="0CBF3076" w:rsidR="00C501BF" w:rsidRPr="00E142FD" w:rsidRDefault="00C501BF">
      <w:pPr>
        <w:pStyle w:val="Funotentext"/>
        <w:rPr>
          <w:lang w:val="pt-BR"/>
        </w:rPr>
      </w:pPr>
      <w:r w:rsidRPr="00BF5E97">
        <w:rPr>
          <w:rStyle w:val="Funotenzeichen"/>
        </w:rPr>
        <w:footnoteRef/>
      </w:r>
      <w:r w:rsidRPr="00E142FD">
        <w:rPr>
          <w:lang w:val="pt-BR"/>
        </w:rPr>
        <w:t xml:space="preserve"> </w:t>
      </w:r>
      <w:r w:rsidR="001870C0" w:rsidRPr="00E142FD">
        <w:rPr>
          <w:lang w:val="pt-BR"/>
        </w:rPr>
        <w:t>Article </w:t>
      </w:r>
      <w:r w:rsidRPr="00E142FD">
        <w:rPr>
          <w:lang w:val="pt-BR"/>
        </w:rPr>
        <w:t>4</w:t>
      </w:r>
      <w:r w:rsidR="009E0FBE" w:rsidRPr="00E142FD">
        <w:rPr>
          <w:lang w:val="pt-BR"/>
        </w:rPr>
        <w:t>(1)</w:t>
      </w:r>
      <w:r w:rsidRPr="00E142FD">
        <w:rPr>
          <w:lang w:val="pt-BR"/>
        </w:rPr>
        <w:t>(44) MiFID</w:t>
      </w:r>
      <w:r w:rsidR="00D264DD" w:rsidRPr="00E142FD">
        <w:rPr>
          <w:lang w:val="pt-BR"/>
        </w:rPr>
        <w:t xml:space="preserve"> II</w:t>
      </w:r>
      <w:r w:rsidR="000F3F03" w:rsidRPr="00E142FD">
        <w:rPr>
          <w:lang w:val="pt-BR"/>
        </w:rPr>
        <w:t>, § 2(1) WpHG</w:t>
      </w:r>
      <w:r w:rsidRPr="00E142FD">
        <w:rPr>
          <w:lang w:val="pt-BR"/>
        </w:rPr>
        <w:t>.</w:t>
      </w:r>
    </w:p>
  </w:footnote>
  <w:footnote w:id="3">
    <w:p w14:paraId="78D0E099" w14:textId="38A9C647" w:rsidR="001339DE" w:rsidRPr="00E142FD" w:rsidRDefault="001339DE">
      <w:pPr>
        <w:pStyle w:val="Funotentext"/>
        <w:rPr>
          <w:lang w:val="pt-BR"/>
        </w:rPr>
      </w:pPr>
      <w:r w:rsidRPr="00BF5E97">
        <w:rPr>
          <w:rStyle w:val="Funotenzeichen"/>
        </w:rPr>
        <w:footnoteRef/>
      </w:r>
      <w:r w:rsidRPr="00E142FD">
        <w:rPr>
          <w:lang w:val="pt-BR"/>
        </w:rPr>
        <w:t xml:space="preserve"> </w:t>
      </w:r>
      <w:r w:rsidRPr="00E142FD">
        <w:rPr>
          <w:lang w:val="pt-BR"/>
        </w:rPr>
        <w:t>Annex I, Section C MiFID</w:t>
      </w:r>
      <w:r w:rsidR="00D264DD" w:rsidRPr="00E142FD">
        <w:rPr>
          <w:lang w:val="pt-BR"/>
        </w:rPr>
        <w:t xml:space="preserve"> II</w:t>
      </w:r>
      <w:r w:rsidRPr="00E142FD">
        <w:rPr>
          <w:lang w:val="pt-BR"/>
        </w:rPr>
        <w:t>.</w:t>
      </w:r>
    </w:p>
  </w:footnote>
  <w:footnote w:id="4">
    <w:p w14:paraId="6E6209DD" w14:textId="77A85EA6" w:rsidR="00F31266" w:rsidRPr="00BF5E97" w:rsidRDefault="00F31266" w:rsidP="001031CE">
      <w:pPr>
        <w:pStyle w:val="Funotentext"/>
      </w:pPr>
      <w:r w:rsidRPr="00BF5E97">
        <w:rPr>
          <w:rStyle w:val="Funotenzeichen"/>
        </w:rPr>
        <w:footnoteRef/>
      </w:r>
      <w:r w:rsidRPr="00E142FD">
        <w:rPr>
          <w:lang w:val="pt-BR"/>
        </w:rPr>
        <w:t xml:space="preserve"> </w:t>
      </w:r>
      <w:r w:rsidR="001870C0" w:rsidRPr="00E142FD">
        <w:rPr>
          <w:lang w:val="pt-BR"/>
        </w:rPr>
        <w:t>Article </w:t>
      </w:r>
      <w:r w:rsidRPr="00E142FD">
        <w:rPr>
          <w:lang w:val="pt-BR"/>
        </w:rPr>
        <w:t>51(1) MiFID</w:t>
      </w:r>
      <w:r w:rsidR="00D264DD" w:rsidRPr="00E142FD">
        <w:rPr>
          <w:lang w:val="pt-BR"/>
        </w:rPr>
        <w:t xml:space="preserve"> II</w:t>
      </w:r>
      <w:r w:rsidR="001031CE" w:rsidRPr="00E142FD">
        <w:rPr>
          <w:lang w:val="pt-BR"/>
        </w:rPr>
        <w:t xml:space="preserve">. </w:t>
      </w:r>
      <w:r w:rsidR="001031CE" w:rsidRPr="00BF5E97">
        <w:t>Commission Delegated Regulation (EU) 2017/568 of 24 May 2016</w:t>
      </w:r>
      <w:r w:rsidR="001C6FF3" w:rsidRPr="00BF5E97">
        <w:t xml:space="preserve"> defines requirements for fair, orderly and efficient trading, and free negotiability</w:t>
      </w:r>
      <w:r w:rsidR="001031CE" w:rsidRPr="00BF5E97">
        <w:t>.</w:t>
      </w:r>
      <w:r w:rsidR="005462C9" w:rsidRPr="00BF5E97">
        <w:t xml:space="preserve"> For details on the admission process, see para. </w:t>
      </w:r>
      <w:r w:rsidR="00DC2507" w:rsidRPr="00BF5E97">
        <w:fldChar w:fldCharType="begin"/>
      </w:r>
      <w:r w:rsidR="00DC2507" w:rsidRPr="00BF5E97">
        <w:instrText xml:space="preserve"> REF _Ref130487014 \r \h </w:instrText>
      </w:r>
      <w:r w:rsidR="00DC2507" w:rsidRPr="00BF5E97">
        <w:fldChar w:fldCharType="separate"/>
      </w:r>
      <w:r w:rsidR="00D56145">
        <w:t>11</w:t>
      </w:r>
      <w:r w:rsidR="00DC2507" w:rsidRPr="00BF5E97">
        <w:fldChar w:fldCharType="end"/>
      </w:r>
      <w:r w:rsidR="00BA05A1" w:rsidRPr="00BF5E97">
        <w:t xml:space="preserve"> below</w:t>
      </w:r>
      <w:r w:rsidR="005462C9" w:rsidRPr="00BF5E97">
        <w:t>.</w:t>
      </w:r>
    </w:p>
  </w:footnote>
  <w:footnote w:id="5">
    <w:p w14:paraId="65CA60C2" w14:textId="39CC2A1C" w:rsidR="00BB2424" w:rsidRPr="00BF5E97" w:rsidRDefault="00BB2424" w:rsidP="00BB2424">
      <w:pPr>
        <w:pStyle w:val="Funotentext"/>
      </w:pPr>
      <w:r w:rsidRPr="00BF5E97">
        <w:rPr>
          <w:rStyle w:val="Funotenzeichen"/>
        </w:rPr>
        <w:footnoteRef/>
      </w:r>
      <w:r w:rsidRPr="00BF5E97">
        <w:t xml:space="preserve"> EU </w:t>
      </w:r>
      <w:r w:rsidR="00EB3238" w:rsidRPr="00BF5E97">
        <w:t>law</w:t>
      </w:r>
      <w:r w:rsidRPr="00BF5E97">
        <w:t xml:space="preserve"> deals specifically with </w:t>
      </w:r>
      <w:r w:rsidR="00EB3238" w:rsidRPr="00BF5E97">
        <w:t xml:space="preserve">CSDs </w:t>
      </w:r>
      <w:r w:rsidR="00DF5D96" w:rsidRPr="00BF5E97">
        <w:t xml:space="preserve">in </w:t>
      </w:r>
      <w:r w:rsidRPr="00BF5E97">
        <w:t>the Central Securities Depositories Regulation (CSDR).</w:t>
      </w:r>
    </w:p>
  </w:footnote>
  <w:footnote w:id="6">
    <w:p w14:paraId="6212E217" w14:textId="4FA84321" w:rsidR="00F967EE" w:rsidRPr="00881EF0" w:rsidRDefault="00F967EE" w:rsidP="00F967E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4(1)(21), (22), (23) </w:t>
      </w:r>
      <w:r w:rsidRPr="00881EF0">
        <w:rPr>
          <w:lang w:val="fr-CA"/>
        </w:rPr>
        <w:t>MiFID II.</w:t>
      </w:r>
    </w:p>
  </w:footnote>
  <w:footnote w:id="7">
    <w:p w14:paraId="7F8E7E1A" w14:textId="59FF26A8" w:rsidR="00311698" w:rsidRPr="00881EF0" w:rsidRDefault="0031169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4</w:t>
      </w:r>
      <w:r w:rsidR="00F967EE" w:rsidRPr="00881EF0">
        <w:rPr>
          <w:lang w:val="fr-CA"/>
        </w:rPr>
        <w:t>(1)</w:t>
      </w:r>
      <w:r w:rsidR="006736F0" w:rsidRPr="00881EF0">
        <w:rPr>
          <w:lang w:val="fr-CA"/>
        </w:rPr>
        <w:t>(24)</w:t>
      </w:r>
      <w:r w:rsidRPr="00881EF0">
        <w:rPr>
          <w:lang w:val="fr-CA"/>
        </w:rPr>
        <w:t xml:space="preserve"> </w:t>
      </w:r>
      <w:r w:rsidRPr="00881EF0">
        <w:rPr>
          <w:lang w:val="fr-CA"/>
        </w:rPr>
        <w:t>MiFID</w:t>
      </w:r>
      <w:r w:rsidR="00D264DD" w:rsidRPr="00881EF0">
        <w:rPr>
          <w:lang w:val="fr-CA"/>
        </w:rPr>
        <w:t xml:space="preserve"> II</w:t>
      </w:r>
      <w:r w:rsidRPr="00881EF0">
        <w:rPr>
          <w:lang w:val="fr-CA"/>
        </w:rPr>
        <w:t>.</w:t>
      </w:r>
    </w:p>
  </w:footnote>
  <w:footnote w:id="8">
    <w:p w14:paraId="7B4BB832" w14:textId="05CE69C9" w:rsidR="00D15953" w:rsidRPr="00503463" w:rsidRDefault="00D15953">
      <w:pPr>
        <w:pStyle w:val="Funotentext"/>
        <w:rPr>
          <w:lang w:val="fr-CA"/>
        </w:rPr>
      </w:pPr>
      <w:r w:rsidRPr="00BF5E97">
        <w:rPr>
          <w:rStyle w:val="Funotenzeichen"/>
        </w:rPr>
        <w:footnoteRef/>
      </w:r>
      <w:r w:rsidRPr="00503463">
        <w:rPr>
          <w:lang w:val="fr-CA"/>
        </w:rPr>
        <w:t xml:space="preserve"> </w:t>
      </w:r>
      <w:r w:rsidRPr="00503463">
        <w:rPr>
          <w:lang w:val="fr-CA"/>
        </w:rPr>
        <w:t>Recital (4) MiFID II.</w:t>
      </w:r>
    </w:p>
  </w:footnote>
  <w:footnote w:id="9">
    <w:p w14:paraId="6B67F028" w14:textId="7FB55BA3" w:rsidR="00D15953" w:rsidRPr="00503463" w:rsidRDefault="00D15953">
      <w:pPr>
        <w:pStyle w:val="Funotentext"/>
        <w:rPr>
          <w:lang w:val="fr-CA"/>
        </w:rPr>
      </w:pPr>
      <w:r w:rsidRPr="00BF5E97">
        <w:rPr>
          <w:rStyle w:val="Funotenzeichen"/>
        </w:rPr>
        <w:footnoteRef/>
      </w:r>
      <w:r w:rsidRPr="00503463">
        <w:rPr>
          <w:lang w:val="fr-CA"/>
        </w:rPr>
        <w:t xml:space="preserve"> </w:t>
      </w:r>
      <w:r w:rsidR="001870C0" w:rsidRPr="00503463">
        <w:rPr>
          <w:lang w:val="fr-CA"/>
        </w:rPr>
        <w:t>Article </w:t>
      </w:r>
      <w:r w:rsidRPr="00503463">
        <w:rPr>
          <w:lang w:val="fr-CA"/>
        </w:rPr>
        <w:t xml:space="preserve">4(1)(20) </w:t>
      </w:r>
      <w:r w:rsidRPr="00503463">
        <w:rPr>
          <w:lang w:val="fr-CA"/>
        </w:rPr>
        <w:t>MiFID II.</w:t>
      </w:r>
    </w:p>
  </w:footnote>
  <w:footnote w:id="10">
    <w:p w14:paraId="74CAA1A8" w14:textId="134ED3DE" w:rsidR="00DD52FB" w:rsidRPr="00BF5E97" w:rsidRDefault="00DD52FB">
      <w:pPr>
        <w:pStyle w:val="Funotentext"/>
      </w:pPr>
      <w:r w:rsidRPr="00BF5E97">
        <w:rPr>
          <w:rStyle w:val="Funotenzeichen"/>
        </w:rPr>
        <w:footnoteRef/>
      </w:r>
      <w:r w:rsidRPr="00503463">
        <w:rPr>
          <w:lang w:val="fr-CA"/>
        </w:rPr>
        <w:t xml:space="preserve"> </w:t>
      </w:r>
      <w:r w:rsidR="001870C0" w:rsidRPr="00503463">
        <w:rPr>
          <w:lang w:val="fr-CA"/>
        </w:rPr>
        <w:t>Article </w:t>
      </w:r>
      <w:r w:rsidRPr="00503463">
        <w:rPr>
          <w:lang w:val="fr-CA"/>
        </w:rPr>
        <w:t xml:space="preserve">4(1)(21) </w:t>
      </w:r>
      <w:r w:rsidRPr="00503463">
        <w:rPr>
          <w:lang w:val="fr-CA"/>
        </w:rPr>
        <w:t>MiFID II.</w:t>
      </w:r>
      <w:r w:rsidR="0047558F" w:rsidRPr="00503463">
        <w:rPr>
          <w:lang w:val="fr-CA"/>
        </w:rPr>
        <w:t xml:space="preserve"> </w:t>
      </w:r>
      <w:r w:rsidR="0047558F" w:rsidRPr="00BF5E97">
        <w:t xml:space="preserve">For a definition of what counts as a </w:t>
      </w:r>
      <w:r w:rsidR="009411E8" w:rsidRPr="00BF5E97">
        <w:t>“</w:t>
      </w:r>
      <w:r w:rsidR="0047558F" w:rsidRPr="00BF5E97">
        <w:t>system</w:t>
      </w:r>
      <w:r w:rsidR="009411E8" w:rsidRPr="00BF5E97">
        <w:t>”</w:t>
      </w:r>
      <w:r w:rsidR="0047558F" w:rsidRPr="00BF5E97">
        <w:t xml:space="preserve">, as </w:t>
      </w:r>
      <w:r w:rsidR="009411E8" w:rsidRPr="00BF5E97">
        <w:t>“</w:t>
      </w:r>
      <w:r w:rsidR="0047558F" w:rsidRPr="00BF5E97">
        <w:t>buying and selling interest</w:t>
      </w:r>
      <w:r w:rsidR="009411E8" w:rsidRPr="00BF5E97">
        <w:t>”</w:t>
      </w:r>
      <w:r w:rsidR="0047558F" w:rsidRPr="00BF5E97">
        <w:t xml:space="preserve">, and as </w:t>
      </w:r>
      <w:r w:rsidR="009411E8" w:rsidRPr="00BF5E97">
        <w:t>“</w:t>
      </w:r>
      <w:r w:rsidR="0047558F" w:rsidRPr="00BF5E97">
        <w:t>non-discretionary rules</w:t>
      </w:r>
      <w:r w:rsidR="009411E8" w:rsidRPr="00BF5E97">
        <w:t>”</w:t>
      </w:r>
      <w:r w:rsidR="0047558F" w:rsidRPr="00BF5E97">
        <w:t>, see recital (6) of MiFID I.</w:t>
      </w:r>
    </w:p>
  </w:footnote>
  <w:footnote w:id="11">
    <w:p w14:paraId="7BF9A8F7" w14:textId="158FDCAE"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44(1) </w:t>
      </w:r>
      <w:r w:rsidRPr="00881EF0">
        <w:rPr>
          <w:lang w:val="fr-CA"/>
        </w:rPr>
        <w:t>MiFID II</w:t>
      </w:r>
    </w:p>
  </w:footnote>
  <w:footnote w:id="12">
    <w:p w14:paraId="33D4075D" w14:textId="00E41CE8"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47(1) </w:t>
      </w:r>
      <w:r w:rsidRPr="00881EF0">
        <w:rPr>
          <w:lang w:val="fr-CA"/>
        </w:rPr>
        <w:t>MiFID II.</w:t>
      </w:r>
    </w:p>
  </w:footnote>
  <w:footnote w:id="13">
    <w:p w14:paraId="682B4988" w14:textId="07341704"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48 </w:t>
      </w:r>
      <w:r w:rsidRPr="00881EF0">
        <w:rPr>
          <w:lang w:val="fr-CA"/>
        </w:rPr>
        <w:t>MiFID II.</w:t>
      </w:r>
    </w:p>
  </w:footnote>
  <w:footnote w:id="14">
    <w:p w14:paraId="41ECB73E" w14:textId="2D50D118"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53(1) </w:t>
      </w:r>
      <w:r w:rsidRPr="00881EF0">
        <w:rPr>
          <w:lang w:val="fr-CA"/>
        </w:rPr>
        <w:t>MiFID II.</w:t>
      </w:r>
    </w:p>
  </w:footnote>
  <w:footnote w:id="15">
    <w:p w14:paraId="313E9925" w14:textId="0A8A3383" w:rsidR="000657F2" w:rsidRPr="00881EF0" w:rsidRDefault="000657F2" w:rsidP="000657F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53(3) </w:t>
      </w:r>
      <w:r w:rsidRPr="00881EF0">
        <w:rPr>
          <w:lang w:val="fr-CA"/>
        </w:rPr>
        <w:t>MiFID II.</w:t>
      </w:r>
    </w:p>
  </w:footnote>
  <w:footnote w:id="16">
    <w:p w14:paraId="63686A91" w14:textId="76A11EAA" w:rsidR="005E1C90" w:rsidRPr="00035AB7" w:rsidRDefault="005E1C90" w:rsidP="005E1C9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51(1)</w:t>
      </w:r>
      <w:r w:rsidR="00F657B1" w:rsidRPr="00881EF0">
        <w:rPr>
          <w:lang w:val="fr-CA"/>
        </w:rPr>
        <w:t>(1)</w:t>
      </w:r>
      <w:r w:rsidRPr="00881EF0">
        <w:rPr>
          <w:lang w:val="fr-CA"/>
        </w:rPr>
        <w:t xml:space="preserve"> </w:t>
      </w:r>
      <w:r w:rsidRPr="00881EF0">
        <w:rPr>
          <w:lang w:val="fr-CA"/>
        </w:rPr>
        <w:t>MiFID II.</w:t>
      </w:r>
      <w:r w:rsidR="00197713" w:rsidRPr="00881EF0">
        <w:rPr>
          <w:lang w:val="fr-CA"/>
        </w:rPr>
        <w:t xml:space="preserve"> </w:t>
      </w:r>
      <w:r w:rsidR="00197713" w:rsidRPr="00BF5E97">
        <w:t>Additional listing requirements exist under the Listing Directive</w:t>
      </w:r>
      <w:r w:rsidR="00295593">
        <w:t xml:space="preserve"> which will be </w:t>
      </w:r>
      <w:r w:rsidR="007C0344">
        <w:t>repealed</w:t>
      </w:r>
      <w:r w:rsidR="00937730">
        <w:t xml:space="preserve"> and merged into MiFID II</w:t>
      </w:r>
      <w:r w:rsidR="00295593">
        <w:t xml:space="preserve"> by the EU Listing Act (see para. </w:t>
      </w:r>
      <w:r w:rsidR="00295593">
        <w:fldChar w:fldCharType="begin"/>
      </w:r>
      <w:r w:rsidR="00295593">
        <w:instrText xml:space="preserve"> REF _Ref163125624 \r \h </w:instrText>
      </w:r>
      <w:r w:rsidR="00295593">
        <w:fldChar w:fldCharType="separate"/>
      </w:r>
      <w:r w:rsidR="00D56145" w:rsidRPr="00E051D5">
        <w:rPr>
          <w:lang w:val="fr-FR"/>
        </w:rPr>
        <w:t>28</w:t>
      </w:r>
      <w:r w:rsidR="00295593">
        <w:fldChar w:fldCharType="end"/>
      </w:r>
      <w:r w:rsidR="00295593" w:rsidRPr="00035AB7">
        <w:rPr>
          <w:lang w:val="fr-CA"/>
        </w:rPr>
        <w:t xml:space="preserve"> p. </w:t>
      </w:r>
      <w:r w:rsidR="00295593">
        <w:fldChar w:fldCharType="begin"/>
      </w:r>
      <w:r w:rsidR="00295593" w:rsidRPr="00035AB7">
        <w:rPr>
          <w:lang w:val="fr-CA"/>
        </w:rPr>
        <w:instrText xml:space="preserve"> PAGEREF _Ref163125624 \h </w:instrText>
      </w:r>
      <w:r w:rsidR="00295593">
        <w:fldChar w:fldCharType="separate"/>
      </w:r>
      <w:r w:rsidR="00295593" w:rsidRPr="00035AB7">
        <w:rPr>
          <w:noProof/>
          <w:lang w:val="fr-CA"/>
        </w:rPr>
        <w:t>14</w:t>
      </w:r>
      <w:r w:rsidR="00295593">
        <w:fldChar w:fldCharType="end"/>
      </w:r>
      <w:r w:rsidR="00295593" w:rsidRPr="00035AB7">
        <w:rPr>
          <w:lang w:val="fr-CA"/>
        </w:rPr>
        <w:t>)</w:t>
      </w:r>
      <w:r w:rsidR="00197713" w:rsidRPr="00035AB7">
        <w:rPr>
          <w:lang w:val="fr-CA"/>
        </w:rPr>
        <w:t>.</w:t>
      </w:r>
    </w:p>
  </w:footnote>
  <w:footnote w:id="17">
    <w:p w14:paraId="52F642D0" w14:textId="70A4657F" w:rsidR="00F657B1" w:rsidRPr="00881EF0" w:rsidRDefault="00F657B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51(1)(2) </w:t>
      </w:r>
      <w:r w:rsidRPr="00881EF0">
        <w:rPr>
          <w:lang w:val="fr-CA"/>
        </w:rPr>
        <w:t>MiFID II.</w:t>
      </w:r>
    </w:p>
  </w:footnote>
  <w:footnote w:id="18">
    <w:p w14:paraId="6C34005B" w14:textId="5EC270AF" w:rsidR="007C3091" w:rsidRPr="00881EF0" w:rsidRDefault="007C309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52(2) </w:t>
      </w:r>
      <w:r w:rsidRPr="00881EF0">
        <w:rPr>
          <w:lang w:val="fr-CA"/>
        </w:rPr>
        <w:t>MiFID II.</w:t>
      </w:r>
    </w:p>
  </w:footnote>
  <w:footnote w:id="19">
    <w:p w14:paraId="6E50D5FC" w14:textId="76B67D83" w:rsidR="009759CA" w:rsidRPr="00881EF0" w:rsidRDefault="009759CA" w:rsidP="009759CA">
      <w:pPr>
        <w:pStyle w:val="Funotentext"/>
        <w:rPr>
          <w:lang w:val="fr-CA"/>
        </w:rPr>
      </w:pPr>
      <w:r w:rsidRPr="00BF5E97">
        <w:rPr>
          <w:rStyle w:val="Funotenzeichen"/>
        </w:rPr>
        <w:footnoteRef/>
      </w:r>
      <w:r w:rsidRPr="00881EF0">
        <w:rPr>
          <w:lang w:val="fr-CA"/>
        </w:rPr>
        <w:t xml:space="preserve"> Cf. </w:t>
      </w:r>
      <w:r w:rsidR="001870C0" w:rsidRPr="00881EF0">
        <w:rPr>
          <w:lang w:val="fr-CA"/>
        </w:rPr>
        <w:t>article </w:t>
      </w:r>
      <w:r w:rsidRPr="00881EF0">
        <w:rPr>
          <w:lang w:val="fr-CA"/>
        </w:rPr>
        <w:t xml:space="preserve">3(3) PR, </w:t>
      </w:r>
      <w:r w:rsidR="001870C0" w:rsidRPr="00881EF0">
        <w:rPr>
          <w:lang w:val="fr-CA"/>
        </w:rPr>
        <w:t>article </w:t>
      </w:r>
      <w:r w:rsidRPr="00881EF0">
        <w:rPr>
          <w:lang w:val="fr-CA"/>
        </w:rPr>
        <w:t xml:space="preserve">1(1) TD, </w:t>
      </w:r>
      <w:r w:rsidR="001870C0" w:rsidRPr="00881EF0">
        <w:rPr>
          <w:lang w:val="fr-CA"/>
        </w:rPr>
        <w:t>article </w:t>
      </w:r>
      <w:r w:rsidRPr="00881EF0">
        <w:rPr>
          <w:lang w:val="fr-CA"/>
        </w:rPr>
        <w:t>1(1), 2(1)(e) TBD.</w:t>
      </w:r>
    </w:p>
  </w:footnote>
  <w:footnote w:id="20">
    <w:p w14:paraId="0835344B" w14:textId="48A2C95E" w:rsidR="007A21A0" w:rsidRPr="00BF5E97" w:rsidRDefault="007A21A0">
      <w:pPr>
        <w:pStyle w:val="Funotentext"/>
      </w:pPr>
      <w:r w:rsidRPr="00BF5E97">
        <w:rPr>
          <w:rStyle w:val="Funotenzeichen"/>
        </w:rPr>
        <w:footnoteRef/>
      </w:r>
      <w:r w:rsidRPr="00BF5E97">
        <w:t xml:space="preserve"> </w:t>
      </w:r>
      <w:r w:rsidR="001870C0" w:rsidRPr="00BF5E97">
        <w:t>Article </w:t>
      </w:r>
      <w:r w:rsidRPr="00BF5E97">
        <w:t xml:space="preserve">9b SRD, implemented in German law in § 162 </w:t>
      </w:r>
      <w:r w:rsidRPr="00BF5E97">
        <w:t>AktG.</w:t>
      </w:r>
    </w:p>
  </w:footnote>
  <w:footnote w:id="21">
    <w:p w14:paraId="6F1AA3FF" w14:textId="23733F83" w:rsidR="007A21A0" w:rsidRPr="00BF5E97" w:rsidRDefault="007A21A0">
      <w:pPr>
        <w:pStyle w:val="Funotentext"/>
      </w:pPr>
      <w:r w:rsidRPr="00BF5E97">
        <w:rPr>
          <w:rStyle w:val="Funotenzeichen"/>
        </w:rPr>
        <w:footnoteRef/>
      </w:r>
      <w:r w:rsidRPr="00BF5E97">
        <w:t xml:space="preserve"> </w:t>
      </w:r>
      <w:r w:rsidR="001870C0" w:rsidRPr="00BF5E97">
        <w:t>Article </w:t>
      </w:r>
      <w:r w:rsidRPr="00BF5E97">
        <w:t xml:space="preserve">20(1) Accounting Directive, implemented in German law in § 161 </w:t>
      </w:r>
      <w:r w:rsidRPr="00BF5E97">
        <w:t xml:space="preserve">AktG as regards compliance with the </w:t>
      </w:r>
      <w:r w:rsidRPr="00BF5E97">
        <w:rPr>
          <w:i/>
        </w:rPr>
        <w:t>Deutscher Corporate Governance Kodex</w:t>
      </w:r>
      <w:r w:rsidRPr="00BF5E97">
        <w:t>.</w:t>
      </w:r>
    </w:p>
  </w:footnote>
  <w:footnote w:id="22">
    <w:p w14:paraId="60C558CF" w14:textId="22B59436" w:rsidR="00D10FEF" w:rsidRPr="00BF5E97" w:rsidRDefault="00D10FEF">
      <w:pPr>
        <w:pStyle w:val="Funotentext"/>
      </w:pPr>
      <w:r w:rsidRPr="00BF5E97">
        <w:rPr>
          <w:rStyle w:val="Funotenzeichen"/>
        </w:rPr>
        <w:footnoteRef/>
      </w:r>
      <w:r w:rsidRPr="00BF5E97">
        <w:t xml:space="preserve"> </w:t>
      </w:r>
      <w:r w:rsidR="00087BE4" w:rsidRPr="00BF5E97">
        <w:t>E.g.,</w:t>
      </w:r>
      <w:r w:rsidRPr="00BF5E97">
        <w:t xml:space="preserve"> §§ 67a ff., 76, 87a, 91(3), 96(2), (3), 110ff. </w:t>
      </w:r>
      <w:r w:rsidRPr="00BF5E97">
        <w:t>AktG</w:t>
      </w:r>
      <w:r w:rsidR="00304F34" w:rsidRPr="00BF5E97">
        <w:t>.</w:t>
      </w:r>
    </w:p>
  </w:footnote>
  <w:footnote w:id="23">
    <w:p w14:paraId="56DF78FD" w14:textId="12A2E142" w:rsidR="002C22B4" w:rsidRPr="00F12D80" w:rsidRDefault="002C22B4" w:rsidP="00F12D80">
      <w:pPr>
        <w:pStyle w:val="Funotentext"/>
        <w:rPr>
          <w:lang w:val="en-US"/>
        </w:rPr>
      </w:pPr>
      <w:r w:rsidRPr="00BF5E97">
        <w:rPr>
          <w:rStyle w:val="Funotenzeichen"/>
        </w:rPr>
        <w:footnoteRef/>
      </w:r>
      <w:r w:rsidRPr="00F12D80">
        <w:rPr>
          <w:lang w:val="en-US"/>
        </w:rPr>
        <w:t xml:space="preserve"> </w:t>
      </w:r>
      <w:r w:rsidR="00F12D80" w:rsidRPr="00F12D80">
        <w:rPr>
          <w:lang w:val="en-US"/>
        </w:rPr>
        <w:t xml:space="preserve">Heider, in: </w:t>
      </w:r>
      <w:r w:rsidR="00F12D80" w:rsidRPr="00FC610B">
        <w:rPr>
          <w:i/>
          <w:lang w:val="en-US"/>
        </w:rPr>
        <w:t>Münchener Kommentar zum Aktiengesetz</w:t>
      </w:r>
      <w:r w:rsidR="00F12D80" w:rsidRPr="00F12D80">
        <w:rPr>
          <w:lang w:val="en-US"/>
        </w:rPr>
        <w:t xml:space="preserve">, 6th ed. 2024, § 3 mn. 38 (note that it is not necessary that </w:t>
      </w:r>
      <w:r w:rsidR="00F12D80" w:rsidRPr="00F12D80">
        <w:rPr>
          <w:i/>
          <w:lang w:val="en-US"/>
        </w:rPr>
        <w:t>all</w:t>
      </w:r>
      <w:r w:rsidR="00F12D80" w:rsidRPr="00F12D80">
        <w:rPr>
          <w:lang w:val="en-US"/>
        </w:rPr>
        <w:t xml:space="preserve"> </w:t>
      </w:r>
      <w:r w:rsidR="00F12D80">
        <w:rPr>
          <w:lang w:val="en-US"/>
        </w:rPr>
        <w:t xml:space="preserve">shares </w:t>
      </w:r>
      <w:r w:rsidR="006261A9">
        <w:rPr>
          <w:lang w:val="en-US"/>
        </w:rPr>
        <w:t xml:space="preserve">issued </w:t>
      </w:r>
      <w:r w:rsidR="00F12D80" w:rsidRPr="00F12D80">
        <w:rPr>
          <w:lang w:val="en-US"/>
        </w:rPr>
        <w:t xml:space="preserve">are admitted to </w:t>
      </w:r>
      <w:r w:rsidR="00F12D80">
        <w:rPr>
          <w:lang w:val="en-US"/>
        </w:rPr>
        <w:t>trading)</w:t>
      </w:r>
      <w:r w:rsidRPr="00F12D80">
        <w:rPr>
          <w:lang w:val="en-US"/>
        </w:rPr>
        <w:t>.</w:t>
      </w:r>
    </w:p>
  </w:footnote>
  <w:footnote w:id="24">
    <w:p w14:paraId="38FDC11F" w14:textId="0FC805D1" w:rsidR="004A3589" w:rsidRPr="007F0005" w:rsidRDefault="004A3589">
      <w:pPr>
        <w:pStyle w:val="Funotentext"/>
        <w:rPr>
          <w:lang w:val="en-US"/>
        </w:rPr>
      </w:pPr>
      <w:r>
        <w:rPr>
          <w:rStyle w:val="Funotenzeichen"/>
        </w:rPr>
        <w:footnoteRef/>
      </w:r>
      <w:r w:rsidRPr="007F0005">
        <w:rPr>
          <w:lang w:val="en-US"/>
        </w:rPr>
        <w:t xml:space="preserve"> Recital (3) </w:t>
      </w:r>
      <w:r w:rsidR="006D23B5" w:rsidRPr="007F0005">
        <w:rPr>
          <w:lang w:val="en-US"/>
        </w:rPr>
        <w:t xml:space="preserve">of </w:t>
      </w:r>
      <w:r w:rsidR="00524C65">
        <w:rPr>
          <w:lang w:val="en-US"/>
        </w:rPr>
        <w:t>Regulation 2024/2809</w:t>
      </w:r>
      <w:r w:rsidRPr="007F0005">
        <w:rPr>
          <w:lang w:val="en-US"/>
        </w:rPr>
        <w:t>.</w:t>
      </w:r>
    </w:p>
  </w:footnote>
  <w:footnote w:id="25">
    <w:p w14:paraId="4D9D5D4F" w14:textId="2E640245" w:rsidR="00DA720F" w:rsidRPr="00035AB7" w:rsidRDefault="00DA720F">
      <w:pPr>
        <w:pStyle w:val="Funotentext"/>
        <w:rPr>
          <w:lang w:val="en-US"/>
        </w:rPr>
      </w:pPr>
      <w:r w:rsidRPr="00BF5E97">
        <w:rPr>
          <w:rStyle w:val="Funotenzeichen"/>
        </w:rPr>
        <w:footnoteRef/>
      </w:r>
      <w:r w:rsidRPr="00035AB7">
        <w:rPr>
          <w:lang w:val="en-US"/>
        </w:rPr>
        <w:t xml:space="preserve"> </w:t>
      </w:r>
      <w:r w:rsidR="00FE1A80" w:rsidRPr="00035AB7">
        <w:rPr>
          <w:lang w:val="en-US"/>
        </w:rPr>
        <w:t>R</w:t>
      </w:r>
      <w:r w:rsidRPr="00035AB7">
        <w:rPr>
          <w:lang w:val="en-US"/>
        </w:rPr>
        <w:t>ecital (4) MiFID II.</w:t>
      </w:r>
    </w:p>
  </w:footnote>
  <w:footnote w:id="26">
    <w:p w14:paraId="0D771824" w14:textId="411C5C71" w:rsidR="00A10D92" w:rsidRPr="00130076" w:rsidRDefault="00A10D92" w:rsidP="00A10D92">
      <w:pPr>
        <w:pStyle w:val="Funotentext"/>
        <w:rPr>
          <w:lang w:val="en-US"/>
        </w:rPr>
      </w:pPr>
      <w:r>
        <w:rPr>
          <w:rStyle w:val="Funotenzeichen"/>
        </w:rPr>
        <w:footnoteRef/>
      </w:r>
      <w:r>
        <w:t xml:space="preserve"> It is worth noting that adequate transparency on capital markets </w:t>
      </w:r>
      <w:r>
        <w:rPr>
          <w:lang w:val="en-US"/>
        </w:rPr>
        <w:t xml:space="preserve">is an assumption relied on by courts when using stock exchange prices as a proxy to determine the fair value of securities or a participation, as for example in </w:t>
      </w:r>
      <w:r w:rsidRPr="00130076">
        <w:rPr>
          <w:lang w:val="en-US"/>
        </w:rPr>
        <w:t>BGH</w:t>
      </w:r>
      <w:r>
        <w:rPr>
          <w:lang w:val="en-US"/>
        </w:rPr>
        <w:t xml:space="preserve">, </w:t>
      </w:r>
      <w:r w:rsidRPr="00130076">
        <w:rPr>
          <w:lang w:val="en-US"/>
        </w:rPr>
        <w:t>31</w:t>
      </w:r>
      <w:r>
        <w:rPr>
          <w:lang w:val="en-US"/>
        </w:rPr>
        <w:t xml:space="preserve"> January </w:t>
      </w:r>
      <w:r w:rsidRPr="00130076">
        <w:rPr>
          <w:lang w:val="en-US"/>
        </w:rPr>
        <w:t>2024 – II ZB 5/22</w:t>
      </w:r>
      <w:r>
        <w:rPr>
          <w:lang w:val="en-US"/>
        </w:rPr>
        <w:t xml:space="preserve">, NZG 2024, 935 para. 27 – </w:t>
      </w:r>
      <w:r w:rsidRPr="00A97272">
        <w:rPr>
          <w:i/>
          <w:lang w:val="en-US"/>
        </w:rPr>
        <w:t>Vodafone</w:t>
      </w:r>
      <w:r>
        <w:rPr>
          <w:i/>
          <w:lang w:val="en-US"/>
        </w:rPr>
        <w:t xml:space="preserve"> </w:t>
      </w:r>
      <w:r>
        <w:rPr>
          <w:lang w:val="en-US"/>
        </w:rPr>
        <w:t xml:space="preserve">in the context of fair compensation pursuant to § 305 </w:t>
      </w:r>
      <w:r>
        <w:rPr>
          <w:lang w:val="en-US"/>
        </w:rPr>
        <w:t>AktG</w:t>
      </w:r>
      <w:r w:rsidR="00510CED">
        <w:rPr>
          <w:lang w:val="en-US"/>
        </w:rPr>
        <w:t xml:space="preserve">, and subsequently </w:t>
      </w:r>
      <w:r w:rsidR="00510CED" w:rsidRPr="00510CED">
        <w:rPr>
          <w:lang w:val="en-US"/>
        </w:rPr>
        <w:t>LG München I, 28</w:t>
      </w:r>
      <w:r w:rsidR="00510CED">
        <w:rPr>
          <w:lang w:val="en-US"/>
        </w:rPr>
        <w:t xml:space="preserve"> June </w:t>
      </w:r>
      <w:r w:rsidR="00510CED" w:rsidRPr="00510CED">
        <w:rPr>
          <w:lang w:val="en-US"/>
        </w:rPr>
        <w:t>2024 – 5 HK O 15162/20</w:t>
      </w:r>
      <w:r w:rsidR="00510CED">
        <w:rPr>
          <w:lang w:val="en-US"/>
        </w:rPr>
        <w:t xml:space="preserve"> – </w:t>
      </w:r>
      <w:r w:rsidR="00510CED" w:rsidRPr="00510CED">
        <w:rPr>
          <w:i/>
          <w:lang w:val="en-US"/>
        </w:rPr>
        <w:t>Audi</w:t>
      </w:r>
      <w:r>
        <w:rPr>
          <w:lang w:val="en-US"/>
        </w:rPr>
        <w:t>.</w:t>
      </w:r>
    </w:p>
  </w:footnote>
  <w:footnote w:id="27">
    <w:p w14:paraId="60D7D8C5" w14:textId="77777777" w:rsidR="0070499A" w:rsidRPr="008E6AC5" w:rsidRDefault="0070499A" w:rsidP="0070499A">
      <w:pPr>
        <w:pStyle w:val="Funotentext"/>
        <w:rPr>
          <w:lang w:val="fr-FR"/>
        </w:rPr>
      </w:pPr>
      <w:r w:rsidRPr="00BF5E97">
        <w:rPr>
          <w:rStyle w:val="Funotenzeichen"/>
        </w:rPr>
        <w:footnoteRef/>
      </w:r>
      <w:r w:rsidRPr="008E6AC5">
        <w:rPr>
          <w:lang w:val="fr-FR"/>
        </w:rPr>
        <w:t xml:space="preserve"> </w:t>
      </w:r>
      <w:r w:rsidRPr="008E6AC5">
        <w:rPr>
          <w:lang w:val="fr-FR"/>
        </w:rPr>
        <w:t>Recital (3) MiFID II.</w:t>
      </w:r>
    </w:p>
  </w:footnote>
  <w:footnote w:id="28">
    <w:p w14:paraId="12D8AE04" w14:textId="306B5ED4" w:rsidR="006E4F33" w:rsidRPr="00E142FD" w:rsidRDefault="006E4F33">
      <w:pPr>
        <w:pStyle w:val="Funotentext"/>
        <w:rPr>
          <w:lang w:val="fr-FR"/>
        </w:rPr>
      </w:pPr>
      <w:r w:rsidRPr="00BF5E97">
        <w:rPr>
          <w:rStyle w:val="Funotenzeichen"/>
        </w:rPr>
        <w:footnoteRef/>
      </w:r>
      <w:r w:rsidRPr="00E142FD">
        <w:rPr>
          <w:lang w:val="fr-FR"/>
        </w:rPr>
        <w:t xml:space="preserve"> </w:t>
      </w:r>
      <w:r w:rsidR="001870C0" w:rsidRPr="00E142FD">
        <w:rPr>
          <w:lang w:val="fr-FR"/>
        </w:rPr>
        <w:t>Article </w:t>
      </w:r>
      <w:r w:rsidRPr="00E142FD">
        <w:rPr>
          <w:lang w:val="fr-FR"/>
        </w:rPr>
        <w:t>288(2) TFEU.</w:t>
      </w:r>
    </w:p>
  </w:footnote>
  <w:footnote w:id="29">
    <w:p w14:paraId="0CF4AD07" w14:textId="03C66007" w:rsidR="006E4F33" w:rsidRPr="00E142FD" w:rsidRDefault="006E4F33">
      <w:pPr>
        <w:pStyle w:val="Funotentext"/>
        <w:rPr>
          <w:lang w:val="fr-FR"/>
        </w:rPr>
      </w:pPr>
      <w:r w:rsidRPr="00BF5E97">
        <w:rPr>
          <w:rStyle w:val="Funotenzeichen"/>
        </w:rPr>
        <w:footnoteRef/>
      </w:r>
      <w:r w:rsidRPr="00E142FD">
        <w:rPr>
          <w:lang w:val="fr-FR"/>
        </w:rPr>
        <w:t xml:space="preserve"> </w:t>
      </w:r>
      <w:r w:rsidR="001870C0" w:rsidRPr="00E142FD">
        <w:rPr>
          <w:lang w:val="fr-FR"/>
        </w:rPr>
        <w:t>Article </w:t>
      </w:r>
      <w:r w:rsidRPr="00E142FD">
        <w:rPr>
          <w:lang w:val="fr-FR"/>
        </w:rPr>
        <w:t>288(3) TFEU.</w:t>
      </w:r>
    </w:p>
  </w:footnote>
  <w:footnote w:id="30">
    <w:p w14:paraId="48C95907" w14:textId="269D002E" w:rsidR="000418C4" w:rsidRPr="00BF5E97" w:rsidRDefault="000418C4">
      <w:pPr>
        <w:pStyle w:val="Funotentext"/>
      </w:pPr>
      <w:r w:rsidRPr="00BF5E97">
        <w:rPr>
          <w:rStyle w:val="Funotenzeichen"/>
        </w:rPr>
        <w:footnoteRef/>
      </w:r>
      <w:r w:rsidRPr="00BF5E97">
        <w:t xml:space="preserve"> Recital (3) MAR, following the conclusions of the report of 25 February 2009 by the High Level Group on Financial Supervision in the EU, chaired by Jacques de </w:t>
      </w:r>
      <w:r w:rsidRPr="00BF5E97">
        <w:t>Larosière (the ‘de Larosière Group’).</w:t>
      </w:r>
    </w:p>
  </w:footnote>
  <w:footnote w:id="31">
    <w:p w14:paraId="7311981F" w14:textId="46E65015" w:rsidR="000B6682" w:rsidRPr="00C453B9" w:rsidRDefault="000B6682">
      <w:pPr>
        <w:pStyle w:val="Funotentext"/>
        <w:rPr>
          <w:lang w:val="en-US"/>
        </w:rPr>
      </w:pPr>
      <w:r w:rsidRPr="00BF5E97">
        <w:rPr>
          <w:rStyle w:val="Funotenzeichen"/>
        </w:rPr>
        <w:footnoteRef/>
      </w:r>
      <w:r w:rsidRPr="00C453B9">
        <w:rPr>
          <w:lang w:val="en-US"/>
        </w:rPr>
        <w:t xml:space="preserve"> Cf. </w:t>
      </w:r>
      <w:hyperlink r:id="rId1" w:history="1">
        <w:r w:rsidR="000845E3" w:rsidRPr="00C453B9">
          <w:rPr>
            <w:rStyle w:val="Hyperlink"/>
            <w:lang w:val="en-US"/>
          </w:rPr>
          <w:t>https://finance.ec.europa.eu/regulation-and-supervision/regulatory-process-financial-services_en</w:t>
        </w:r>
      </w:hyperlink>
      <w:r w:rsidR="00C453B9" w:rsidRPr="00C453B9">
        <w:rPr>
          <w:lang w:val="en-US"/>
        </w:rPr>
        <w:t xml:space="preserve">, accessed </w:t>
      </w:r>
      <w:r w:rsidR="002C742D">
        <w:rPr>
          <w:lang w:val="en-US"/>
        </w:rPr>
        <w:t>2 April 2025</w:t>
      </w:r>
      <w:r w:rsidR="000845E3" w:rsidRPr="00C453B9">
        <w:rPr>
          <w:lang w:val="en-US"/>
        </w:rPr>
        <w:t xml:space="preserve"> </w:t>
      </w:r>
      <w:r w:rsidRPr="00C453B9">
        <w:rPr>
          <w:lang w:val="en-US"/>
        </w:rPr>
        <w:t xml:space="preserve"> </w:t>
      </w:r>
    </w:p>
  </w:footnote>
  <w:footnote w:id="32">
    <w:p w14:paraId="4F45555A" w14:textId="31A4F7AD" w:rsidR="000845E3" w:rsidRPr="005D05ED" w:rsidRDefault="000845E3">
      <w:pPr>
        <w:pStyle w:val="Funotentext"/>
        <w:rPr>
          <w:lang w:val="en-US"/>
        </w:rPr>
      </w:pPr>
      <w:r w:rsidRPr="00BF5E97">
        <w:rPr>
          <w:rStyle w:val="Funotenzeichen"/>
        </w:rPr>
        <w:footnoteRef/>
      </w:r>
      <w:r w:rsidRPr="005D05ED">
        <w:rPr>
          <w:lang w:val="en-US"/>
        </w:rPr>
        <w:t xml:space="preserve"> </w:t>
      </w:r>
      <w:r w:rsidR="005D05ED">
        <w:rPr>
          <w:lang w:val="en-US"/>
        </w:rPr>
        <w:t>Available at</w:t>
      </w:r>
      <w:r w:rsidRPr="005D05ED">
        <w:rPr>
          <w:lang w:val="en-US"/>
        </w:rPr>
        <w:t xml:space="preserve"> </w:t>
      </w:r>
      <w:hyperlink r:id="rId2" w:history="1">
        <w:r w:rsidRPr="005D05ED">
          <w:rPr>
            <w:rStyle w:val="Hyperlink"/>
            <w:lang w:val="en-US"/>
          </w:rPr>
          <w:t>https://www.esma.europa.eu/sites/default/files/library/2015/11/lamfalussy_report.pdf</w:t>
        </w:r>
      </w:hyperlink>
      <w:r w:rsidR="005D05ED" w:rsidRPr="005D05ED">
        <w:rPr>
          <w:lang w:val="en-US"/>
        </w:rPr>
        <w:t xml:space="preserve">, accessed </w:t>
      </w:r>
      <w:r w:rsidR="002C742D">
        <w:rPr>
          <w:lang w:val="en-US"/>
        </w:rPr>
        <w:t>2 April 2025</w:t>
      </w:r>
      <w:r w:rsidR="005D05ED">
        <w:rPr>
          <w:lang w:val="en-US"/>
        </w:rPr>
        <w:t>.</w:t>
      </w:r>
      <w:r w:rsidRPr="005D05ED">
        <w:rPr>
          <w:lang w:val="en-US"/>
        </w:rPr>
        <w:t xml:space="preserve"> </w:t>
      </w:r>
    </w:p>
  </w:footnote>
  <w:footnote w:id="33">
    <w:p w14:paraId="4769520C" w14:textId="06DCDE18" w:rsidR="000E1D97" w:rsidRPr="00BF5E97" w:rsidRDefault="000E1D97">
      <w:pPr>
        <w:pStyle w:val="Funotentext"/>
      </w:pPr>
      <w:r w:rsidRPr="00BF5E97">
        <w:rPr>
          <w:rStyle w:val="Funotenzeichen"/>
        </w:rPr>
        <w:footnoteRef/>
      </w:r>
      <w:r w:rsidRPr="00BF5E97">
        <w:t xml:space="preserve"> </w:t>
      </w:r>
      <w:r w:rsidR="001870C0" w:rsidRPr="00BF5E97">
        <w:t>Article </w:t>
      </w:r>
      <w:r w:rsidRPr="00BF5E97">
        <w:t>17 ESMA Regulation.</w:t>
      </w:r>
    </w:p>
  </w:footnote>
  <w:footnote w:id="34">
    <w:p w14:paraId="53EA446B" w14:textId="443D943E" w:rsidR="00341691" w:rsidRPr="00035AB7" w:rsidRDefault="00341691">
      <w:pPr>
        <w:pStyle w:val="Funotentext"/>
        <w:rPr>
          <w:lang w:val="en-US"/>
        </w:rPr>
      </w:pPr>
      <w:r w:rsidRPr="00BF5E97">
        <w:rPr>
          <w:rStyle w:val="Funotenzeichen"/>
        </w:rPr>
        <w:footnoteRef/>
      </w:r>
      <w:r w:rsidRPr="00035AB7">
        <w:rPr>
          <w:lang w:val="en-US"/>
        </w:rPr>
        <w:t xml:space="preserve"> Available online at </w:t>
      </w:r>
      <w:hyperlink r:id="rId3" w:history="1">
        <w:r w:rsidR="00D91298" w:rsidRPr="00035AB7">
          <w:rPr>
            <w:rStyle w:val="Hyperlink"/>
            <w:lang w:val="en-US"/>
          </w:rPr>
          <w:t>https://www.bafin.de/DE/Aufsicht/BoersenMaerkte/Emittentenleitfaden/emittentenleitfaden_node.html</w:t>
        </w:r>
      </w:hyperlink>
      <w:r w:rsidR="003A5442">
        <w:rPr>
          <w:lang w:val="en-US"/>
        </w:rPr>
        <w:t xml:space="preserve">, accessed </w:t>
      </w:r>
      <w:r w:rsidR="002C742D">
        <w:rPr>
          <w:lang w:val="en-US"/>
        </w:rPr>
        <w:t>2 April 2025</w:t>
      </w:r>
      <w:r w:rsidR="003A5442">
        <w:rPr>
          <w:lang w:val="en-US"/>
        </w:rPr>
        <w:t>.</w:t>
      </w:r>
    </w:p>
  </w:footnote>
  <w:footnote w:id="35">
    <w:p w14:paraId="13C4390A" w14:textId="6FE0421C" w:rsidR="00D91298" w:rsidRPr="00F5667D" w:rsidRDefault="00D91298">
      <w:pPr>
        <w:pStyle w:val="Funotentext"/>
        <w:rPr>
          <w:lang w:val="fr-CA"/>
        </w:rPr>
      </w:pPr>
      <w:r w:rsidRPr="00BF5E97">
        <w:rPr>
          <w:rStyle w:val="Funotenzeichen"/>
        </w:rPr>
        <w:footnoteRef/>
      </w:r>
      <w:r w:rsidRPr="00F5667D">
        <w:rPr>
          <w:lang w:val="fr-CA"/>
        </w:rPr>
        <w:t xml:space="preserve"> </w:t>
      </w:r>
      <w:r w:rsidR="001870C0" w:rsidRPr="00F5667D">
        <w:rPr>
          <w:lang w:val="fr-CA"/>
        </w:rPr>
        <w:t>Article </w:t>
      </w:r>
      <w:r w:rsidRPr="00F5667D">
        <w:rPr>
          <w:lang w:val="fr-CA"/>
        </w:rPr>
        <w:t>277 TFEU.</w:t>
      </w:r>
    </w:p>
  </w:footnote>
  <w:footnote w:id="36">
    <w:p w14:paraId="5111F4A0" w14:textId="7657C24A" w:rsidR="00C57760" w:rsidRPr="003636AB" w:rsidRDefault="00C57760">
      <w:pPr>
        <w:pStyle w:val="Funotentext"/>
        <w:rPr>
          <w:lang w:val="de-DE"/>
        </w:rPr>
      </w:pPr>
      <w:r>
        <w:rPr>
          <w:rStyle w:val="Funotenzeichen"/>
        </w:rPr>
        <w:footnoteRef/>
      </w:r>
      <w:r w:rsidRPr="00F5667D">
        <w:rPr>
          <w:lang w:val="fr-CA"/>
        </w:rPr>
        <w:t xml:space="preserve"> §§ 186(3), 135a </w:t>
      </w:r>
      <w:r w:rsidRPr="00F5667D">
        <w:rPr>
          <w:lang w:val="fr-CA"/>
        </w:rPr>
        <w:t>AktG n.F., §</w:t>
      </w:r>
      <w:r w:rsidR="003636AB" w:rsidRPr="00F5667D">
        <w:rPr>
          <w:lang w:val="fr-CA"/>
        </w:rPr>
        <w:t>§ </w:t>
      </w:r>
      <w:r w:rsidRPr="00F5667D">
        <w:rPr>
          <w:lang w:val="fr-CA"/>
        </w:rPr>
        <w:t>44</w:t>
      </w:r>
      <w:r w:rsidR="003636AB" w:rsidRPr="00F5667D">
        <w:rPr>
          <w:lang w:val="fr-CA"/>
        </w:rPr>
        <w:t>ff.</w:t>
      </w:r>
      <w:r w:rsidRPr="00F5667D">
        <w:rPr>
          <w:lang w:val="fr-CA"/>
        </w:rPr>
        <w:t xml:space="preserve"> </w:t>
      </w:r>
      <w:r w:rsidRPr="003636AB">
        <w:rPr>
          <w:lang w:val="de-DE"/>
        </w:rPr>
        <w:t xml:space="preserve">BörsG n.F., § 1 eWpG n.F. For details, see Florstedt, “Das Zukunftsfinanzierungsgesetz – Erleichterte Eigenkapitalaufnahme, elektronische Aktie, und weitere Reformthemen“ (2024) </w:t>
      </w:r>
      <w:r w:rsidRPr="003636AB">
        <w:rPr>
          <w:i/>
          <w:lang w:val="de-DE"/>
        </w:rPr>
        <w:t>NZG</w:t>
      </w:r>
      <w:r w:rsidRPr="003636AB">
        <w:rPr>
          <w:lang w:val="de-DE"/>
        </w:rPr>
        <w:t xml:space="preserve"> 179–184.</w:t>
      </w:r>
    </w:p>
  </w:footnote>
  <w:footnote w:id="37">
    <w:p w14:paraId="12124FB2" w14:textId="33881909" w:rsidR="001F3F0E" w:rsidRPr="006E63AA" w:rsidRDefault="001F3F0E">
      <w:pPr>
        <w:pStyle w:val="Funotentext"/>
        <w:rPr>
          <w:lang w:val="en-US"/>
        </w:rPr>
      </w:pPr>
      <w:r w:rsidRPr="00BF5E97">
        <w:rPr>
          <w:rStyle w:val="Funotenzeichen"/>
        </w:rPr>
        <w:footnoteRef/>
      </w:r>
      <w:r w:rsidRPr="006E63AA">
        <w:rPr>
          <w:lang w:val="en-US"/>
        </w:rPr>
        <w:t xml:space="preserve"> See </w:t>
      </w:r>
      <w:hyperlink r:id="rId4" w:history="1">
        <w:r w:rsidRPr="006E63AA">
          <w:rPr>
            <w:rStyle w:val="Hyperlink"/>
            <w:lang w:val="en-US"/>
          </w:rPr>
          <w:t>https://finance.ec.europa.eu/capital-markets-union-and-financial-markets/capital-markets-union_en</w:t>
        </w:r>
      </w:hyperlink>
      <w:r w:rsidR="000E2F16">
        <w:rPr>
          <w:lang w:val="en-US"/>
        </w:rPr>
        <w:t xml:space="preserve">, accessed </w:t>
      </w:r>
      <w:r w:rsidR="002C742D">
        <w:rPr>
          <w:lang w:val="en-US"/>
        </w:rPr>
        <w:t>2 April 2025</w:t>
      </w:r>
      <w:r w:rsidR="000E2F16">
        <w:rPr>
          <w:lang w:val="en-US"/>
        </w:rPr>
        <w:t>.</w:t>
      </w:r>
    </w:p>
  </w:footnote>
  <w:footnote w:id="38">
    <w:p w14:paraId="24A8D748" w14:textId="7BAE4B4F" w:rsidR="00250B10" w:rsidRPr="00250B10" w:rsidRDefault="00250B10">
      <w:pPr>
        <w:pStyle w:val="Funotentext"/>
      </w:pPr>
      <w:r>
        <w:rPr>
          <w:rStyle w:val="Funotenzeichen"/>
        </w:rPr>
        <w:footnoteRef/>
      </w:r>
      <w:r>
        <w:t xml:space="preserve"> Article 5(1) of the draft regulation. On the legislative procedure, see </w:t>
      </w:r>
      <w:hyperlink r:id="rId5" w:history="1">
        <w:r w:rsidRPr="00CA5383">
          <w:rPr>
            <w:rStyle w:val="Hyperlink"/>
          </w:rPr>
          <w:t>https://eur-lex.europa.eu/procedure/EN/2023_177</w:t>
        </w:r>
      </w:hyperlink>
      <w:r>
        <w:t xml:space="preserve"> (accessed </w:t>
      </w:r>
      <w:r w:rsidR="002C742D">
        <w:t>2 April 2025</w:t>
      </w:r>
      <w:r>
        <w:t>).</w:t>
      </w:r>
    </w:p>
  </w:footnote>
  <w:footnote w:id="39">
    <w:p w14:paraId="1EE0966C" w14:textId="77777777" w:rsidR="00693B3E" w:rsidRPr="00931040" w:rsidRDefault="00693B3E" w:rsidP="00693B3E">
      <w:pPr>
        <w:pStyle w:val="Funotentext"/>
      </w:pPr>
      <w:r w:rsidRPr="00BF5E97">
        <w:rPr>
          <w:rStyle w:val="Funotenzeichen"/>
        </w:rPr>
        <w:footnoteRef/>
      </w:r>
      <w:r w:rsidRPr="00931040">
        <w:t xml:space="preserve"> Article 4(1)(44) MiFID II, § 2(1) </w:t>
      </w:r>
      <w:r w:rsidRPr="00931040">
        <w:t>WpHG.</w:t>
      </w:r>
    </w:p>
  </w:footnote>
  <w:footnote w:id="40">
    <w:p w14:paraId="14D95FE5" w14:textId="4970BA11" w:rsidR="00035AB7" w:rsidRPr="009A5146" w:rsidRDefault="00035AB7" w:rsidP="00035AB7">
      <w:pPr>
        <w:pStyle w:val="Funotentext"/>
      </w:pPr>
      <w:r>
        <w:rPr>
          <w:rStyle w:val="Funotenzeichen"/>
        </w:rPr>
        <w:footnoteRef/>
      </w:r>
      <w:r>
        <w:t xml:space="preserve"> The domestic concept is </w:t>
      </w:r>
      <w:r w:rsidRPr="005A62D8">
        <w:t>broader</w:t>
      </w:r>
      <w:r>
        <w:t xml:space="preserve"> in that it covers instruments regardless of whether they can be traded on capital markets (for example, it includes “</w:t>
      </w:r>
      <w:r w:rsidRPr="00434299">
        <w:rPr>
          <w:i/>
        </w:rPr>
        <w:t>Namenspapiere</w:t>
      </w:r>
      <w:r>
        <w:t xml:space="preserve">”). It is </w:t>
      </w:r>
      <w:r w:rsidR="007E1210">
        <w:t>narrower</w:t>
      </w:r>
      <w:r>
        <w:t xml:space="preserve"> in that it used to require paper certification (§ 793 BGB), which is not required from an EU law perspective (see Case </w:t>
      </w:r>
      <w:r w:rsidR="003D47B9">
        <w:fldChar w:fldCharType="begin"/>
      </w:r>
      <w:r w:rsidR="003D47B9">
        <w:instrText xml:space="preserve"> REF _Ref130848508 \r \h </w:instrText>
      </w:r>
      <w:r w:rsidR="003D47B9">
        <w:fldChar w:fldCharType="separate"/>
      </w:r>
      <w:r w:rsidR="00D56145">
        <w:t>Case Study 10</w:t>
      </w:r>
      <w:r w:rsidR="003D47B9">
        <w:fldChar w:fldCharType="end"/>
      </w:r>
      <w:r w:rsidR="00BA3E7F">
        <w:t xml:space="preserve"> </w:t>
      </w:r>
      <w:r w:rsidR="003D47B9">
        <w:t>p. </w:t>
      </w:r>
      <w:r w:rsidR="003D47B9">
        <w:fldChar w:fldCharType="begin"/>
      </w:r>
      <w:r w:rsidR="003D47B9">
        <w:instrText xml:space="preserve"> PAGEREF _Ref130848508 \h </w:instrText>
      </w:r>
      <w:r w:rsidR="003D47B9">
        <w:fldChar w:fldCharType="separate"/>
      </w:r>
      <w:r w:rsidR="003D47B9">
        <w:rPr>
          <w:noProof/>
        </w:rPr>
        <w:t>19</w:t>
      </w:r>
      <w:r w:rsidR="003D47B9">
        <w:fldChar w:fldCharType="end"/>
      </w:r>
      <w:r>
        <w:t xml:space="preserve"> below).</w:t>
      </w:r>
    </w:p>
  </w:footnote>
  <w:footnote w:id="41">
    <w:p w14:paraId="6DCBEDFC" w14:textId="6197C521" w:rsidR="006E16B5" w:rsidRPr="00BF5E97" w:rsidRDefault="006E16B5">
      <w:pPr>
        <w:pStyle w:val="Funotentext"/>
      </w:pPr>
      <w:r w:rsidRPr="00BF5E97">
        <w:rPr>
          <w:rStyle w:val="Funotenzeichen"/>
        </w:rPr>
        <w:footnoteRef/>
      </w:r>
      <w:r w:rsidRPr="00BF5E97">
        <w:t xml:space="preserve"> Plus those reserves which may not be distributed under the law or the statutes of the company.</w:t>
      </w:r>
    </w:p>
  </w:footnote>
  <w:footnote w:id="42">
    <w:p w14:paraId="1C93335A" w14:textId="22CAF9AD" w:rsidR="00710B4A" w:rsidRPr="00881EF0" w:rsidRDefault="00710B4A">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56(4) CLD.</w:t>
      </w:r>
    </w:p>
  </w:footnote>
  <w:footnote w:id="43">
    <w:p w14:paraId="4A1CB265" w14:textId="2A0A952C" w:rsidR="00495820" w:rsidRPr="00881EF0" w:rsidRDefault="0049582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57 CLD.</w:t>
      </w:r>
    </w:p>
  </w:footnote>
  <w:footnote w:id="44">
    <w:p w14:paraId="65A31664" w14:textId="51B715CC" w:rsidR="005820DA" w:rsidRPr="00881EF0" w:rsidRDefault="005820DA">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85 CLD.</w:t>
      </w:r>
    </w:p>
  </w:footnote>
  <w:footnote w:id="45">
    <w:p w14:paraId="7D1B214C" w14:textId="550C5439" w:rsidR="005C7153" w:rsidRPr="005C7153" w:rsidRDefault="005C7153">
      <w:pPr>
        <w:pStyle w:val="Funotentext"/>
        <w:rPr>
          <w:lang w:val="de-DE"/>
        </w:rPr>
      </w:pPr>
      <w:r>
        <w:rPr>
          <w:rStyle w:val="Funotenzeichen"/>
        </w:rPr>
        <w:footnoteRef/>
      </w:r>
      <w:r w:rsidRPr="006E63AA">
        <w:rPr>
          <w:lang w:val="de-DE"/>
        </w:rPr>
        <w:t xml:space="preserve"> </w:t>
      </w:r>
      <w:r w:rsidRPr="006E63AA">
        <w:rPr>
          <w:lang w:val="de-DE"/>
        </w:rPr>
        <w:t>Article 60 CLD.</w:t>
      </w:r>
    </w:p>
  </w:footnote>
  <w:footnote w:id="46">
    <w:p w14:paraId="6904BFE9" w14:textId="6B6CC8B0" w:rsidR="00AE7402" w:rsidRPr="00881EF0" w:rsidRDefault="00AE7402">
      <w:pPr>
        <w:pStyle w:val="Funotentext"/>
        <w:rPr>
          <w:lang w:val="de-DE"/>
        </w:rPr>
      </w:pPr>
      <w:r w:rsidRPr="00BF5E97">
        <w:rPr>
          <w:rStyle w:val="Funotenzeichen"/>
        </w:rPr>
        <w:footnoteRef/>
      </w:r>
      <w:r w:rsidRPr="00881EF0">
        <w:rPr>
          <w:lang w:val="de-DE"/>
        </w:rPr>
        <w:t xml:space="preserve"> </w:t>
      </w:r>
      <w:r w:rsidR="001870C0" w:rsidRPr="00881EF0">
        <w:rPr>
          <w:lang w:val="de-DE"/>
        </w:rPr>
        <w:t>Article </w:t>
      </w:r>
      <w:r w:rsidRPr="00881EF0">
        <w:rPr>
          <w:lang w:val="de-DE"/>
        </w:rPr>
        <w:t>1(1) SRD.</w:t>
      </w:r>
    </w:p>
  </w:footnote>
  <w:footnote w:id="47">
    <w:p w14:paraId="5687919D" w14:textId="239E2BD8" w:rsidR="003C06DA" w:rsidRPr="00A45287" w:rsidRDefault="003C06DA">
      <w:pPr>
        <w:pStyle w:val="Funotentext"/>
        <w:rPr>
          <w:lang w:val="de-DE"/>
        </w:rPr>
      </w:pPr>
      <w:r w:rsidRPr="00BF5E97">
        <w:rPr>
          <w:rStyle w:val="Funotenzeichen"/>
        </w:rPr>
        <w:footnoteRef/>
      </w:r>
      <w:r w:rsidRPr="00881EF0">
        <w:rPr>
          <w:lang w:val="de-DE"/>
        </w:rPr>
        <w:t xml:space="preserve"> </w:t>
      </w:r>
      <w:r w:rsidRPr="00881EF0">
        <w:rPr>
          <w:i/>
          <w:lang w:val="de-DE"/>
        </w:rPr>
        <w:t>Gesetz zur Einführung von elektronischen Wertpapieren</w:t>
      </w:r>
      <w:r w:rsidRPr="00881EF0">
        <w:rPr>
          <w:lang w:val="de-DE"/>
        </w:rPr>
        <w:t>, eWpG</w:t>
      </w:r>
      <w:r w:rsidR="004A62FD" w:rsidRPr="00881EF0">
        <w:rPr>
          <w:lang w:val="de-DE"/>
        </w:rPr>
        <w:t>.</w:t>
      </w:r>
    </w:p>
  </w:footnote>
  <w:footnote w:id="48">
    <w:p w14:paraId="51C5657A" w14:textId="77777777" w:rsidR="00593212" w:rsidRPr="00BF5E97" w:rsidRDefault="00593212" w:rsidP="00593212">
      <w:pPr>
        <w:pStyle w:val="Funotentext"/>
      </w:pPr>
      <w:r w:rsidRPr="00BF5E97">
        <w:rPr>
          <w:rStyle w:val="Funotenzeichen"/>
        </w:rPr>
        <w:footnoteRef/>
      </w:r>
      <w:r w:rsidRPr="00BF5E97">
        <w:t xml:space="preserve"> § 793(1) BGB.</w:t>
      </w:r>
    </w:p>
  </w:footnote>
  <w:footnote w:id="49">
    <w:p w14:paraId="731108F0" w14:textId="54168642" w:rsidR="00A71125" w:rsidRPr="00BF5E97" w:rsidRDefault="00A71125">
      <w:pPr>
        <w:pStyle w:val="Funotentext"/>
      </w:pPr>
      <w:r w:rsidRPr="00BF5E97">
        <w:rPr>
          <w:rStyle w:val="Funotenzeichen"/>
        </w:rPr>
        <w:footnoteRef/>
      </w:r>
      <w:r w:rsidRPr="00BF5E97">
        <w:t xml:space="preserve"> Typically, a zero bond will be issued at a price </w:t>
      </w:r>
      <w:r w:rsidR="00042C35" w:rsidRPr="00BF5E97">
        <w:t>“</w:t>
      </w:r>
      <w:r w:rsidRPr="00BF5E97">
        <w:t>below par</w:t>
      </w:r>
      <w:r w:rsidR="00042C35" w:rsidRPr="00BF5E97">
        <w:t>”</w:t>
      </w:r>
      <w:r w:rsidRPr="00BF5E97">
        <w:t xml:space="preserve"> and be repaid </w:t>
      </w:r>
      <w:r w:rsidR="00042C35" w:rsidRPr="00BF5E97">
        <w:t>“</w:t>
      </w:r>
      <w:r w:rsidRPr="00BF5E97">
        <w:t>at par</w:t>
      </w:r>
      <w:r w:rsidR="00042C35" w:rsidRPr="00BF5E97">
        <w:t>”</w:t>
      </w:r>
      <w:r w:rsidRPr="00BF5E97">
        <w:t xml:space="preserve"> at maturity</w:t>
      </w:r>
      <w:r w:rsidR="002E57A3" w:rsidRPr="00BF5E97">
        <w:t>. T</w:t>
      </w:r>
      <w:r w:rsidRPr="00BF5E97">
        <w:t>he difference between issue price and redemption price will correspond economically to the hypothetical interest rate for a comparable transaction.</w:t>
      </w:r>
    </w:p>
  </w:footnote>
  <w:footnote w:id="50">
    <w:p w14:paraId="2DC61025" w14:textId="48045764" w:rsidR="00EA5711" w:rsidRPr="00BF5E97" w:rsidRDefault="00EA5711">
      <w:pPr>
        <w:pStyle w:val="Funotentext"/>
      </w:pPr>
      <w:r w:rsidRPr="00BF5E97">
        <w:rPr>
          <w:rStyle w:val="Funotenzeichen"/>
        </w:rPr>
        <w:footnoteRef/>
      </w:r>
      <w:r w:rsidRPr="00BF5E97">
        <w:t xml:space="preserve"> § 1(1) </w:t>
      </w:r>
      <w:r w:rsidRPr="00BF5E97">
        <w:t>SchVG.</w:t>
      </w:r>
      <w:r w:rsidR="00FB4696" w:rsidRPr="00BF5E97">
        <w:t xml:space="preserve"> An important exception relates to notes issued by German public bodies, § 1(2) SchVG.</w:t>
      </w:r>
    </w:p>
  </w:footnote>
  <w:footnote w:id="51">
    <w:p w14:paraId="6DD95585" w14:textId="77DA8B18" w:rsidR="00A74189" w:rsidRPr="00BF5E97" w:rsidRDefault="00A74189">
      <w:pPr>
        <w:pStyle w:val="Funotentext"/>
      </w:pPr>
      <w:r w:rsidRPr="00BF5E97">
        <w:rPr>
          <w:rStyle w:val="Funotenzeichen"/>
        </w:rPr>
        <w:footnoteRef/>
      </w:r>
      <w:r w:rsidRPr="00BF5E97">
        <w:t xml:space="preserve"> § 5(1) </w:t>
      </w:r>
      <w:r w:rsidRPr="00BF5E97">
        <w:t xml:space="preserve">SchVG. </w:t>
      </w:r>
    </w:p>
  </w:footnote>
  <w:footnote w:id="52">
    <w:p w14:paraId="4E8DE263" w14:textId="138872E1" w:rsidR="000A4CE4" w:rsidRPr="00BF5E97" w:rsidRDefault="000A4CE4">
      <w:pPr>
        <w:pStyle w:val="Funotentext"/>
      </w:pPr>
      <w:r w:rsidRPr="00BF5E97">
        <w:rPr>
          <w:rStyle w:val="Funotenzeichen"/>
        </w:rPr>
        <w:footnoteRef/>
      </w:r>
      <w:r w:rsidRPr="00BF5E97">
        <w:t xml:space="preserve"> §</w:t>
      </w:r>
      <w:r w:rsidR="00B66719" w:rsidRPr="00BF5E97">
        <w:t> </w:t>
      </w:r>
      <w:r w:rsidRPr="00BF5E97">
        <w:t>5(4)</w:t>
      </w:r>
      <w:r w:rsidR="00401A70" w:rsidRPr="00BF5E97">
        <w:t>(2)</w:t>
      </w:r>
      <w:r w:rsidRPr="00BF5E97">
        <w:t xml:space="preserve"> </w:t>
      </w:r>
      <w:r w:rsidRPr="00BF5E97">
        <w:t>SchVG.</w:t>
      </w:r>
    </w:p>
  </w:footnote>
  <w:footnote w:id="53">
    <w:p w14:paraId="271287D1" w14:textId="31D66332" w:rsidR="003244AA" w:rsidRPr="00BF5E97" w:rsidRDefault="003244AA">
      <w:pPr>
        <w:pStyle w:val="Funotentext"/>
      </w:pPr>
      <w:r w:rsidRPr="00BF5E97">
        <w:rPr>
          <w:rStyle w:val="Funotenzeichen"/>
        </w:rPr>
        <w:footnoteRef/>
      </w:r>
      <w:r w:rsidRPr="00BF5E97">
        <w:t xml:space="preserve"> § 5(2)(1) </w:t>
      </w:r>
      <w:r w:rsidRPr="00BF5E97">
        <w:t>SchVG.</w:t>
      </w:r>
    </w:p>
  </w:footnote>
  <w:footnote w:id="54">
    <w:p w14:paraId="3982664E" w14:textId="5ADF1BD5" w:rsidR="0009453A" w:rsidRPr="00BF5E97" w:rsidRDefault="0009453A">
      <w:pPr>
        <w:pStyle w:val="Funotentext"/>
      </w:pPr>
      <w:r w:rsidRPr="00BF5E97">
        <w:rPr>
          <w:rStyle w:val="Funotenzeichen"/>
        </w:rPr>
        <w:footnoteRef/>
      </w:r>
      <w:r w:rsidRPr="00BF5E97">
        <w:t xml:space="preserve"> § 5(2)(2) </w:t>
      </w:r>
      <w:r w:rsidRPr="00BF5E97">
        <w:t>SchVG.</w:t>
      </w:r>
    </w:p>
  </w:footnote>
  <w:footnote w:id="55">
    <w:p w14:paraId="327DC976" w14:textId="74AB8319" w:rsidR="00D96B1B" w:rsidRPr="00BF5E97" w:rsidRDefault="00D96B1B">
      <w:pPr>
        <w:pStyle w:val="Funotentext"/>
      </w:pPr>
      <w:r w:rsidRPr="00BF5E97">
        <w:rPr>
          <w:rStyle w:val="Funotenzeichen"/>
        </w:rPr>
        <w:footnoteRef/>
      </w:r>
      <w:r w:rsidRPr="00BF5E97">
        <w:t xml:space="preserve"> E.g., in Germany, pursuant to § 23 </w:t>
      </w:r>
      <w:r w:rsidRPr="00BF5E97">
        <w:t>BörsG.</w:t>
      </w:r>
    </w:p>
  </w:footnote>
  <w:footnote w:id="56">
    <w:p w14:paraId="21C93C8F" w14:textId="6D65902F" w:rsidR="00B53054" w:rsidRPr="00503463" w:rsidRDefault="00B53054">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2(e)(i) PR, </w:t>
      </w:r>
      <w:r w:rsidR="001870C0" w:rsidRPr="00503463">
        <w:rPr>
          <w:lang w:val="fr-FR"/>
        </w:rPr>
        <w:t>article </w:t>
      </w:r>
      <w:r w:rsidRPr="00503463">
        <w:rPr>
          <w:lang w:val="fr-FR"/>
        </w:rPr>
        <w:t xml:space="preserve">4(1)(11) in </w:t>
      </w:r>
      <w:r w:rsidRPr="00503463">
        <w:rPr>
          <w:lang w:val="fr-FR"/>
        </w:rPr>
        <w:t xml:space="preserve">conjunction with </w:t>
      </w:r>
      <w:r w:rsidR="001870C0" w:rsidRPr="00503463">
        <w:rPr>
          <w:lang w:val="fr-FR"/>
        </w:rPr>
        <w:t>articles </w:t>
      </w:r>
      <w:r w:rsidRPr="00503463">
        <w:rPr>
          <w:lang w:val="fr-FR"/>
        </w:rPr>
        <w:t>24(3), (4), 25(2), (3) MiFID II.</w:t>
      </w:r>
    </w:p>
  </w:footnote>
  <w:footnote w:id="57">
    <w:p w14:paraId="3F350EF4" w14:textId="6FAF6EC3" w:rsidR="009E1D54" w:rsidRPr="00BF5E97" w:rsidRDefault="009E1D54">
      <w:pPr>
        <w:pStyle w:val="Funotentext"/>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5(1) </w:t>
      </w:r>
      <w:r w:rsidRPr="00503463">
        <w:rPr>
          <w:lang w:val="fr-FR"/>
        </w:rPr>
        <w:t>MiFID II.</w:t>
      </w:r>
      <w:r w:rsidR="00001731" w:rsidRPr="00503463">
        <w:rPr>
          <w:lang w:val="fr-FR"/>
        </w:rPr>
        <w:t xml:space="preserve"> </w:t>
      </w:r>
      <w:r w:rsidR="00001731" w:rsidRPr="00BF5E97">
        <w:t xml:space="preserve">It should be noted that </w:t>
      </w:r>
      <w:r w:rsidR="006C56DF" w:rsidRPr="00BF5E97">
        <w:t>c</w:t>
      </w:r>
      <w:r w:rsidR="00001731" w:rsidRPr="00BF5E97">
        <w:t>redit institutions author</w:t>
      </w:r>
      <w:r w:rsidR="00706D6F" w:rsidRPr="00BF5E97">
        <w:t>ized</w:t>
      </w:r>
      <w:r w:rsidR="00001731" w:rsidRPr="00BF5E97">
        <w:t xml:space="preserve"> under Directive 2013/36/EU do not need another author</w:t>
      </w:r>
      <w:r w:rsidR="00706D6F" w:rsidRPr="00BF5E97">
        <w:t>ization</w:t>
      </w:r>
      <w:r w:rsidR="00001731" w:rsidRPr="00BF5E97">
        <w:t xml:space="preserve"> under MiFID II in order to provide investment services or perform investment activities (recital (38) MiFID II)</w:t>
      </w:r>
      <w:r w:rsidR="006C56DF" w:rsidRPr="00BF5E97">
        <w:t>, and the author</w:t>
      </w:r>
      <w:r w:rsidR="00706D6F" w:rsidRPr="00BF5E97">
        <w:t>ization</w:t>
      </w:r>
      <w:r w:rsidR="006C56DF" w:rsidRPr="00BF5E97">
        <w:t xml:space="preserve"> of a market operator under MiFID II implies author</w:t>
      </w:r>
      <w:r w:rsidR="00706D6F" w:rsidRPr="00BF5E97">
        <w:t>ization</w:t>
      </w:r>
      <w:r w:rsidR="006C56DF" w:rsidRPr="00BF5E97">
        <w:t xml:space="preserve"> of</w:t>
      </w:r>
      <w:r w:rsidR="00F3190D" w:rsidRPr="00BF5E97">
        <w:t xml:space="preserve"> the investment services as</w:t>
      </w:r>
      <w:r w:rsidR="006C56DF" w:rsidRPr="00BF5E97">
        <w:t xml:space="preserve"> MTF and OTF </w:t>
      </w:r>
      <w:r w:rsidR="00F3190D" w:rsidRPr="00BF5E97">
        <w:t xml:space="preserve">operator </w:t>
      </w:r>
      <w:r w:rsidR="006C56DF" w:rsidRPr="00BF5E97">
        <w:t>(</w:t>
      </w:r>
      <w:r w:rsidR="001870C0" w:rsidRPr="00BF5E97">
        <w:t>article </w:t>
      </w:r>
      <w:r w:rsidR="006C56DF" w:rsidRPr="00BF5E97">
        <w:t>5(2) MiFID II).</w:t>
      </w:r>
    </w:p>
  </w:footnote>
  <w:footnote w:id="58">
    <w:p w14:paraId="7F25089D" w14:textId="2A09A695" w:rsidR="0053614A" w:rsidRPr="00BF5E97" w:rsidRDefault="0053614A">
      <w:pPr>
        <w:pStyle w:val="Funotentext"/>
      </w:pPr>
      <w:r w:rsidRPr="00BF5E97">
        <w:rPr>
          <w:rStyle w:val="Funotenzeichen"/>
        </w:rPr>
        <w:footnoteRef/>
      </w:r>
      <w:r w:rsidRPr="00BF5E97">
        <w:t xml:space="preserve"> </w:t>
      </w:r>
      <w:r w:rsidR="001870C0" w:rsidRPr="00BF5E97">
        <w:t>Article </w:t>
      </w:r>
      <w:r w:rsidRPr="00BF5E97">
        <w:t>34(1) MiFID II.</w:t>
      </w:r>
    </w:p>
  </w:footnote>
  <w:footnote w:id="59">
    <w:p w14:paraId="41B68D4F" w14:textId="3AB66879" w:rsidR="00AA35A1" w:rsidRPr="00BF5E97" w:rsidRDefault="00AA35A1" w:rsidP="00AA35A1">
      <w:pPr>
        <w:pStyle w:val="Funotentext"/>
      </w:pPr>
      <w:r w:rsidRPr="00BF5E97">
        <w:rPr>
          <w:rStyle w:val="Funotenzeichen"/>
        </w:rPr>
        <w:footnoteRef/>
      </w:r>
      <w:r w:rsidRPr="00BF5E97">
        <w:t xml:space="preserve"> </w:t>
      </w:r>
      <w:r w:rsidR="001870C0" w:rsidRPr="00BF5E97">
        <w:t>Article </w:t>
      </w:r>
      <w:r w:rsidRPr="00BF5E97">
        <w:t xml:space="preserve">16(2) MiFID II, </w:t>
      </w:r>
      <w:r w:rsidR="001870C0" w:rsidRPr="00BF5E97">
        <w:t>articles </w:t>
      </w:r>
      <w:r w:rsidRPr="00BF5E97">
        <w:t xml:space="preserve">21, 22, 25, 26 – 32 Delegated Regulation 2017/565. For implementation in German law, see § 80(1) No. 1 </w:t>
      </w:r>
      <w:r w:rsidRPr="00BF5E97">
        <w:t>WpHG.</w:t>
      </w:r>
    </w:p>
  </w:footnote>
  <w:footnote w:id="60">
    <w:p w14:paraId="173FABF1" w14:textId="6C85A592" w:rsidR="00D965F7" w:rsidRPr="00BF5E97" w:rsidRDefault="00D965F7">
      <w:pPr>
        <w:pStyle w:val="Funotentext"/>
      </w:pPr>
      <w:r w:rsidRPr="00BF5E97">
        <w:rPr>
          <w:rStyle w:val="Funotenzeichen"/>
        </w:rPr>
        <w:footnoteRef/>
      </w:r>
      <w:r w:rsidRPr="00BF5E97">
        <w:t xml:space="preserve"> </w:t>
      </w:r>
      <w:r w:rsidR="001870C0" w:rsidRPr="00BF5E97">
        <w:t>Article </w:t>
      </w:r>
      <w:r w:rsidRPr="00BF5E97">
        <w:t xml:space="preserve">16(3)(1) MiFID II, </w:t>
      </w:r>
      <w:r w:rsidR="001870C0" w:rsidRPr="00BF5E97">
        <w:t>articles </w:t>
      </w:r>
      <w:r w:rsidRPr="00BF5E97">
        <w:t xml:space="preserve">33 ff. Delegated Regulation 2017/565. For implementation in German law, see § 80(1) No. 2 </w:t>
      </w:r>
      <w:r w:rsidRPr="00BF5E97">
        <w:t>WpHG.</w:t>
      </w:r>
    </w:p>
  </w:footnote>
  <w:footnote w:id="61">
    <w:p w14:paraId="6152D86F" w14:textId="219B42D5" w:rsidR="00A24EDA" w:rsidRPr="00E051D5" w:rsidRDefault="00A24EDA">
      <w:pPr>
        <w:pStyle w:val="Funotentext"/>
      </w:pPr>
      <w:r w:rsidRPr="00BF5E97">
        <w:rPr>
          <w:rStyle w:val="Funotenzeichen"/>
        </w:rPr>
        <w:footnoteRef/>
      </w:r>
      <w:r w:rsidRPr="00E051D5">
        <w:t xml:space="preserve"> </w:t>
      </w:r>
      <w:r w:rsidR="001870C0" w:rsidRPr="00E051D5">
        <w:t>Article </w:t>
      </w:r>
      <w:r w:rsidRPr="00E051D5">
        <w:t>16(4) MiFID II.</w:t>
      </w:r>
    </w:p>
  </w:footnote>
  <w:footnote w:id="62">
    <w:p w14:paraId="6DD93EFB" w14:textId="5CCDC054" w:rsidR="00A24EDA" w:rsidRPr="00881EF0" w:rsidRDefault="00A24EDA">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16(6) </w:t>
      </w:r>
      <w:r w:rsidRPr="00881EF0">
        <w:rPr>
          <w:lang w:val="fr-CA"/>
        </w:rPr>
        <w:t>MiFID II.</w:t>
      </w:r>
    </w:p>
  </w:footnote>
  <w:footnote w:id="63">
    <w:p w14:paraId="3EBE2B70" w14:textId="41F87A0E" w:rsidR="00F82D10" w:rsidRPr="00E051D5" w:rsidRDefault="00F82D10">
      <w:pPr>
        <w:pStyle w:val="Funotentext"/>
        <w:rPr>
          <w:lang w:val="fr-FR"/>
        </w:rPr>
      </w:pPr>
      <w:r w:rsidRPr="00BF5E97">
        <w:rPr>
          <w:rStyle w:val="Funotenzeichen"/>
        </w:rPr>
        <w:footnoteRef/>
      </w:r>
      <w:r w:rsidRPr="00E051D5">
        <w:rPr>
          <w:lang w:val="fr-FR"/>
        </w:rPr>
        <w:t xml:space="preserve"> </w:t>
      </w:r>
      <w:r w:rsidR="001870C0" w:rsidRPr="00E051D5">
        <w:rPr>
          <w:lang w:val="fr-FR"/>
        </w:rPr>
        <w:t>Article </w:t>
      </w:r>
      <w:r w:rsidRPr="00E051D5">
        <w:rPr>
          <w:lang w:val="fr-FR"/>
        </w:rPr>
        <w:t xml:space="preserve">16(3)(2) </w:t>
      </w:r>
      <w:r w:rsidRPr="00E051D5">
        <w:rPr>
          <w:lang w:val="fr-FR"/>
        </w:rPr>
        <w:t>MiFID II.</w:t>
      </w:r>
    </w:p>
  </w:footnote>
  <w:footnote w:id="64">
    <w:p w14:paraId="12F8B22D" w14:textId="2C62FAC3" w:rsidR="00DC64BA" w:rsidRPr="00BF5E97" w:rsidRDefault="00DC64BA">
      <w:pPr>
        <w:pStyle w:val="Funotentext"/>
      </w:pPr>
      <w:r w:rsidRPr="00BF5E97">
        <w:rPr>
          <w:rStyle w:val="Funotenzeichen"/>
        </w:rPr>
        <w:footnoteRef/>
      </w:r>
      <w:r w:rsidRPr="00BF5E97">
        <w:t xml:space="preserve"> Recital (15) of Commission Delegated Directive (EU) 2017/593 of 7 April 2016.</w:t>
      </w:r>
    </w:p>
  </w:footnote>
  <w:footnote w:id="65">
    <w:p w14:paraId="59217144" w14:textId="690DA84A" w:rsidR="00A0302B" w:rsidRPr="00881EF0" w:rsidRDefault="00A0302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16(3)(</w:t>
      </w:r>
      <w:r w:rsidR="00046C4A" w:rsidRPr="00881EF0">
        <w:rPr>
          <w:lang w:val="fr-CA"/>
        </w:rPr>
        <w:t>3</w:t>
      </w:r>
      <w:r w:rsidRPr="00881EF0">
        <w:rPr>
          <w:lang w:val="fr-CA"/>
        </w:rPr>
        <w:t xml:space="preserve">) </w:t>
      </w:r>
      <w:r w:rsidRPr="00881EF0">
        <w:rPr>
          <w:lang w:val="fr-CA"/>
        </w:rPr>
        <w:t>MiFID II.</w:t>
      </w:r>
    </w:p>
  </w:footnote>
  <w:footnote w:id="66">
    <w:p w14:paraId="4EE88E03" w14:textId="6B358C1D" w:rsidR="003227F0" w:rsidRPr="00881EF0" w:rsidRDefault="003227F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16(3)(5), (6) </w:t>
      </w:r>
      <w:r w:rsidRPr="00881EF0">
        <w:rPr>
          <w:lang w:val="fr-CA"/>
        </w:rPr>
        <w:t>MiFID II.</w:t>
      </w:r>
    </w:p>
  </w:footnote>
  <w:footnote w:id="67">
    <w:p w14:paraId="5E3C5D03" w14:textId="2D65C2FA" w:rsidR="0056507B" w:rsidRPr="00881EF0" w:rsidRDefault="0056507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21(1) </w:t>
      </w:r>
      <w:r w:rsidRPr="00881EF0">
        <w:rPr>
          <w:lang w:val="fr-CA"/>
        </w:rPr>
        <w:t>MiFID II.</w:t>
      </w:r>
    </w:p>
  </w:footnote>
  <w:footnote w:id="68">
    <w:p w14:paraId="2F3A24FF" w14:textId="75758C15" w:rsidR="0056507B" w:rsidRPr="00881EF0" w:rsidRDefault="0056507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21(2), 22(1) </w:t>
      </w:r>
      <w:r w:rsidRPr="00881EF0">
        <w:rPr>
          <w:lang w:val="fr-CA"/>
        </w:rPr>
        <w:t>MiFID II.</w:t>
      </w:r>
    </w:p>
  </w:footnote>
  <w:footnote w:id="69">
    <w:p w14:paraId="6F1F30EA" w14:textId="493DD093" w:rsidR="00EB40CE" w:rsidRPr="00881EF0" w:rsidRDefault="00EB40C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24(1) </w:t>
      </w:r>
      <w:r w:rsidRPr="00881EF0">
        <w:rPr>
          <w:lang w:val="fr-CA"/>
        </w:rPr>
        <w:t>MiFID II.</w:t>
      </w:r>
    </w:p>
  </w:footnote>
  <w:footnote w:id="70">
    <w:p w14:paraId="4886F341" w14:textId="77E14D76" w:rsidR="00DB63BC" w:rsidRPr="00881EF0" w:rsidRDefault="00DB63BC">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24(2) </w:t>
      </w:r>
      <w:r w:rsidRPr="00881EF0">
        <w:rPr>
          <w:lang w:val="fr-CA"/>
        </w:rPr>
        <w:t>MiFID II.</w:t>
      </w:r>
    </w:p>
  </w:footnote>
  <w:footnote w:id="71">
    <w:p w14:paraId="40B1356E" w14:textId="693E8B1E" w:rsidR="004F75CF" w:rsidRPr="00BF5E97" w:rsidRDefault="004F75CF">
      <w:pPr>
        <w:pStyle w:val="Funotentext"/>
      </w:pPr>
      <w:r w:rsidRPr="00BF5E97">
        <w:rPr>
          <w:rStyle w:val="Funotenzeichen"/>
        </w:rPr>
        <w:footnoteRef/>
      </w:r>
      <w:r w:rsidRPr="00BF5E97">
        <w:t xml:space="preserve"> </w:t>
      </w:r>
      <w:r w:rsidR="001870C0" w:rsidRPr="00BF5E97">
        <w:t>Article </w:t>
      </w:r>
      <w:r w:rsidRPr="00BF5E97">
        <w:t>24(3) MiFID II</w:t>
      </w:r>
      <w:r w:rsidR="003E6765" w:rsidRPr="00BF5E97">
        <w:t xml:space="preserve">, </w:t>
      </w:r>
      <w:r w:rsidR="001870C0" w:rsidRPr="00BF5E97">
        <w:t>article </w:t>
      </w:r>
      <w:r w:rsidR="003E6765" w:rsidRPr="00BF5E97">
        <w:t>44 Commission Delegated Regulation (EU) 2017/565 of 25 April 2016</w:t>
      </w:r>
      <w:r w:rsidRPr="00BF5E97">
        <w:t>.</w:t>
      </w:r>
    </w:p>
  </w:footnote>
  <w:footnote w:id="72">
    <w:p w14:paraId="04F3656A" w14:textId="1B49E6D8" w:rsidR="008014D6" w:rsidRPr="00BF5E97" w:rsidRDefault="008014D6">
      <w:pPr>
        <w:pStyle w:val="Funotentext"/>
      </w:pPr>
      <w:r w:rsidRPr="00BF5E97">
        <w:rPr>
          <w:rStyle w:val="Funotenzeichen"/>
        </w:rPr>
        <w:footnoteRef/>
      </w:r>
      <w:r w:rsidRPr="00BF5E97">
        <w:t xml:space="preserve"> </w:t>
      </w:r>
      <w:r w:rsidR="001870C0" w:rsidRPr="00BF5E97">
        <w:t>Article </w:t>
      </w:r>
      <w:r w:rsidRPr="00BF5E97">
        <w:t xml:space="preserve">24(4) MiFID II, </w:t>
      </w:r>
      <w:r w:rsidR="001870C0" w:rsidRPr="00BF5E97">
        <w:t>articles </w:t>
      </w:r>
      <w:r w:rsidRPr="00BF5E97">
        <w:t>45–51 Commission Delegated Regulation (EU) 2017/565 of 25 April 2016.</w:t>
      </w:r>
    </w:p>
  </w:footnote>
  <w:footnote w:id="73">
    <w:p w14:paraId="5139DF19" w14:textId="3EA94F08" w:rsidR="000202CD" w:rsidRPr="00881EF0" w:rsidRDefault="000202CD">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24(5) </w:t>
      </w:r>
      <w:r w:rsidRPr="00881EF0">
        <w:rPr>
          <w:lang w:val="fr-CA"/>
        </w:rPr>
        <w:t>MiFID II.</w:t>
      </w:r>
    </w:p>
  </w:footnote>
  <w:footnote w:id="74">
    <w:p w14:paraId="7871DD62" w14:textId="25821443" w:rsidR="009971FB" w:rsidRPr="00881EF0" w:rsidRDefault="009971F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25(1) </w:t>
      </w:r>
      <w:r w:rsidRPr="00881EF0">
        <w:rPr>
          <w:lang w:val="fr-CA"/>
        </w:rPr>
        <w:t>MiFID II.</w:t>
      </w:r>
    </w:p>
  </w:footnote>
  <w:footnote w:id="75">
    <w:p w14:paraId="741CB221" w14:textId="42E0E1F4" w:rsidR="0015567B" w:rsidRPr="00BF5E97" w:rsidRDefault="0015567B">
      <w:pPr>
        <w:pStyle w:val="Funotentext"/>
      </w:pPr>
      <w:r w:rsidRPr="00BF5E97">
        <w:rPr>
          <w:rStyle w:val="Funotenzeichen"/>
        </w:rPr>
        <w:footnoteRef/>
      </w:r>
      <w:r w:rsidRPr="00BF5E97">
        <w:t xml:space="preserve"> </w:t>
      </w:r>
      <w:r w:rsidR="001870C0" w:rsidRPr="00BF5E97">
        <w:t>Article </w:t>
      </w:r>
      <w:r w:rsidRPr="00BF5E97">
        <w:t>25(2) MiFID II</w:t>
      </w:r>
      <w:r w:rsidR="00F2102D" w:rsidRPr="00BF5E97">
        <w:t xml:space="preserve">, </w:t>
      </w:r>
      <w:r w:rsidR="001870C0" w:rsidRPr="00BF5E97">
        <w:t>articles </w:t>
      </w:r>
      <w:r w:rsidR="00F2102D" w:rsidRPr="00BF5E97">
        <w:t>54, 55 Commission Delegated Regulation (EU) 2017/565 of 25 April 2016</w:t>
      </w:r>
      <w:r w:rsidRPr="00BF5E97">
        <w:t>.</w:t>
      </w:r>
    </w:p>
  </w:footnote>
  <w:footnote w:id="76">
    <w:p w14:paraId="009CF015" w14:textId="3A961EAF" w:rsidR="00AA7C4B" w:rsidRPr="00BF5E97" w:rsidRDefault="00AA7C4B">
      <w:pPr>
        <w:pStyle w:val="Funotentext"/>
      </w:pPr>
      <w:r w:rsidRPr="00BF5E97">
        <w:rPr>
          <w:rStyle w:val="Funotenzeichen"/>
        </w:rPr>
        <w:footnoteRef/>
      </w:r>
      <w:r w:rsidRPr="00BF5E97">
        <w:t xml:space="preserve"> </w:t>
      </w:r>
      <w:r w:rsidR="001870C0" w:rsidRPr="00BF5E97">
        <w:t>Article </w:t>
      </w:r>
      <w:r w:rsidRPr="00BF5E97">
        <w:t>25(3) MiFID II</w:t>
      </w:r>
      <w:r w:rsidR="00F2102D" w:rsidRPr="00BF5E97">
        <w:t xml:space="preserve">, </w:t>
      </w:r>
      <w:r w:rsidR="001870C0" w:rsidRPr="00BF5E97">
        <w:t>articles </w:t>
      </w:r>
      <w:r w:rsidR="00F2102D" w:rsidRPr="00BF5E97">
        <w:t>55, 56 Commission Delegated Regulation (EU) 2017/565 of 25 April 2016</w:t>
      </w:r>
      <w:r w:rsidRPr="00BF5E97">
        <w:t>.</w:t>
      </w:r>
    </w:p>
  </w:footnote>
  <w:footnote w:id="77">
    <w:p w14:paraId="0FA831C3" w14:textId="0F0B2E12" w:rsidR="00D36D88" w:rsidRPr="00881EF0" w:rsidRDefault="00D36D8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29a(2) </w:t>
      </w:r>
      <w:r w:rsidRPr="00881EF0">
        <w:rPr>
          <w:lang w:val="fr-CA"/>
        </w:rPr>
        <w:t>MiFID II.</w:t>
      </w:r>
    </w:p>
  </w:footnote>
  <w:footnote w:id="78">
    <w:p w14:paraId="2117F7F4" w14:textId="1E359838" w:rsidR="00FA4B01" w:rsidRPr="00881EF0" w:rsidRDefault="00FA4B0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30(2) </w:t>
      </w:r>
      <w:r w:rsidRPr="00881EF0">
        <w:rPr>
          <w:lang w:val="fr-CA"/>
        </w:rPr>
        <w:t>MiFID II.</w:t>
      </w:r>
    </w:p>
  </w:footnote>
  <w:footnote w:id="79">
    <w:p w14:paraId="072D345C" w14:textId="465AC824" w:rsidR="00FA4B01" w:rsidRPr="00881EF0" w:rsidRDefault="00FA4B0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30(1) </w:t>
      </w:r>
      <w:r w:rsidRPr="00881EF0">
        <w:rPr>
          <w:lang w:val="fr-CA"/>
        </w:rPr>
        <w:t>MiFID II.</w:t>
      </w:r>
    </w:p>
  </w:footnote>
  <w:footnote w:id="80">
    <w:p w14:paraId="07242392" w14:textId="7C94E8C6" w:rsidR="00D2022C" w:rsidRPr="00881EF0" w:rsidRDefault="00D2022C">
      <w:pPr>
        <w:pStyle w:val="Funotentext"/>
        <w:rPr>
          <w:lang w:val="fr-CA"/>
        </w:rPr>
      </w:pPr>
      <w:r w:rsidRPr="00BF5E97">
        <w:rPr>
          <w:rStyle w:val="Funotenzeichen"/>
        </w:rPr>
        <w:footnoteRef/>
      </w:r>
      <w:r w:rsidRPr="00881EF0">
        <w:rPr>
          <w:lang w:val="fr-CA"/>
        </w:rPr>
        <w:t xml:space="preserve"> E.g., article 32 PR, article 23 MAR.</w:t>
      </w:r>
    </w:p>
  </w:footnote>
  <w:footnote w:id="81">
    <w:p w14:paraId="41BC6ACB" w14:textId="77777777" w:rsidR="007C0222" w:rsidRPr="00881EF0" w:rsidRDefault="007C0222" w:rsidP="007C0222">
      <w:pPr>
        <w:pStyle w:val="Funotentext"/>
        <w:rPr>
          <w:lang w:val="fr-CA"/>
        </w:rPr>
      </w:pPr>
      <w:r>
        <w:rPr>
          <w:rStyle w:val="Funotenzeichen"/>
        </w:rPr>
        <w:footnoteRef/>
      </w:r>
      <w:r w:rsidRPr="00881EF0">
        <w:rPr>
          <w:lang w:val="fr-CA"/>
        </w:rPr>
        <w:t xml:space="preserve"> Article 70(6)(a), (b), (f) </w:t>
      </w:r>
      <w:r w:rsidRPr="00881EF0">
        <w:rPr>
          <w:lang w:val="fr-CA"/>
        </w:rPr>
        <w:t>MiFID II.</w:t>
      </w:r>
    </w:p>
  </w:footnote>
  <w:footnote w:id="82">
    <w:p w14:paraId="362D2158" w14:textId="29BFC864" w:rsidR="00315D85" w:rsidRPr="00881EF0" w:rsidRDefault="00315D85">
      <w:pPr>
        <w:pStyle w:val="Funotentext"/>
        <w:rPr>
          <w:lang w:val="fr-CA"/>
        </w:rPr>
      </w:pPr>
      <w:r>
        <w:rPr>
          <w:rStyle w:val="Funotenzeichen"/>
        </w:rPr>
        <w:footnoteRef/>
      </w:r>
      <w:r w:rsidRPr="00881EF0">
        <w:rPr>
          <w:lang w:val="fr-CA"/>
        </w:rPr>
        <w:t xml:space="preserve"> Article 70(6)(f) </w:t>
      </w:r>
      <w:r w:rsidRPr="00881EF0">
        <w:rPr>
          <w:lang w:val="fr-CA"/>
        </w:rPr>
        <w:t>MiFID II.</w:t>
      </w:r>
    </w:p>
  </w:footnote>
  <w:footnote w:id="83">
    <w:p w14:paraId="020AAA88" w14:textId="662055C9" w:rsidR="000E7885" w:rsidRPr="00881EF0" w:rsidRDefault="000E7885">
      <w:pPr>
        <w:pStyle w:val="Funotentext"/>
        <w:rPr>
          <w:lang w:val="fr-CA"/>
        </w:rPr>
      </w:pPr>
      <w:r>
        <w:rPr>
          <w:rStyle w:val="Funotenzeichen"/>
        </w:rPr>
        <w:footnoteRef/>
      </w:r>
      <w:r w:rsidRPr="00881EF0">
        <w:rPr>
          <w:lang w:val="fr-CA"/>
        </w:rPr>
        <w:t xml:space="preserve"> E.g., article </w:t>
      </w:r>
      <w:r w:rsidR="00105390" w:rsidRPr="00881EF0">
        <w:rPr>
          <w:lang w:val="fr-CA"/>
        </w:rPr>
        <w:t>38 PR, article 30 MAR.</w:t>
      </w:r>
    </w:p>
  </w:footnote>
  <w:footnote w:id="84">
    <w:p w14:paraId="71BB8FE3" w14:textId="7CF3DD5C" w:rsidR="00A24F76" w:rsidRPr="00A420DD" w:rsidRDefault="00A24F76" w:rsidP="00A24F76">
      <w:pPr>
        <w:pStyle w:val="Funotentext"/>
      </w:pPr>
      <w:r w:rsidRPr="00BF5E97">
        <w:rPr>
          <w:rStyle w:val="Funotenzeichen"/>
        </w:rPr>
        <w:footnoteRef/>
      </w:r>
      <w:r w:rsidRPr="00A420DD">
        <w:t xml:space="preserve"> </w:t>
      </w:r>
      <w:r w:rsidR="001870C0" w:rsidRPr="00A420DD">
        <w:t>Articles </w:t>
      </w:r>
      <w:r w:rsidRPr="00A420DD">
        <w:t xml:space="preserve">40(2)(a), (b), 42(2)(a), (b) </w:t>
      </w:r>
      <w:r w:rsidRPr="00A420DD">
        <w:t xml:space="preserve">MiFIR. </w:t>
      </w:r>
      <w:r w:rsidR="00064208" w:rsidRPr="00A420DD">
        <w:t>For an example, see the BaFin order of 30 September 2022, WA 35-Wp 5427/00001#00273).</w:t>
      </w:r>
    </w:p>
  </w:footnote>
  <w:footnote w:id="85">
    <w:p w14:paraId="438BEBE7" w14:textId="1F304B59" w:rsidR="00A24F76" w:rsidRPr="00A420DD" w:rsidRDefault="00A24F76" w:rsidP="00A24F76">
      <w:pPr>
        <w:pStyle w:val="Funotentext"/>
        <w:rPr>
          <w:lang w:val="de-DE"/>
        </w:rPr>
      </w:pPr>
      <w:r w:rsidRPr="00BF5E97">
        <w:rPr>
          <w:rStyle w:val="Funotenzeichen"/>
        </w:rPr>
        <w:footnoteRef/>
      </w:r>
      <w:r w:rsidRPr="00A420DD">
        <w:rPr>
          <w:lang w:val="de-DE"/>
        </w:rPr>
        <w:t xml:space="preserve"> </w:t>
      </w:r>
      <w:r w:rsidR="001870C0" w:rsidRPr="00A420DD">
        <w:rPr>
          <w:lang w:val="de-DE"/>
        </w:rPr>
        <w:t>Article </w:t>
      </w:r>
      <w:r w:rsidRPr="00A420DD">
        <w:rPr>
          <w:lang w:val="de-DE"/>
        </w:rPr>
        <w:t>40(2)(c) MiFIR.</w:t>
      </w:r>
    </w:p>
  </w:footnote>
  <w:footnote w:id="86">
    <w:p w14:paraId="10287259" w14:textId="3022D52F" w:rsidR="003A1514" w:rsidRPr="00A420DD" w:rsidRDefault="003A1514" w:rsidP="003A1514">
      <w:pPr>
        <w:pStyle w:val="Funotentext"/>
        <w:rPr>
          <w:lang w:val="de-DE"/>
        </w:rPr>
      </w:pPr>
      <w:r w:rsidRPr="00BF5E97">
        <w:rPr>
          <w:rStyle w:val="Funotenzeichen"/>
        </w:rPr>
        <w:footnoteRef/>
      </w:r>
      <w:r w:rsidRPr="00A420DD">
        <w:rPr>
          <w:lang w:val="de-DE"/>
        </w:rPr>
        <w:t xml:space="preserve"> Wagner, in: </w:t>
      </w:r>
      <w:r w:rsidRPr="00A420DD">
        <w:rPr>
          <w:i/>
          <w:lang w:val="de-DE"/>
        </w:rPr>
        <w:t>Münchener Kommentar zum BGB</w:t>
      </w:r>
      <w:r w:rsidRPr="00A420DD">
        <w:rPr>
          <w:lang w:val="de-DE"/>
        </w:rPr>
        <w:t xml:space="preserve">, </w:t>
      </w:r>
      <w:r w:rsidR="00C27D8A" w:rsidRPr="00A420DD">
        <w:rPr>
          <w:lang w:val="de-DE"/>
        </w:rPr>
        <w:t>9</w:t>
      </w:r>
      <w:r w:rsidR="00FC610B">
        <w:rPr>
          <w:lang w:val="de-DE"/>
        </w:rPr>
        <w:t>th</w:t>
      </w:r>
      <w:r w:rsidR="002C0D73" w:rsidRPr="00A420DD">
        <w:rPr>
          <w:lang w:val="de-DE"/>
        </w:rPr>
        <w:t xml:space="preserve"> </w:t>
      </w:r>
      <w:r w:rsidR="002C0D73" w:rsidRPr="00A420DD">
        <w:rPr>
          <w:lang w:val="de-DE"/>
        </w:rPr>
        <w:t xml:space="preserve">ed. </w:t>
      </w:r>
      <w:r w:rsidRPr="00A420DD">
        <w:rPr>
          <w:lang w:val="de-DE"/>
        </w:rPr>
        <w:t>202</w:t>
      </w:r>
      <w:r w:rsidR="00C27D8A" w:rsidRPr="00A420DD">
        <w:rPr>
          <w:lang w:val="de-DE"/>
        </w:rPr>
        <w:t>4</w:t>
      </w:r>
      <w:r w:rsidRPr="00A420DD">
        <w:rPr>
          <w:lang w:val="de-DE"/>
        </w:rPr>
        <w:t>, § 823 para. </w:t>
      </w:r>
      <w:r w:rsidR="00C27D8A" w:rsidRPr="00A420DD">
        <w:rPr>
          <w:lang w:val="de-DE"/>
        </w:rPr>
        <w:t>675ff</w:t>
      </w:r>
      <w:r w:rsidRPr="00A420DD">
        <w:rPr>
          <w:lang w:val="de-DE"/>
        </w:rPr>
        <w:t>.</w:t>
      </w:r>
    </w:p>
  </w:footnote>
  <w:footnote w:id="87">
    <w:p w14:paraId="0589DB7E" w14:textId="77777777" w:rsidR="008A12CF" w:rsidRPr="00A420DD" w:rsidRDefault="008A12CF" w:rsidP="008A12CF">
      <w:pPr>
        <w:pStyle w:val="Funotentext"/>
        <w:rPr>
          <w:lang w:val="de-DE"/>
        </w:rPr>
      </w:pPr>
      <w:r>
        <w:rPr>
          <w:rStyle w:val="Funotenzeichen"/>
        </w:rPr>
        <w:footnoteRef/>
      </w:r>
      <w:r w:rsidRPr="00A420DD">
        <w:rPr>
          <w:lang w:val="de-DE"/>
        </w:rPr>
        <w:t xml:space="preserve"> Case C-140/13, </w:t>
      </w:r>
      <w:r w:rsidRPr="00A420DD">
        <w:rPr>
          <w:i/>
          <w:lang w:val="de-DE"/>
        </w:rPr>
        <w:t>Altmann</w:t>
      </w:r>
      <w:r w:rsidRPr="00A420DD">
        <w:rPr>
          <w:lang w:val="de-DE"/>
        </w:rPr>
        <w:t xml:space="preserve">, </w:t>
      </w:r>
      <w:r w:rsidRPr="00A420DD">
        <w:rPr>
          <w:lang w:val="de-DE"/>
        </w:rPr>
        <w:t>para. 33.</w:t>
      </w:r>
    </w:p>
  </w:footnote>
  <w:footnote w:id="88">
    <w:p w14:paraId="14B62A9F" w14:textId="77777777" w:rsidR="008A12CF" w:rsidRPr="00A420DD" w:rsidRDefault="008A12CF" w:rsidP="008A12CF">
      <w:pPr>
        <w:pStyle w:val="Funotentext"/>
        <w:rPr>
          <w:lang w:val="de-DE"/>
        </w:rPr>
      </w:pPr>
      <w:r>
        <w:rPr>
          <w:rStyle w:val="Funotenzeichen"/>
        </w:rPr>
        <w:footnoteRef/>
      </w:r>
      <w:r w:rsidRPr="00A420DD">
        <w:rPr>
          <w:lang w:val="de-DE"/>
        </w:rPr>
        <w:t xml:space="preserve"> Case C-140/13, </w:t>
      </w:r>
      <w:r w:rsidRPr="00A420DD">
        <w:rPr>
          <w:i/>
          <w:lang w:val="de-DE"/>
        </w:rPr>
        <w:t>Altmann</w:t>
      </w:r>
      <w:r w:rsidRPr="00A420DD">
        <w:rPr>
          <w:lang w:val="de-DE"/>
        </w:rPr>
        <w:t xml:space="preserve">, </w:t>
      </w:r>
      <w:r w:rsidRPr="00A420DD">
        <w:rPr>
          <w:lang w:val="de-DE"/>
        </w:rPr>
        <w:t>para. 35.</w:t>
      </w:r>
    </w:p>
  </w:footnote>
  <w:footnote w:id="89">
    <w:p w14:paraId="2B8DD1EE" w14:textId="77777777" w:rsidR="008A12CF" w:rsidRPr="00A420DD" w:rsidRDefault="008A12CF" w:rsidP="008A12CF">
      <w:pPr>
        <w:pStyle w:val="Funotentext"/>
        <w:rPr>
          <w:lang w:val="de-DE"/>
        </w:rPr>
      </w:pPr>
      <w:r>
        <w:rPr>
          <w:rStyle w:val="Funotenzeichen"/>
        </w:rPr>
        <w:footnoteRef/>
      </w:r>
      <w:r w:rsidRPr="00A420DD">
        <w:rPr>
          <w:lang w:val="de-DE"/>
        </w:rPr>
        <w:t xml:space="preserve"> Case C-594/16, </w:t>
      </w:r>
      <w:r w:rsidRPr="00A420DD">
        <w:rPr>
          <w:i/>
          <w:lang w:val="de-DE"/>
        </w:rPr>
        <w:t>Buccioni</w:t>
      </w:r>
      <w:r w:rsidRPr="00A420DD">
        <w:rPr>
          <w:lang w:val="de-DE"/>
        </w:rPr>
        <w:t>, paras 38, 40.</w:t>
      </w:r>
    </w:p>
  </w:footnote>
  <w:footnote w:id="90">
    <w:p w14:paraId="1F45C394" w14:textId="77777777" w:rsidR="0063677F" w:rsidRPr="00503463" w:rsidRDefault="0063677F" w:rsidP="0063677F">
      <w:pPr>
        <w:pStyle w:val="Funotentext"/>
        <w:rPr>
          <w:lang w:val="fr-FR"/>
        </w:rPr>
      </w:pPr>
      <w:r w:rsidRPr="00BF5E97">
        <w:rPr>
          <w:rStyle w:val="Funotenzeichen"/>
        </w:rPr>
        <w:footnoteRef/>
      </w:r>
      <w:r w:rsidRPr="00503463">
        <w:rPr>
          <w:lang w:val="fr-FR"/>
        </w:rPr>
        <w:t xml:space="preserve"> Article 4(1)(a) AIFMD.</w:t>
      </w:r>
    </w:p>
  </w:footnote>
  <w:footnote w:id="91">
    <w:p w14:paraId="07D747AE" w14:textId="6F29265A" w:rsidR="00095F58" w:rsidRPr="00503463" w:rsidRDefault="00095F58">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1(3) UCITS Directive.</w:t>
      </w:r>
    </w:p>
  </w:footnote>
  <w:footnote w:id="92">
    <w:p w14:paraId="3288AB30" w14:textId="64D54866" w:rsidR="0001122E" w:rsidRPr="00503463" w:rsidRDefault="0001122E">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 UCITS Directive.</w:t>
      </w:r>
    </w:p>
  </w:footnote>
  <w:footnote w:id="93">
    <w:p w14:paraId="5EDE4ED3" w14:textId="4944E586" w:rsidR="004E67CE" w:rsidRPr="00881EF0" w:rsidRDefault="004E67C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 UCITS Directive.</w:t>
      </w:r>
    </w:p>
  </w:footnote>
  <w:footnote w:id="94">
    <w:p w14:paraId="1232C11F" w14:textId="16523CFC" w:rsidR="00103FF8" w:rsidRPr="00881EF0" w:rsidRDefault="00103FF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12(2) UCITS Directive.</w:t>
      </w:r>
    </w:p>
  </w:footnote>
  <w:footnote w:id="95">
    <w:p w14:paraId="58C02BAD" w14:textId="7E42A84F" w:rsidR="002B1AFF" w:rsidRPr="00881EF0" w:rsidRDefault="002B1AF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 AIFMD</w:t>
      </w:r>
    </w:p>
  </w:footnote>
  <w:footnote w:id="96">
    <w:p w14:paraId="1B3FB5DD" w14:textId="53349737" w:rsidR="00380342" w:rsidRPr="00881EF0" w:rsidRDefault="0038034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1(1) CRA </w:t>
      </w:r>
      <w:r w:rsidRPr="00881EF0">
        <w:rPr>
          <w:lang w:val="fr-CA"/>
        </w:rPr>
        <w:t>Regulation.</w:t>
      </w:r>
    </w:p>
  </w:footnote>
  <w:footnote w:id="97">
    <w:p w14:paraId="7CEBCD54" w14:textId="66A8B591" w:rsidR="00384EE7" w:rsidRPr="00503463" w:rsidRDefault="00384EE7">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2(1) CRA </w:t>
      </w:r>
      <w:r w:rsidRPr="00503463">
        <w:rPr>
          <w:lang w:val="fr-FR"/>
        </w:rPr>
        <w:t xml:space="preserve">Regulation. </w:t>
      </w:r>
    </w:p>
  </w:footnote>
  <w:footnote w:id="98">
    <w:p w14:paraId="0A3830A7" w14:textId="5006A95A" w:rsidR="00384EE7" w:rsidRPr="00503463" w:rsidRDefault="00384EE7">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3(1)(a) CRA </w:t>
      </w:r>
      <w:r w:rsidRPr="00503463">
        <w:rPr>
          <w:lang w:val="fr-FR"/>
        </w:rPr>
        <w:t>Regulation.</w:t>
      </w:r>
    </w:p>
  </w:footnote>
  <w:footnote w:id="99">
    <w:p w14:paraId="5824375C" w14:textId="33D2444E" w:rsidR="003E05C8" w:rsidRPr="00503463" w:rsidRDefault="003E05C8">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6(1) CRA </w:t>
      </w:r>
      <w:r w:rsidRPr="00503463">
        <w:rPr>
          <w:lang w:val="fr-FR"/>
        </w:rPr>
        <w:t xml:space="preserve">Regulation. </w:t>
      </w:r>
    </w:p>
  </w:footnote>
  <w:footnote w:id="100">
    <w:p w14:paraId="4794FFEE" w14:textId="3D2FF3C4" w:rsidR="008F1BF0" w:rsidRPr="00503463" w:rsidRDefault="008F1BF0">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10(1) CRA </w:t>
      </w:r>
      <w:r w:rsidRPr="00503463">
        <w:rPr>
          <w:lang w:val="fr-FR"/>
        </w:rPr>
        <w:t>Regulation.</w:t>
      </w:r>
    </w:p>
  </w:footnote>
  <w:footnote w:id="101">
    <w:p w14:paraId="5F97E713" w14:textId="7A278BD7" w:rsidR="008F1BF0" w:rsidRPr="00BF5E97" w:rsidRDefault="008F1BF0">
      <w:pPr>
        <w:pStyle w:val="Funotentext"/>
      </w:pPr>
      <w:r w:rsidRPr="00BF5E97">
        <w:rPr>
          <w:rStyle w:val="Funotenzeichen"/>
        </w:rPr>
        <w:footnoteRef/>
      </w:r>
      <w:r w:rsidRPr="00BF5E97">
        <w:t xml:space="preserve"> </w:t>
      </w:r>
      <w:r w:rsidR="001870C0" w:rsidRPr="00BF5E97">
        <w:t>Article </w:t>
      </w:r>
      <w:r w:rsidRPr="00BF5E97">
        <w:t>10(2a) CRA Regulation.</w:t>
      </w:r>
      <w:r w:rsidR="009B28C5" w:rsidRPr="00BF5E97">
        <w:t xml:space="preserve"> The reference in </w:t>
      </w:r>
      <w:r w:rsidR="001870C0" w:rsidRPr="00BF5E97">
        <w:t>article </w:t>
      </w:r>
      <w:r w:rsidR="009B28C5" w:rsidRPr="00BF5E97">
        <w:t>10(2a) to Directive 2003/6/EC is to be read as a reference to the MAR (</w:t>
      </w:r>
      <w:r w:rsidR="001870C0" w:rsidRPr="00BF5E97">
        <w:t>article </w:t>
      </w:r>
      <w:r w:rsidR="009B28C5" w:rsidRPr="00BF5E97">
        <w:t>37 MAR).</w:t>
      </w:r>
    </w:p>
  </w:footnote>
  <w:footnote w:id="102">
    <w:p w14:paraId="0096DD35" w14:textId="7F1133FF" w:rsidR="00474E33" w:rsidRPr="00BF5E97" w:rsidRDefault="00474E33">
      <w:pPr>
        <w:pStyle w:val="Funotentext"/>
      </w:pPr>
      <w:r w:rsidRPr="00BF5E97">
        <w:rPr>
          <w:rStyle w:val="Funotenzeichen"/>
        </w:rPr>
        <w:footnoteRef/>
      </w:r>
      <w:r w:rsidRPr="00BF5E97">
        <w:t xml:space="preserve"> </w:t>
      </w:r>
      <w:r w:rsidR="001870C0" w:rsidRPr="00BF5E97">
        <w:t>Article </w:t>
      </w:r>
      <w:r w:rsidRPr="00BF5E97">
        <w:t>35a(1) CRA Regulation.</w:t>
      </w:r>
    </w:p>
  </w:footnote>
  <w:footnote w:id="103">
    <w:p w14:paraId="51065066" w14:textId="0AB7469F" w:rsidR="002230AA" w:rsidRPr="00BF5E97" w:rsidRDefault="002230AA">
      <w:pPr>
        <w:pStyle w:val="Funotentext"/>
      </w:pPr>
      <w:r w:rsidRPr="00BF5E97">
        <w:rPr>
          <w:rStyle w:val="Funotenzeichen"/>
        </w:rPr>
        <w:footnoteRef/>
      </w:r>
      <w:r w:rsidRPr="00BF5E97">
        <w:t xml:space="preserve"> Council Directive 80/390/EEC of 17 March 1980 (listing particulars for the admission of securities to official stock exchange listing) and Council Directive 89/298/EEC of 17 April 1989 (prospectuses for public offerings). These directives were consolidated by Directive 2003/71/EC 4 November 2003 on the prospectus to be published when securities are offered to the public or admitted to trading.</w:t>
      </w:r>
    </w:p>
  </w:footnote>
  <w:footnote w:id="104">
    <w:p w14:paraId="53E64EF1" w14:textId="5E375302" w:rsidR="00664A66" w:rsidRPr="00BF5E97" w:rsidRDefault="00664A66">
      <w:pPr>
        <w:pStyle w:val="Funotentext"/>
      </w:pPr>
      <w:r w:rsidRPr="00BF5E97">
        <w:rPr>
          <w:rStyle w:val="Funotenzeichen"/>
        </w:rPr>
        <w:footnoteRef/>
      </w:r>
      <w:r w:rsidRPr="00BF5E97">
        <w:t xml:space="preserve"> For other </w:t>
      </w:r>
      <w:r w:rsidR="00A9601E" w:rsidRPr="00BF5E97">
        <w:t>level 2 measures</w:t>
      </w:r>
      <w:r w:rsidRPr="00BF5E97">
        <w:t xml:space="preserve">, see: </w:t>
      </w:r>
      <w:hyperlink r:id="rId6" w:history="1">
        <w:r w:rsidR="009E3C26" w:rsidRPr="006F4083">
          <w:rPr>
            <w:rStyle w:val="Hyperlink"/>
          </w:rPr>
          <w:t>https://www.esma.europa.eu/publications-and-data/interactive-single-rulebook/prospectus-regulation</w:t>
        </w:r>
      </w:hyperlink>
      <w:r w:rsidR="009E3C26">
        <w:t xml:space="preserve"> (accessed </w:t>
      </w:r>
      <w:r w:rsidR="002C742D">
        <w:t>2 April 2025</w:t>
      </w:r>
      <w:r w:rsidR="009E3C26">
        <w:t>).</w:t>
      </w:r>
    </w:p>
  </w:footnote>
  <w:footnote w:id="105">
    <w:p w14:paraId="180DF8CE" w14:textId="25F8EF29" w:rsidR="000A0E19" w:rsidRPr="00BF5E97" w:rsidRDefault="000A0E19">
      <w:pPr>
        <w:pStyle w:val="Funotentext"/>
      </w:pPr>
      <w:r w:rsidRPr="00BF5E97">
        <w:rPr>
          <w:rStyle w:val="Funotenzeichen"/>
        </w:rPr>
        <w:footnoteRef/>
      </w:r>
      <w:r w:rsidRPr="00BF5E97">
        <w:t xml:space="preserve"> See </w:t>
      </w:r>
      <w:hyperlink r:id="rId7" w:history="1">
        <w:r w:rsidRPr="00BF5E97">
          <w:rPr>
            <w:rStyle w:val="Hyperlink"/>
          </w:rPr>
          <w:t>https://www.esma.europa.eu/regulation/corporate-disclosure/prospectus</w:t>
        </w:r>
      </w:hyperlink>
      <w:r w:rsidR="009E3C26">
        <w:t xml:space="preserve"> (accessed </w:t>
      </w:r>
      <w:r w:rsidR="002C742D">
        <w:t>2 April 2025</w:t>
      </w:r>
      <w:r w:rsidR="009E3C26">
        <w:t>).</w:t>
      </w:r>
      <w:r w:rsidRPr="00BF5E97">
        <w:t xml:space="preserve"> </w:t>
      </w:r>
    </w:p>
  </w:footnote>
  <w:footnote w:id="106">
    <w:p w14:paraId="04F67DCE" w14:textId="299DD9E3" w:rsidR="006E2EEB" w:rsidRPr="00F9205E" w:rsidRDefault="006E2EEB" w:rsidP="006E2EEB">
      <w:pPr>
        <w:pStyle w:val="Funotentext"/>
        <w:rPr>
          <w:lang w:val="pt-BR"/>
        </w:rPr>
      </w:pPr>
      <w:r w:rsidRPr="00BF5E97">
        <w:rPr>
          <w:rStyle w:val="Funotenzeichen"/>
        </w:rPr>
        <w:footnoteRef/>
      </w:r>
      <w:r w:rsidRPr="00F9205E">
        <w:rPr>
          <w:lang w:val="pt-BR"/>
        </w:rPr>
        <w:t xml:space="preserve"> </w:t>
      </w:r>
      <w:r w:rsidR="001870C0" w:rsidRPr="00F9205E">
        <w:rPr>
          <w:lang w:val="pt-BR"/>
        </w:rPr>
        <w:t>Articles </w:t>
      </w:r>
      <w:r w:rsidRPr="00F9205E">
        <w:rPr>
          <w:lang w:val="pt-BR"/>
        </w:rPr>
        <w:t>1(1), 2(a) PR.</w:t>
      </w:r>
    </w:p>
  </w:footnote>
  <w:footnote w:id="107">
    <w:p w14:paraId="2A2DAD96" w14:textId="1166FC55" w:rsidR="001C3D8A" w:rsidRPr="001C3D8A" w:rsidRDefault="001C3D8A">
      <w:pPr>
        <w:pStyle w:val="Funotentext"/>
        <w:rPr>
          <w:lang w:val="fr-CA"/>
        </w:rPr>
      </w:pPr>
      <w:r>
        <w:rPr>
          <w:rStyle w:val="Funotenzeichen"/>
        </w:rPr>
        <w:footnoteRef/>
      </w:r>
      <w:r w:rsidRPr="00B93E51">
        <w:rPr>
          <w:lang w:val="pt-BR"/>
        </w:rPr>
        <w:t xml:space="preserve"> </w:t>
      </w:r>
      <w:r w:rsidRPr="00B93E51">
        <w:rPr>
          <w:lang w:val="pt-BR"/>
        </w:rPr>
        <w:t>See para. </w:t>
      </w:r>
      <w:r>
        <w:rPr>
          <w:lang w:val="fr-CA"/>
        </w:rPr>
        <w:fldChar w:fldCharType="begin"/>
      </w:r>
      <w:r w:rsidRPr="00F9205E">
        <w:rPr>
          <w:lang w:val="pt-BR"/>
        </w:rPr>
        <w:instrText xml:space="preserve"> REF _Ref163141332 \r \h </w:instrText>
      </w:r>
      <w:r>
        <w:rPr>
          <w:lang w:val="fr-CA"/>
        </w:rPr>
      </w:r>
      <w:r>
        <w:rPr>
          <w:lang w:val="fr-CA"/>
        </w:rPr>
        <w:fldChar w:fldCharType="separate"/>
      </w:r>
      <w:r w:rsidR="00D56145" w:rsidRPr="00503463">
        <w:rPr>
          <w:lang w:val="fr-FR"/>
        </w:rPr>
        <w:t>3</w:t>
      </w:r>
      <w:r>
        <w:rPr>
          <w:lang w:val="fr-CA"/>
        </w:rPr>
        <w:fldChar w:fldCharType="end"/>
      </w:r>
      <w:r>
        <w:rPr>
          <w:lang w:val="fr-CA"/>
        </w:rPr>
        <w:t xml:space="preserve"> above.</w:t>
      </w:r>
    </w:p>
  </w:footnote>
  <w:footnote w:id="108">
    <w:p w14:paraId="1A702E3B" w14:textId="1A7DD83B" w:rsidR="00430AEF" w:rsidRPr="00881EF0" w:rsidRDefault="00430AE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1(2)(a) PR.</w:t>
      </w:r>
    </w:p>
  </w:footnote>
  <w:footnote w:id="109">
    <w:p w14:paraId="661B1B5E" w14:textId="061DE445" w:rsidR="009062F9" w:rsidRPr="00881EF0" w:rsidRDefault="009062F9">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 PR.</w:t>
      </w:r>
    </w:p>
  </w:footnote>
  <w:footnote w:id="110">
    <w:p w14:paraId="1F75B3D0" w14:textId="5B2C909F" w:rsidR="00FD4EDF" w:rsidRPr="00881EF0" w:rsidRDefault="00FD4ED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2(d) PR.</w:t>
      </w:r>
    </w:p>
  </w:footnote>
  <w:footnote w:id="111">
    <w:p w14:paraId="467C96E9" w14:textId="082A0335" w:rsidR="00FD4EDF" w:rsidRPr="00881EF0" w:rsidRDefault="00FD4EDF">
      <w:pPr>
        <w:pStyle w:val="Funotentext"/>
        <w:rPr>
          <w:lang w:val="fr-CA"/>
        </w:rPr>
      </w:pPr>
      <w:r w:rsidRPr="00BF5E97">
        <w:rPr>
          <w:rStyle w:val="Funotenzeichen"/>
        </w:rPr>
        <w:footnoteRef/>
      </w:r>
      <w:r w:rsidRPr="00881EF0">
        <w:rPr>
          <w:lang w:val="fr-CA"/>
        </w:rPr>
        <w:t xml:space="preserve"> </w:t>
      </w:r>
      <w:r w:rsidR="001870C0" w:rsidRPr="00881EF0">
        <w:rPr>
          <w:lang w:val="fr-CA"/>
        </w:rPr>
        <w:t>Articles </w:t>
      </w:r>
      <w:r w:rsidRPr="00881EF0">
        <w:rPr>
          <w:lang w:val="fr-CA"/>
        </w:rPr>
        <w:t>1(4), 2(e) PR.</w:t>
      </w:r>
    </w:p>
  </w:footnote>
  <w:footnote w:id="112">
    <w:p w14:paraId="4DF15062" w14:textId="560FE781" w:rsidR="006207E6" w:rsidRPr="00881EF0" w:rsidRDefault="006207E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1(4)(b) PR.</w:t>
      </w:r>
    </w:p>
  </w:footnote>
  <w:footnote w:id="113">
    <w:p w14:paraId="597E6A46" w14:textId="6629BAC2" w:rsidR="009C117C" w:rsidRPr="00881EF0" w:rsidRDefault="009C117C">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1(4)(c) PR.</w:t>
      </w:r>
    </w:p>
  </w:footnote>
  <w:footnote w:id="114">
    <w:p w14:paraId="3081B192" w14:textId="4BFC12F2" w:rsidR="00627BC9" w:rsidRPr="009203B4" w:rsidRDefault="00627BC9">
      <w:pPr>
        <w:pStyle w:val="Funotentext"/>
        <w:rPr>
          <w:lang w:val="en-US"/>
        </w:rPr>
      </w:pPr>
      <w:r>
        <w:rPr>
          <w:rStyle w:val="Funotenzeichen"/>
        </w:rPr>
        <w:footnoteRef/>
      </w:r>
      <w:r w:rsidRPr="00503463">
        <w:t xml:space="preserve"> </w:t>
      </w:r>
      <w:r w:rsidR="00D665E4" w:rsidRPr="00503463">
        <w:t>A</w:t>
      </w:r>
      <w:r w:rsidRPr="00503463">
        <w:t>rticle 1(4)(</w:t>
      </w:r>
      <w:r w:rsidRPr="00503463">
        <w:t>db) and (da) PR.</w:t>
      </w:r>
      <w:r w:rsidR="009203B4" w:rsidRPr="00503463">
        <w:t xml:space="preserve"> </w:t>
      </w:r>
      <w:r w:rsidR="009203B4" w:rsidRPr="009203B4">
        <w:rPr>
          <w:lang w:val="en-US"/>
        </w:rPr>
        <w:t>The</w:t>
      </w:r>
      <w:r w:rsidR="00D665E4">
        <w:rPr>
          <w:lang w:val="en-US"/>
        </w:rPr>
        <w:t xml:space="preserve"> offering</w:t>
      </w:r>
      <w:r w:rsidR="009203B4" w:rsidRPr="009203B4">
        <w:rPr>
          <w:lang w:val="en-US"/>
        </w:rPr>
        <w:t xml:space="preserve"> </w:t>
      </w:r>
      <w:r w:rsidR="009203B4">
        <w:rPr>
          <w:lang w:val="en-US"/>
        </w:rPr>
        <w:t>exceptions are mirrored for admission to trading in article 1(5)(a)</w:t>
      </w:r>
      <w:r w:rsidR="00D665E4">
        <w:rPr>
          <w:lang w:val="en-US"/>
        </w:rPr>
        <w:t xml:space="preserve">, </w:t>
      </w:r>
      <w:r w:rsidR="009203B4">
        <w:rPr>
          <w:lang w:val="en-US"/>
        </w:rPr>
        <w:t xml:space="preserve"> (ba).</w:t>
      </w:r>
    </w:p>
  </w:footnote>
  <w:footnote w:id="115">
    <w:p w14:paraId="6716A4A1" w14:textId="00CC346F" w:rsidR="00257748" w:rsidRPr="008E6AC5" w:rsidRDefault="00257748">
      <w:pPr>
        <w:pStyle w:val="Funotentext"/>
      </w:pPr>
      <w:r w:rsidRPr="00BF5E97">
        <w:rPr>
          <w:rStyle w:val="Funotenzeichen"/>
        </w:rPr>
        <w:footnoteRef/>
      </w:r>
      <w:r w:rsidRPr="008E6AC5">
        <w:t xml:space="preserve"> </w:t>
      </w:r>
      <w:r w:rsidR="001870C0" w:rsidRPr="008E6AC5">
        <w:t>Article </w:t>
      </w:r>
      <w:r w:rsidRPr="008E6AC5">
        <w:t>3(2) PR.</w:t>
      </w:r>
    </w:p>
  </w:footnote>
  <w:footnote w:id="116">
    <w:p w14:paraId="503C2172" w14:textId="70F6D42F" w:rsidR="00884286" w:rsidRPr="00256D17" w:rsidRDefault="00884286">
      <w:pPr>
        <w:pStyle w:val="Funotentext"/>
      </w:pPr>
      <w:r w:rsidRPr="00BF5E97">
        <w:rPr>
          <w:rStyle w:val="Funotenzeichen"/>
        </w:rPr>
        <w:footnoteRef/>
      </w:r>
      <w:r w:rsidRPr="00BF5E97">
        <w:t xml:space="preserve"> On the admission process, see para. </w:t>
      </w:r>
      <w:r w:rsidRPr="00BF5E97">
        <w:fldChar w:fldCharType="begin"/>
      </w:r>
      <w:r w:rsidRPr="00BF5E97">
        <w:instrText xml:space="preserve"> REF _Ref130487014 \r \h </w:instrText>
      </w:r>
      <w:r w:rsidRPr="00BF5E97">
        <w:fldChar w:fldCharType="separate"/>
      </w:r>
      <w:r w:rsidR="00D56145">
        <w:t>11</w:t>
      </w:r>
      <w:r w:rsidRPr="00BF5E97">
        <w:fldChar w:fldCharType="end"/>
      </w:r>
      <w:r w:rsidRPr="00256D17">
        <w:t xml:space="preserve"> p. </w:t>
      </w:r>
      <w:r w:rsidRPr="00BF5E97">
        <w:fldChar w:fldCharType="begin"/>
      </w:r>
      <w:r w:rsidRPr="00256D17">
        <w:instrText xml:space="preserve"> PAGEREF _Ref130487014 \h </w:instrText>
      </w:r>
      <w:r w:rsidRPr="00BF5E97">
        <w:fldChar w:fldCharType="separate"/>
      </w:r>
      <w:r w:rsidRPr="00256D17">
        <w:rPr>
          <w:noProof/>
        </w:rPr>
        <w:t>6</w:t>
      </w:r>
      <w:r w:rsidRPr="00BF5E97">
        <w:fldChar w:fldCharType="end"/>
      </w:r>
      <w:r w:rsidRPr="00256D17">
        <w:t xml:space="preserve"> above.</w:t>
      </w:r>
    </w:p>
  </w:footnote>
  <w:footnote w:id="117">
    <w:p w14:paraId="0B6A7CB0" w14:textId="1121C335" w:rsidR="00874CC8" w:rsidRPr="00503463" w:rsidRDefault="00874CC8">
      <w:pPr>
        <w:pStyle w:val="Funotentext"/>
      </w:pPr>
      <w:r w:rsidRPr="00BF5E97">
        <w:rPr>
          <w:rStyle w:val="Funotenzeichen"/>
        </w:rPr>
        <w:footnoteRef/>
      </w:r>
      <w:r w:rsidRPr="00503463">
        <w:t xml:space="preserve"> </w:t>
      </w:r>
      <w:r w:rsidR="001870C0" w:rsidRPr="00503463">
        <w:t>Article </w:t>
      </w:r>
      <w:r w:rsidRPr="00503463">
        <w:t>6(1)(1)(a), (b), (c) PR.</w:t>
      </w:r>
    </w:p>
  </w:footnote>
  <w:footnote w:id="118">
    <w:p w14:paraId="2F7BFC15" w14:textId="77777777" w:rsidR="007C2F64" w:rsidRPr="00503463" w:rsidRDefault="007C2F64" w:rsidP="007C2F64">
      <w:pPr>
        <w:pStyle w:val="Funotentext"/>
      </w:pPr>
      <w:r>
        <w:rPr>
          <w:rStyle w:val="Funotenzeichen"/>
        </w:rPr>
        <w:footnoteRef/>
      </w:r>
      <w:r w:rsidRPr="00503463">
        <w:t xml:space="preserve"> BGH, 13 June 2023 – XI ZB 11/22, WM 2023, 1418, para. 53.</w:t>
      </w:r>
    </w:p>
  </w:footnote>
  <w:footnote w:id="119">
    <w:p w14:paraId="42827943" w14:textId="77777777" w:rsidR="007C2F64" w:rsidRPr="00503463" w:rsidRDefault="007C2F64" w:rsidP="007C2F64">
      <w:pPr>
        <w:pStyle w:val="Funotentext"/>
      </w:pPr>
      <w:r>
        <w:rPr>
          <w:rStyle w:val="Funotenzeichen"/>
        </w:rPr>
        <w:footnoteRef/>
      </w:r>
      <w:r w:rsidRPr="00503463">
        <w:t xml:space="preserve"> BGH, 14 November 2023 – XI ZB 2/21, WM 2024, 393, para. 66.</w:t>
      </w:r>
    </w:p>
  </w:footnote>
  <w:footnote w:id="120">
    <w:p w14:paraId="2272CBB2" w14:textId="77777777" w:rsidR="007C2F64" w:rsidRPr="00A420DD" w:rsidRDefault="007C2F64" w:rsidP="007C2F64">
      <w:pPr>
        <w:pStyle w:val="Funotentext"/>
        <w:rPr>
          <w:lang w:val="fr-FR"/>
        </w:rPr>
      </w:pPr>
      <w:r>
        <w:rPr>
          <w:rStyle w:val="Funotenzeichen"/>
        </w:rPr>
        <w:footnoteRef/>
      </w:r>
      <w:r w:rsidRPr="00503463">
        <w:t xml:space="preserve"> BGH, 13 June 2023 – XI ZB 11/22, WM 2023, 1418, para. </w:t>
      </w:r>
      <w:r w:rsidRPr="00D87FD1">
        <w:rPr>
          <w:lang w:val="pt-BR"/>
        </w:rPr>
        <w:t xml:space="preserve">38, 14 </w:t>
      </w:r>
      <w:r w:rsidRPr="00D87FD1">
        <w:rPr>
          <w:lang w:val="pt-BR"/>
        </w:rPr>
        <w:t>November 2023 – XI ZB 2/21, WM 2024, 393, para. </w:t>
      </w:r>
      <w:r w:rsidRPr="00A420DD">
        <w:rPr>
          <w:lang w:val="fr-FR"/>
        </w:rPr>
        <w:t>66.</w:t>
      </w:r>
    </w:p>
  </w:footnote>
  <w:footnote w:id="121">
    <w:p w14:paraId="1FAC1C89" w14:textId="61AFCD20" w:rsidR="00C52EA7" w:rsidRPr="00881EF0" w:rsidRDefault="00C52EA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10(1) PR.</w:t>
      </w:r>
    </w:p>
  </w:footnote>
  <w:footnote w:id="122">
    <w:p w14:paraId="00338EFE" w14:textId="04267634" w:rsidR="00C52EA7" w:rsidRPr="00881EF0" w:rsidRDefault="00C52EA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12(1) PR.</w:t>
      </w:r>
    </w:p>
  </w:footnote>
  <w:footnote w:id="123">
    <w:p w14:paraId="6AAD7662" w14:textId="5501EDCB" w:rsidR="009D69A3" w:rsidRPr="00044BD7" w:rsidRDefault="009D69A3">
      <w:pPr>
        <w:pStyle w:val="Funotentext"/>
        <w:rPr>
          <w:lang w:val="fr-FR"/>
        </w:rPr>
      </w:pPr>
      <w:r w:rsidRPr="00BF5E97">
        <w:rPr>
          <w:rStyle w:val="Funotenzeichen"/>
        </w:rPr>
        <w:footnoteRef/>
      </w:r>
      <w:r w:rsidRPr="00044BD7">
        <w:rPr>
          <w:lang w:val="fr-FR"/>
        </w:rPr>
        <w:t xml:space="preserve"> </w:t>
      </w:r>
      <w:r w:rsidR="001870C0" w:rsidRPr="00044BD7">
        <w:rPr>
          <w:lang w:val="fr-FR"/>
        </w:rPr>
        <w:t>Article </w:t>
      </w:r>
      <w:r w:rsidRPr="00044BD7">
        <w:rPr>
          <w:lang w:val="fr-FR"/>
        </w:rPr>
        <w:t>16(1) PR.</w:t>
      </w:r>
      <w:r w:rsidR="009654F6" w:rsidRPr="00044BD7">
        <w:rPr>
          <w:lang w:val="fr-FR"/>
        </w:rPr>
        <w:t>The new article 16(1)(2) PR expressly ecludes “generic” risk factors.</w:t>
      </w:r>
    </w:p>
  </w:footnote>
  <w:footnote w:id="124">
    <w:p w14:paraId="5C5C56DC" w14:textId="754F0BF0" w:rsidR="009D69A3" w:rsidRPr="00881EF0" w:rsidRDefault="009D69A3">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16(1)(</w:t>
      </w:r>
      <w:r w:rsidR="00B14289">
        <w:rPr>
          <w:lang w:val="fr-CA"/>
        </w:rPr>
        <w:t>4</w:t>
      </w:r>
      <w:r w:rsidRPr="00881EF0">
        <w:rPr>
          <w:lang w:val="fr-CA"/>
        </w:rPr>
        <w:t>), (</w:t>
      </w:r>
      <w:r w:rsidR="00B14289">
        <w:rPr>
          <w:lang w:val="fr-CA"/>
        </w:rPr>
        <w:t>5</w:t>
      </w:r>
      <w:r w:rsidRPr="00881EF0">
        <w:rPr>
          <w:lang w:val="fr-CA"/>
        </w:rPr>
        <w:t>) PR.</w:t>
      </w:r>
    </w:p>
  </w:footnote>
  <w:footnote w:id="125">
    <w:p w14:paraId="246BA262" w14:textId="017794E8" w:rsidR="009C2D58" w:rsidRPr="00A420DD" w:rsidRDefault="009C2D58" w:rsidP="009C2D58">
      <w:pPr>
        <w:pStyle w:val="Funotentext"/>
        <w:jc w:val="left"/>
      </w:pPr>
      <w:r w:rsidRPr="00BF5E97">
        <w:rPr>
          <w:rStyle w:val="Funotenzeichen"/>
        </w:rPr>
        <w:footnoteRef/>
      </w:r>
      <w:r w:rsidRPr="00A420DD">
        <w:t xml:space="preserve"> See </w:t>
      </w:r>
      <w:hyperlink r:id="rId8" w:history="1">
        <w:r w:rsidRPr="00A420DD">
          <w:rPr>
            <w:rStyle w:val="Hyperlink"/>
          </w:rPr>
          <w:t>https://www.esma.europa.eu/sites/default/files/library/esma31-62-1293_guidelines_on_risk_factors_under_the_prospectus_regulation.pdf</w:t>
        </w:r>
      </w:hyperlink>
      <w:r w:rsidRPr="00A420DD">
        <w:t xml:space="preserve">. </w:t>
      </w:r>
    </w:p>
  </w:footnote>
  <w:footnote w:id="126">
    <w:p w14:paraId="635E8793" w14:textId="46C9818C" w:rsidR="00A30966" w:rsidRPr="00A420DD" w:rsidRDefault="00A30966">
      <w:pPr>
        <w:pStyle w:val="Funotentext"/>
      </w:pPr>
      <w:r w:rsidRPr="00BF5E97">
        <w:rPr>
          <w:rStyle w:val="Funotenzeichen"/>
        </w:rPr>
        <w:footnoteRef/>
      </w:r>
      <w:r w:rsidRPr="00A420DD">
        <w:t xml:space="preserve"> Article 8(2) PR.</w:t>
      </w:r>
    </w:p>
  </w:footnote>
  <w:footnote w:id="127">
    <w:p w14:paraId="3B6BB9F1" w14:textId="32B86143" w:rsidR="00C03F40" w:rsidRPr="00A420DD" w:rsidRDefault="00C03F40">
      <w:pPr>
        <w:pStyle w:val="Funotentext"/>
      </w:pPr>
      <w:r w:rsidRPr="00BF5E97">
        <w:rPr>
          <w:rStyle w:val="Funotenzeichen"/>
        </w:rPr>
        <w:footnoteRef/>
      </w:r>
      <w:r w:rsidRPr="00A420DD">
        <w:t xml:space="preserve"> </w:t>
      </w:r>
      <w:r w:rsidR="001870C0" w:rsidRPr="00A420DD">
        <w:t>Articles </w:t>
      </w:r>
      <w:r w:rsidRPr="00A420DD">
        <w:t>14, 15 PR.</w:t>
      </w:r>
      <w:r w:rsidR="007D2902" w:rsidRPr="00A420DD">
        <w:t xml:space="preserve"> The specific EU Recovery Prospectus regime under article 14a PR ended on 31 December 2022, article 47a PR. </w:t>
      </w:r>
    </w:p>
  </w:footnote>
  <w:footnote w:id="128">
    <w:p w14:paraId="444DA52E" w14:textId="643B7441" w:rsidR="00233294" w:rsidRPr="0059159B" w:rsidRDefault="00233294">
      <w:pPr>
        <w:pStyle w:val="Funotentext"/>
        <w:rPr>
          <w:lang w:val="en-US"/>
        </w:rPr>
      </w:pPr>
      <w:r>
        <w:rPr>
          <w:rStyle w:val="Funotenzeichen"/>
        </w:rPr>
        <w:footnoteRef/>
      </w:r>
      <w:r>
        <w:t xml:space="preserve"> </w:t>
      </w:r>
      <w:r w:rsidR="0059159B">
        <w:t xml:space="preserve">Note that the provisions on the “Follow-on Prospectus” will come in effect only in 2026 and are not yet reflected </w:t>
      </w:r>
      <w:r w:rsidR="0059159B">
        <w:rPr>
          <w:lang w:val="en-US"/>
        </w:rPr>
        <w:t>in the EU consolidated legislation database</w:t>
      </w:r>
      <w:r w:rsidRPr="0059159B">
        <w:rPr>
          <w:lang w:val="en-US"/>
        </w:rPr>
        <w:t>.</w:t>
      </w:r>
    </w:p>
  </w:footnote>
  <w:footnote w:id="129">
    <w:p w14:paraId="7E0185E5" w14:textId="4B4A4931" w:rsidR="00697A6A" w:rsidRPr="008E6AC5" w:rsidRDefault="00697A6A">
      <w:pPr>
        <w:pStyle w:val="Funotentext"/>
      </w:pPr>
      <w:r w:rsidRPr="00BF5E97">
        <w:rPr>
          <w:rStyle w:val="Funotenzeichen"/>
        </w:rPr>
        <w:footnoteRef/>
      </w:r>
      <w:r w:rsidRPr="008E6AC5">
        <w:t xml:space="preserve"> </w:t>
      </w:r>
      <w:r w:rsidR="001870C0" w:rsidRPr="008E6AC5">
        <w:t>Article </w:t>
      </w:r>
      <w:r w:rsidRPr="008E6AC5">
        <w:t>20(1) PR.</w:t>
      </w:r>
      <w:r w:rsidR="008423E1" w:rsidRPr="008E6AC5">
        <w:t xml:space="preserve"> In Germany: BaFin, § 17 </w:t>
      </w:r>
      <w:r w:rsidR="008423E1" w:rsidRPr="008E6AC5">
        <w:t>WpPG.</w:t>
      </w:r>
    </w:p>
  </w:footnote>
  <w:footnote w:id="130">
    <w:p w14:paraId="44ADB8EB" w14:textId="7D38B9E0" w:rsidR="00A02FE3" w:rsidRPr="00881EF0" w:rsidRDefault="00A02FE3">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20(4) PR.</w:t>
      </w:r>
    </w:p>
  </w:footnote>
  <w:footnote w:id="131">
    <w:p w14:paraId="6BB4FF95" w14:textId="1F24BCC2" w:rsidR="00E27C7D" w:rsidRPr="00881EF0" w:rsidRDefault="00E27C7D">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21(1) PR.</w:t>
      </w:r>
    </w:p>
  </w:footnote>
  <w:footnote w:id="132">
    <w:p w14:paraId="515B21C6" w14:textId="2A5B32F4" w:rsidR="00CB2C0F" w:rsidRPr="00881EF0" w:rsidRDefault="00CB2C0F">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23(1) PR.</w:t>
      </w:r>
    </w:p>
  </w:footnote>
  <w:footnote w:id="133">
    <w:p w14:paraId="7FAFC581" w14:textId="325946A1" w:rsidR="003873D4" w:rsidRPr="00881EF0" w:rsidRDefault="003873D4">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23(2) PR.</w:t>
      </w:r>
    </w:p>
  </w:footnote>
  <w:footnote w:id="134">
    <w:p w14:paraId="5DF566D8" w14:textId="49D03342" w:rsidR="001F241E" w:rsidRPr="00881EF0" w:rsidRDefault="001F241E" w:rsidP="001F241E">
      <w:pPr>
        <w:pStyle w:val="Funotentext"/>
        <w:rPr>
          <w:lang w:val="fr-CA"/>
        </w:rPr>
      </w:pPr>
      <w:r w:rsidRPr="00BF5E97">
        <w:rPr>
          <w:rStyle w:val="Funotenzeichen"/>
        </w:rPr>
        <w:footnoteRef/>
      </w:r>
      <w:r w:rsidRPr="00881EF0">
        <w:rPr>
          <w:lang w:val="fr-CA"/>
        </w:rPr>
        <w:t xml:space="preserve"> Article 2</w:t>
      </w:r>
      <w:r w:rsidR="002F2C1D">
        <w:rPr>
          <w:lang w:val="fr-CA"/>
        </w:rPr>
        <w:t>2</w:t>
      </w:r>
      <w:r w:rsidRPr="00881EF0">
        <w:rPr>
          <w:lang w:val="fr-CA"/>
        </w:rPr>
        <w:t>(2) PR.</w:t>
      </w:r>
    </w:p>
  </w:footnote>
  <w:footnote w:id="135">
    <w:p w14:paraId="160BEA20" w14:textId="11124F74" w:rsidR="0095729A" w:rsidRPr="0095729A" w:rsidRDefault="0095729A">
      <w:pPr>
        <w:pStyle w:val="Funotentext"/>
        <w:rPr>
          <w:lang w:val="fr-CA"/>
        </w:rPr>
      </w:pPr>
      <w:r>
        <w:rPr>
          <w:rStyle w:val="Funotenzeichen"/>
        </w:rPr>
        <w:footnoteRef/>
      </w:r>
      <w:r w:rsidRPr="0095729A">
        <w:rPr>
          <w:lang w:val="fr-CA"/>
        </w:rPr>
        <w:t xml:space="preserve"> A</w:t>
      </w:r>
      <w:r>
        <w:rPr>
          <w:lang w:val="fr-CA"/>
        </w:rPr>
        <w:t>rticle 22(3) PR.</w:t>
      </w:r>
    </w:p>
  </w:footnote>
  <w:footnote w:id="136">
    <w:p w14:paraId="1335300F" w14:textId="1C483446" w:rsidR="00494411" w:rsidRPr="00881EF0" w:rsidRDefault="0049441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24(1) PR.</w:t>
      </w:r>
    </w:p>
  </w:footnote>
  <w:footnote w:id="137">
    <w:p w14:paraId="62F55AE2" w14:textId="32947CAC" w:rsidR="005315C8" w:rsidRPr="00881EF0" w:rsidRDefault="005315C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25(1) PR.</w:t>
      </w:r>
    </w:p>
  </w:footnote>
  <w:footnote w:id="138">
    <w:p w14:paraId="47DB067A" w14:textId="09AA4FE0" w:rsidR="005315C8" w:rsidRPr="00881EF0" w:rsidRDefault="005315C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27(1) PR.</w:t>
      </w:r>
    </w:p>
  </w:footnote>
  <w:footnote w:id="139">
    <w:p w14:paraId="1A0F1E56" w14:textId="205832C1" w:rsidR="00810A84" w:rsidRPr="00881EF0" w:rsidRDefault="00810A84">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27(1) PR.</w:t>
      </w:r>
    </w:p>
  </w:footnote>
  <w:footnote w:id="140">
    <w:p w14:paraId="7EEED520" w14:textId="77EE4D0D" w:rsidR="00B94A86" w:rsidRPr="00881EF0" w:rsidRDefault="00B94A8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32(1)(f) PR.</w:t>
      </w:r>
    </w:p>
  </w:footnote>
  <w:footnote w:id="141">
    <w:p w14:paraId="5C35ACBB" w14:textId="2F6763EC" w:rsidR="00B94A86" w:rsidRPr="00881EF0" w:rsidRDefault="00B94A8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32(1)(i) PR.</w:t>
      </w:r>
    </w:p>
  </w:footnote>
  <w:footnote w:id="142">
    <w:p w14:paraId="58AE35B7" w14:textId="08E45F51" w:rsidR="00D62B82" w:rsidRPr="00881EF0" w:rsidRDefault="00D62B8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38(2)(a), (c), (d) and (e) PR.</w:t>
      </w:r>
    </w:p>
  </w:footnote>
  <w:footnote w:id="143">
    <w:p w14:paraId="62A40420" w14:textId="19BE20D8" w:rsidR="00303312" w:rsidRPr="00881EF0" w:rsidRDefault="00303312">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38(2)(d) PR.</w:t>
      </w:r>
    </w:p>
  </w:footnote>
  <w:footnote w:id="144">
    <w:p w14:paraId="2DB90001" w14:textId="1E428AFF" w:rsidR="00676E51" w:rsidRPr="00881EF0" w:rsidRDefault="00676E5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11(2) PR.</w:t>
      </w:r>
    </w:p>
  </w:footnote>
  <w:footnote w:id="145">
    <w:p w14:paraId="4A198508"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9, 10 </w:t>
      </w:r>
      <w:r w:rsidRPr="008E6AC5">
        <w:rPr>
          <w:lang w:val="fr-CA"/>
        </w:rPr>
        <w:t>WpPG.</w:t>
      </w:r>
    </w:p>
  </w:footnote>
  <w:footnote w:id="146">
    <w:p w14:paraId="501154C1"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9(1) </w:t>
      </w:r>
      <w:r w:rsidRPr="008E6AC5">
        <w:rPr>
          <w:lang w:val="fr-CA"/>
        </w:rPr>
        <w:t>WpPG.</w:t>
      </w:r>
    </w:p>
  </w:footnote>
  <w:footnote w:id="147">
    <w:p w14:paraId="43ED4994"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10(1) </w:t>
      </w:r>
      <w:r w:rsidRPr="008E6AC5">
        <w:rPr>
          <w:lang w:val="fr-CA"/>
        </w:rPr>
        <w:t>WpPG.</w:t>
      </w:r>
    </w:p>
  </w:footnote>
  <w:footnote w:id="148">
    <w:p w14:paraId="012C87F7" w14:textId="77777777" w:rsidR="009A18B0" w:rsidRPr="008E6AC5" w:rsidRDefault="009A18B0" w:rsidP="009A18B0">
      <w:pPr>
        <w:pStyle w:val="Funotentext"/>
        <w:rPr>
          <w:lang w:val="fr-CA"/>
        </w:rPr>
      </w:pPr>
      <w:r w:rsidRPr="00BF5E97">
        <w:rPr>
          <w:rStyle w:val="Funotenzeichen"/>
        </w:rPr>
        <w:footnoteRef/>
      </w:r>
      <w:r w:rsidRPr="008E6AC5">
        <w:rPr>
          <w:lang w:val="fr-CA"/>
        </w:rPr>
        <w:t xml:space="preserve"> § 9(1)(1), (2) </w:t>
      </w:r>
      <w:r w:rsidRPr="008E6AC5">
        <w:rPr>
          <w:lang w:val="fr-CA"/>
        </w:rPr>
        <w:t>WpPG.</w:t>
      </w:r>
    </w:p>
  </w:footnote>
  <w:footnote w:id="149">
    <w:p w14:paraId="30466C97" w14:textId="62F488EA" w:rsidR="00DC378B" w:rsidRPr="008E6AC5" w:rsidRDefault="00DC378B">
      <w:pPr>
        <w:pStyle w:val="Funotentext"/>
        <w:rPr>
          <w:lang w:val="fr-CA"/>
        </w:rPr>
      </w:pPr>
      <w:r>
        <w:rPr>
          <w:rStyle w:val="Funotenzeichen"/>
        </w:rPr>
        <w:footnoteRef/>
      </w:r>
      <w:r w:rsidRPr="008E6AC5">
        <w:rPr>
          <w:lang w:val="fr-CA"/>
        </w:rPr>
        <w:t xml:space="preserve"> BGH, 20 </w:t>
      </w:r>
      <w:r w:rsidRPr="008E6AC5">
        <w:rPr>
          <w:lang w:val="fr-CA"/>
        </w:rPr>
        <w:t xml:space="preserve">February 2024 – XI ZB 33/21, BKR 2024, 536, para. 38 – </w:t>
      </w:r>
      <w:r w:rsidRPr="008E6AC5">
        <w:rPr>
          <w:i/>
          <w:lang w:val="fr-CA"/>
        </w:rPr>
        <w:t>Lignum Fonds</w:t>
      </w:r>
      <w:r w:rsidRPr="008E6AC5">
        <w:rPr>
          <w:lang w:val="fr-CA"/>
        </w:rPr>
        <w:t>.</w:t>
      </w:r>
    </w:p>
  </w:footnote>
  <w:footnote w:id="150">
    <w:p w14:paraId="6F5A3D6D" w14:textId="77777777" w:rsidR="00B7794E" w:rsidRPr="008E6AC5" w:rsidRDefault="00B7794E" w:rsidP="00B7794E">
      <w:pPr>
        <w:pStyle w:val="Funotentext"/>
        <w:rPr>
          <w:lang w:val="fr-CA"/>
        </w:rPr>
      </w:pPr>
      <w:r>
        <w:rPr>
          <w:rStyle w:val="Funotenzeichen"/>
        </w:rPr>
        <w:footnoteRef/>
      </w:r>
      <w:r w:rsidRPr="008E6AC5">
        <w:rPr>
          <w:lang w:val="fr-CA"/>
        </w:rPr>
        <w:t xml:space="preserve"> BGH, 20 </w:t>
      </w:r>
      <w:r w:rsidRPr="008E6AC5">
        <w:rPr>
          <w:lang w:val="fr-CA"/>
        </w:rPr>
        <w:t xml:space="preserve">February 2024 – XI ZB 33/21, BKR 2024, 536, para. 38 – </w:t>
      </w:r>
      <w:r w:rsidRPr="008E6AC5">
        <w:rPr>
          <w:i/>
          <w:lang w:val="fr-CA"/>
        </w:rPr>
        <w:t>Lignum Fonds</w:t>
      </w:r>
      <w:r w:rsidRPr="008E6AC5">
        <w:rPr>
          <w:lang w:val="fr-CA"/>
        </w:rPr>
        <w:t>.</w:t>
      </w:r>
    </w:p>
  </w:footnote>
  <w:footnote w:id="151">
    <w:p w14:paraId="10C1FB89" w14:textId="77777777" w:rsidR="00B7794E" w:rsidRPr="00503463" w:rsidRDefault="00B7794E" w:rsidP="00B7794E">
      <w:pPr>
        <w:pStyle w:val="Funotentext"/>
        <w:rPr>
          <w:lang w:val="fr-CA"/>
        </w:rPr>
      </w:pPr>
      <w:r>
        <w:rPr>
          <w:rStyle w:val="Funotenzeichen"/>
        </w:rPr>
        <w:footnoteRef/>
      </w:r>
      <w:r w:rsidRPr="00503463">
        <w:rPr>
          <w:lang w:val="fr-CA"/>
        </w:rPr>
        <w:t xml:space="preserve"> BGH, 20 </w:t>
      </w:r>
      <w:r w:rsidRPr="00503463">
        <w:rPr>
          <w:lang w:val="fr-CA"/>
        </w:rPr>
        <w:t xml:space="preserve">February 2024 – XI ZB 33/21, BKR 2024, 536, para. 38 – </w:t>
      </w:r>
      <w:r w:rsidRPr="00503463">
        <w:rPr>
          <w:i/>
          <w:lang w:val="fr-CA"/>
        </w:rPr>
        <w:t>Lignum Fonds</w:t>
      </w:r>
      <w:r w:rsidRPr="00503463">
        <w:rPr>
          <w:lang w:val="fr-CA"/>
        </w:rPr>
        <w:t>.</w:t>
      </w:r>
    </w:p>
  </w:footnote>
  <w:footnote w:id="152">
    <w:p w14:paraId="5724F8C8" w14:textId="77777777" w:rsidR="00B7794E" w:rsidRPr="00DC378B" w:rsidRDefault="00B7794E" w:rsidP="00B7794E">
      <w:pPr>
        <w:pStyle w:val="Funotentext"/>
      </w:pPr>
      <w:r>
        <w:rPr>
          <w:rStyle w:val="Funotenzeichen"/>
        </w:rPr>
        <w:footnoteRef/>
      </w:r>
      <w:r w:rsidRPr="00503463">
        <w:rPr>
          <w:lang w:val="fr-CA"/>
        </w:rPr>
        <w:t xml:space="preserve"> BGH, 20 </w:t>
      </w:r>
      <w:r w:rsidRPr="00503463">
        <w:rPr>
          <w:lang w:val="fr-CA"/>
        </w:rPr>
        <w:t>February 2024 – XI ZB 33/21, BKR 2024, 536, para. </w:t>
      </w:r>
      <w:r w:rsidRPr="00F42486">
        <w:t xml:space="preserve">38 </w:t>
      </w:r>
      <w:r w:rsidRPr="00DC378B">
        <w:t xml:space="preserve">– </w:t>
      </w:r>
      <w:r w:rsidRPr="00DC378B">
        <w:rPr>
          <w:i/>
        </w:rPr>
        <w:t>Lignum Fonds</w:t>
      </w:r>
      <w:r>
        <w:t>.</w:t>
      </w:r>
    </w:p>
  </w:footnote>
  <w:footnote w:id="153">
    <w:p w14:paraId="5BD29C31" w14:textId="572765CA" w:rsidR="00957C37" w:rsidRPr="00BF5E97" w:rsidRDefault="00957C37" w:rsidP="0011651E">
      <w:pPr>
        <w:pStyle w:val="Funotentext"/>
      </w:pPr>
      <w:r w:rsidRPr="00BF5E97">
        <w:rPr>
          <w:rStyle w:val="Funotenzeichen"/>
        </w:rPr>
        <w:footnoteRef/>
      </w:r>
      <w:r w:rsidRPr="00BF5E97">
        <w:t xml:space="preserve"> See, most recently, BGH, </w:t>
      </w:r>
      <w:r w:rsidRPr="00A169BA">
        <w:t>11</w:t>
      </w:r>
      <w:r>
        <w:t xml:space="preserve"> July </w:t>
      </w:r>
      <w:r w:rsidRPr="00A169BA">
        <w:t xml:space="preserve">2023 </w:t>
      </w:r>
      <w:r>
        <w:t>–</w:t>
      </w:r>
      <w:r w:rsidRPr="00A169BA">
        <w:t xml:space="preserve"> XI ZB 20/21</w:t>
      </w:r>
      <w:r w:rsidR="00607CC6">
        <w:t>, WM 2023, 1692</w:t>
      </w:r>
      <w:r>
        <w:t xml:space="preserve"> as regards the law currently in force (paras 45ff)</w:t>
      </w:r>
      <w:r w:rsidRPr="00BF5E97">
        <w:t>.</w:t>
      </w:r>
      <w:r w:rsidR="0011651E">
        <w:t xml:space="preserve"> This applies not only to §§ 9ff. </w:t>
      </w:r>
      <w:r w:rsidR="0011651E">
        <w:t xml:space="preserve">WpPG, but also to other instances of prospectus liability legislation such as §§ 20, 21 VermAnlG, § 127 InvG. </w:t>
      </w:r>
      <w:r>
        <w:t>On the basis of the 11 July 2023 decision, the obiter dictum of BGH, 25 October 2022, II ZR 22/22, NJW-RR 2023, 109 does not apply to the law currently in force.</w:t>
      </w:r>
    </w:p>
  </w:footnote>
  <w:footnote w:id="154">
    <w:p w14:paraId="41C6B1CF" w14:textId="1AABB20D" w:rsidR="0011651E" w:rsidRPr="00503463" w:rsidRDefault="0011651E">
      <w:pPr>
        <w:pStyle w:val="Funotentext"/>
      </w:pPr>
      <w:r>
        <w:rPr>
          <w:rStyle w:val="Funotenzeichen"/>
        </w:rPr>
        <w:footnoteRef/>
      </w:r>
      <w:r w:rsidRPr="00503463">
        <w:t xml:space="preserve"> BGH, 13 December 2022, XI ZB 10/21, WM 2023, 245; BGH, 14 November 2023, XI ZB 2/21, WM 2024, 393 para. 61.</w:t>
      </w:r>
    </w:p>
  </w:footnote>
  <w:footnote w:id="155">
    <w:p w14:paraId="342666E1" w14:textId="4505A69E" w:rsidR="00957C37" w:rsidRPr="00503463" w:rsidRDefault="00957C37">
      <w:pPr>
        <w:pStyle w:val="Funotentext"/>
      </w:pPr>
      <w:r>
        <w:rPr>
          <w:rStyle w:val="Funotenzeichen"/>
        </w:rPr>
        <w:footnoteRef/>
      </w:r>
      <w:r w:rsidRPr="00503463">
        <w:t xml:space="preserve"> Assmann/</w:t>
      </w:r>
      <w:r w:rsidRPr="00503463">
        <w:t xml:space="preserve">Kumpan, in: Assmann/Schütze/Buck-Heeb, </w:t>
      </w:r>
      <w:r w:rsidRPr="00503463">
        <w:rPr>
          <w:i/>
        </w:rPr>
        <w:t>Hdb des Kapitalanlagerechts</w:t>
      </w:r>
      <w:r w:rsidRPr="00503463">
        <w:t>, 6th ed. 2024, § 5 paras</w:t>
      </w:r>
      <w:r w:rsidR="005C4058" w:rsidRPr="00503463">
        <w:t> </w:t>
      </w:r>
      <w:r w:rsidRPr="00503463">
        <w:t>24, 30.</w:t>
      </w:r>
    </w:p>
  </w:footnote>
  <w:footnote w:id="156">
    <w:p w14:paraId="6E891DB6" w14:textId="181B9F17" w:rsidR="00A8022F" w:rsidRPr="00A8022F" w:rsidRDefault="00A8022F">
      <w:pPr>
        <w:pStyle w:val="Funotentext"/>
        <w:rPr>
          <w:lang w:val="en-US"/>
        </w:rPr>
      </w:pPr>
      <w:r>
        <w:rPr>
          <w:rStyle w:val="Funotenzeichen"/>
        </w:rPr>
        <w:footnoteRef/>
      </w:r>
      <w:r>
        <w:t xml:space="preserve"> </w:t>
      </w:r>
      <w:r w:rsidRPr="00A8022F">
        <w:t>BGH, 11 July 2023 – XI ZB 20/21, WM 2023, 1692</w:t>
      </w:r>
      <w:r>
        <w:t>.</w:t>
      </w:r>
      <w:r w:rsidR="009726FD">
        <w:t xml:space="preserve"> Liability only exists where these statements go beyond the content of the prospectus: BGH, 26 September 2023, </w:t>
      </w:r>
      <w:r w:rsidR="00F5667D" w:rsidRPr="00F5667D">
        <w:t>XI ZR 311/22</w:t>
      </w:r>
      <w:r w:rsidR="00F5667D">
        <w:t xml:space="preserve">, </w:t>
      </w:r>
      <w:r w:rsidR="009726FD">
        <w:t>BKR 2023, 838.</w:t>
      </w:r>
    </w:p>
  </w:footnote>
  <w:footnote w:id="157">
    <w:p w14:paraId="59C84FAD" w14:textId="11F5D18A" w:rsidR="007069A8" w:rsidRPr="00503463" w:rsidRDefault="007069A8">
      <w:pPr>
        <w:pStyle w:val="Funotentext"/>
        <w:rPr>
          <w:lang w:val="en-US"/>
        </w:rPr>
      </w:pPr>
      <w:r>
        <w:rPr>
          <w:rStyle w:val="Funotenzeichen"/>
        </w:rPr>
        <w:footnoteRef/>
      </w:r>
      <w:r w:rsidRPr="00503463">
        <w:rPr>
          <w:lang w:val="en-US"/>
        </w:rPr>
        <w:t xml:space="preserve"> BGH, 11 June 2024 – XI ZR 491/21, BKR 2024, 812</w:t>
      </w:r>
      <w:r w:rsidR="00920F1E" w:rsidRPr="00503463">
        <w:rPr>
          <w:lang w:val="en-US"/>
        </w:rPr>
        <w:t>; BGH, 5 November 2024 – XI ZR 251/22, BKR 2025, 87</w:t>
      </w:r>
      <w:r w:rsidRPr="00503463">
        <w:rPr>
          <w:lang w:val="en-US"/>
        </w:rPr>
        <w:t>.</w:t>
      </w:r>
    </w:p>
  </w:footnote>
  <w:footnote w:id="158">
    <w:p w14:paraId="524B0150" w14:textId="4BEFFDF7" w:rsidR="00901332" w:rsidRPr="00931040" w:rsidRDefault="00901332">
      <w:pPr>
        <w:pStyle w:val="Funotentext"/>
        <w:rPr>
          <w:lang w:val="pt-BR"/>
        </w:rPr>
      </w:pPr>
      <w:r w:rsidRPr="00BF5E97">
        <w:rPr>
          <w:rStyle w:val="Funotenzeichen"/>
        </w:rPr>
        <w:footnoteRef/>
      </w:r>
      <w:r w:rsidRPr="00931040">
        <w:rPr>
          <w:lang w:val="pt-BR"/>
        </w:rPr>
        <w:t xml:space="preserve"> Recital (2) MAR.</w:t>
      </w:r>
    </w:p>
  </w:footnote>
  <w:footnote w:id="159">
    <w:p w14:paraId="2BB2EDCA" w14:textId="77777777" w:rsidR="001D2C01" w:rsidRPr="001D2C01" w:rsidRDefault="001D2C01" w:rsidP="001D2C01">
      <w:pPr>
        <w:pStyle w:val="Funotentext"/>
        <w:rPr>
          <w:lang w:val="pt-BR"/>
        </w:rPr>
      </w:pPr>
      <w:r w:rsidRPr="00BF5E97">
        <w:rPr>
          <w:rStyle w:val="Funotenzeichen"/>
        </w:rPr>
        <w:footnoteRef/>
      </w:r>
      <w:r w:rsidRPr="001D2C01">
        <w:rPr>
          <w:lang w:val="pt-BR"/>
        </w:rPr>
        <w:t xml:space="preserve"> </w:t>
      </w:r>
      <w:r w:rsidRPr="001D2C01">
        <w:rPr>
          <w:lang w:val="pt-BR"/>
        </w:rPr>
        <w:t>Article 1 MAR.</w:t>
      </w:r>
    </w:p>
  </w:footnote>
  <w:footnote w:id="160">
    <w:p w14:paraId="04A30584" w14:textId="32D8B467" w:rsidR="00901332" w:rsidRPr="00881EF0" w:rsidRDefault="00901332">
      <w:pPr>
        <w:pStyle w:val="Funotentext"/>
        <w:rPr>
          <w:lang w:val="pt-BR"/>
        </w:rPr>
      </w:pPr>
      <w:r w:rsidRPr="00BF5E97">
        <w:rPr>
          <w:rStyle w:val="Funotenzeichen"/>
        </w:rPr>
        <w:footnoteRef/>
      </w:r>
      <w:r w:rsidRPr="00881EF0">
        <w:rPr>
          <w:lang w:val="pt-BR"/>
        </w:rPr>
        <w:t xml:space="preserve"> </w:t>
      </w:r>
      <w:r w:rsidRPr="00881EF0">
        <w:rPr>
          <w:lang w:val="pt-BR"/>
        </w:rPr>
        <w:t>Directive 2003/6/EC</w:t>
      </w:r>
    </w:p>
  </w:footnote>
  <w:footnote w:id="161">
    <w:p w14:paraId="40B43EA7" w14:textId="7F0F583D" w:rsidR="00901332" w:rsidRPr="00881EF0" w:rsidRDefault="00901332">
      <w:pPr>
        <w:pStyle w:val="Funotentext"/>
        <w:rPr>
          <w:lang w:val="pt-BR"/>
        </w:rPr>
      </w:pPr>
      <w:r w:rsidRPr="00BF5E97">
        <w:rPr>
          <w:rStyle w:val="Funotenzeichen"/>
        </w:rPr>
        <w:footnoteRef/>
      </w:r>
      <w:r w:rsidRPr="00881EF0">
        <w:rPr>
          <w:lang w:val="pt-BR"/>
        </w:rPr>
        <w:t xml:space="preserve"> Recital (4) MAR.</w:t>
      </w:r>
    </w:p>
  </w:footnote>
  <w:footnote w:id="162">
    <w:p w14:paraId="71C5D204" w14:textId="32543D78" w:rsidR="00901332" w:rsidRPr="00881EF0" w:rsidRDefault="00901332">
      <w:pPr>
        <w:pStyle w:val="Funotentext"/>
        <w:rPr>
          <w:lang w:val="pt-BR"/>
        </w:rPr>
      </w:pPr>
      <w:r w:rsidRPr="00BF5E97">
        <w:rPr>
          <w:rStyle w:val="Funotenzeichen"/>
        </w:rPr>
        <w:footnoteRef/>
      </w:r>
      <w:r w:rsidRPr="00881EF0">
        <w:rPr>
          <w:lang w:val="pt-BR"/>
        </w:rPr>
        <w:t xml:space="preserve"> Recital (5) MAR.</w:t>
      </w:r>
    </w:p>
  </w:footnote>
  <w:footnote w:id="163">
    <w:p w14:paraId="6B8110FF" w14:textId="7F5C4CFE" w:rsidR="00FD6740" w:rsidRPr="00881EF0" w:rsidRDefault="00FD6740">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2(1) MAR.</w:t>
      </w:r>
    </w:p>
  </w:footnote>
  <w:footnote w:id="164">
    <w:p w14:paraId="6847C43A" w14:textId="680FDC88" w:rsidR="00FD6740" w:rsidRPr="00881EF0" w:rsidRDefault="00FD6740">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2(1)(d) MAR</w:t>
      </w:r>
      <w:r w:rsidR="00683FF0" w:rsidRPr="00881EF0">
        <w:rPr>
          <w:lang w:val="pt-BR"/>
        </w:rPr>
        <w:t>.</w:t>
      </w:r>
    </w:p>
  </w:footnote>
  <w:footnote w:id="165">
    <w:p w14:paraId="12D4071D" w14:textId="75E6A9BB" w:rsidR="00683FF0" w:rsidRPr="00881EF0" w:rsidRDefault="00683FF0">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2(1) MAR.</w:t>
      </w:r>
    </w:p>
  </w:footnote>
  <w:footnote w:id="166">
    <w:p w14:paraId="3EEA13A3" w14:textId="05130027" w:rsidR="006807BE" w:rsidRPr="00881EF0" w:rsidRDefault="006807BE">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4(1) MAR</w:t>
      </w:r>
      <w:r w:rsidR="005A10D2" w:rsidRPr="00881EF0">
        <w:rPr>
          <w:lang w:val="pt-BR"/>
        </w:rPr>
        <w:t>.</w:t>
      </w:r>
    </w:p>
  </w:footnote>
  <w:footnote w:id="167">
    <w:p w14:paraId="70829339" w14:textId="23FDA052" w:rsidR="003B6B31" w:rsidRPr="00881EF0" w:rsidRDefault="003B6B31">
      <w:pPr>
        <w:pStyle w:val="Funotentext"/>
        <w:rPr>
          <w:lang w:val="pt-BR"/>
        </w:rPr>
      </w:pPr>
      <w:r w:rsidRPr="00BF5E97">
        <w:rPr>
          <w:rStyle w:val="Funotenzeichen"/>
        </w:rPr>
        <w:footnoteRef/>
      </w:r>
      <w:r w:rsidRPr="00881EF0">
        <w:rPr>
          <w:lang w:val="pt-BR"/>
        </w:rPr>
        <w:t xml:space="preserve"> </w:t>
      </w:r>
      <w:r w:rsidR="001870C0" w:rsidRPr="00881EF0">
        <w:rPr>
          <w:lang w:val="pt-BR"/>
        </w:rPr>
        <w:t>Articles </w:t>
      </w:r>
      <w:r w:rsidRPr="00881EF0">
        <w:rPr>
          <w:lang w:val="pt-BR"/>
        </w:rPr>
        <w:t>14, 17, 18 MAR.</w:t>
      </w:r>
    </w:p>
  </w:footnote>
  <w:footnote w:id="168">
    <w:p w14:paraId="3D67B57C" w14:textId="31F3C732" w:rsidR="00C30FA3" w:rsidRPr="00881EF0" w:rsidRDefault="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7(2) MAR.</w:t>
      </w:r>
    </w:p>
  </w:footnote>
  <w:footnote w:id="169">
    <w:p w14:paraId="435D43E8" w14:textId="53E0738F" w:rsidR="001A616B" w:rsidRPr="00A420DD" w:rsidRDefault="001A616B">
      <w:pPr>
        <w:pStyle w:val="Funotentext"/>
        <w:rPr>
          <w:lang w:val="pt-BR"/>
        </w:rPr>
      </w:pPr>
      <w:r>
        <w:rPr>
          <w:rStyle w:val="Funotenzeichen"/>
        </w:rPr>
        <w:footnoteRef/>
      </w:r>
      <w:r w:rsidRPr="00A420DD">
        <w:rPr>
          <w:lang w:val="pt-BR"/>
        </w:rPr>
        <w:t xml:space="preserve"> Case C-19/11, </w:t>
      </w:r>
      <w:r w:rsidRPr="00A420DD">
        <w:rPr>
          <w:i/>
          <w:lang w:val="pt-BR"/>
        </w:rPr>
        <w:t>Geltl</w:t>
      </w:r>
      <w:r w:rsidR="004F01B8" w:rsidRPr="00A420DD">
        <w:rPr>
          <w:lang w:val="pt-BR"/>
        </w:rPr>
        <w:t xml:space="preserve"> </w:t>
      </w:r>
      <w:r w:rsidR="004F01B8" w:rsidRPr="00A420DD">
        <w:rPr>
          <w:i/>
          <w:lang w:val="pt-BR"/>
        </w:rPr>
        <w:t>v. Daimler</w:t>
      </w:r>
      <w:r w:rsidR="004F01B8" w:rsidRPr="00A420DD">
        <w:rPr>
          <w:lang w:val="pt-BR"/>
        </w:rPr>
        <w:t xml:space="preserve"> </w:t>
      </w:r>
      <w:r w:rsidR="004F01B8" w:rsidRPr="00A420DD">
        <w:rPr>
          <w:i/>
          <w:lang w:val="pt-BR"/>
        </w:rPr>
        <w:t>AG</w:t>
      </w:r>
      <w:r w:rsidRPr="00A420DD">
        <w:rPr>
          <w:lang w:val="pt-BR"/>
        </w:rPr>
        <w:t>, para. 50.</w:t>
      </w:r>
    </w:p>
  </w:footnote>
  <w:footnote w:id="170">
    <w:p w14:paraId="061BD5F1" w14:textId="2043A104" w:rsidR="00C30FA3" w:rsidRPr="00881EF0" w:rsidRDefault="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7(2) MAR.</w:t>
      </w:r>
    </w:p>
  </w:footnote>
  <w:footnote w:id="171">
    <w:p w14:paraId="0AA77781" w14:textId="49D0864E" w:rsidR="00C30FA3" w:rsidRPr="00881EF0" w:rsidRDefault="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7(2) MAR.</w:t>
      </w:r>
    </w:p>
  </w:footnote>
  <w:footnote w:id="172">
    <w:p w14:paraId="6E4F976C" w14:textId="7AC49522" w:rsidR="00C30FA3" w:rsidRPr="00881EF0" w:rsidRDefault="00C30FA3" w:rsidP="00C30FA3">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7(3) MAR.</w:t>
      </w:r>
    </w:p>
  </w:footnote>
  <w:footnote w:id="173">
    <w:p w14:paraId="350B2EBB" w14:textId="3286A375" w:rsidR="00C64E84" w:rsidRPr="00881EF0" w:rsidRDefault="00C64E84">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7(4) MAR.</w:t>
      </w:r>
    </w:p>
  </w:footnote>
  <w:footnote w:id="174">
    <w:p w14:paraId="35CF1BA3" w14:textId="71741A99" w:rsidR="00185F4C" w:rsidRPr="00A420DD" w:rsidRDefault="00185F4C">
      <w:pPr>
        <w:pStyle w:val="Funotentext"/>
        <w:rPr>
          <w:lang w:val="pt-BR"/>
        </w:rPr>
      </w:pPr>
      <w:r>
        <w:rPr>
          <w:rStyle w:val="Funotenzeichen"/>
        </w:rPr>
        <w:footnoteRef/>
      </w:r>
      <w:r w:rsidRPr="00A420DD">
        <w:rPr>
          <w:lang w:val="pt-BR"/>
        </w:rPr>
        <w:t xml:space="preserve"> </w:t>
      </w:r>
      <w:r w:rsidRPr="00A420DD">
        <w:rPr>
          <w:lang w:val="pt-BR"/>
        </w:rPr>
        <w:t xml:space="preserve">See Buck-Heeb, in: Assmann, </w:t>
      </w:r>
      <w:r w:rsidRPr="00A420DD">
        <w:rPr>
          <w:i/>
          <w:lang w:val="pt-BR"/>
        </w:rPr>
        <w:t>Handbuch Kapitalanlagerecht</w:t>
      </w:r>
      <w:r w:rsidRPr="00A420DD">
        <w:rPr>
          <w:lang w:val="pt-BR"/>
        </w:rPr>
        <w:t>, 6th ed. 2024, § 8 para. 125.</w:t>
      </w:r>
    </w:p>
  </w:footnote>
  <w:footnote w:id="175">
    <w:p w14:paraId="18B6DB83" w14:textId="48F894E5" w:rsidR="00F41112" w:rsidRPr="00881EF0" w:rsidRDefault="00F41112">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8(1) MAR.</w:t>
      </w:r>
    </w:p>
  </w:footnote>
  <w:footnote w:id="176">
    <w:p w14:paraId="63FF35FD" w14:textId="39DD223D" w:rsidR="00610BFB" w:rsidRPr="00503463" w:rsidRDefault="00610BF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8(4) MAR.</w:t>
      </w:r>
    </w:p>
  </w:footnote>
  <w:footnote w:id="177">
    <w:p w14:paraId="4F6155F5" w14:textId="45FBD836" w:rsidR="00610BFB" w:rsidRPr="00503463" w:rsidRDefault="00610BFB" w:rsidP="00610BF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8(4) MAR </w:t>
      </w:r>
      <w:r w:rsidRPr="00503463">
        <w:rPr>
          <w:i/>
          <w:lang w:val="fr-FR"/>
        </w:rPr>
        <w:t>in fine</w:t>
      </w:r>
      <w:r w:rsidRPr="00503463">
        <w:rPr>
          <w:lang w:val="fr-FR"/>
        </w:rPr>
        <w:t>.</w:t>
      </w:r>
    </w:p>
  </w:footnote>
  <w:footnote w:id="178">
    <w:p w14:paraId="38BC6952" w14:textId="19831ED9" w:rsidR="005C6ADE" w:rsidRPr="00A420DD" w:rsidRDefault="005C6ADE">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8(2) MAR.</w:t>
      </w:r>
    </w:p>
  </w:footnote>
  <w:footnote w:id="179">
    <w:p w14:paraId="40E29097" w14:textId="68B20593" w:rsidR="005C6ADE" w:rsidRPr="00A420DD" w:rsidRDefault="005C6ADE">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8(3) MAR.</w:t>
      </w:r>
    </w:p>
  </w:footnote>
  <w:footnote w:id="180">
    <w:p w14:paraId="3E541513" w14:textId="048CD8EF" w:rsidR="00C643D0" w:rsidRPr="00A420DD" w:rsidRDefault="00C643D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9(1) MAR.</w:t>
      </w:r>
    </w:p>
  </w:footnote>
  <w:footnote w:id="181">
    <w:p w14:paraId="7FA1C757" w14:textId="679CCDC7" w:rsidR="00C643D0" w:rsidRPr="00A420DD" w:rsidRDefault="00C643D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9(3) MAR.</w:t>
      </w:r>
    </w:p>
  </w:footnote>
  <w:footnote w:id="182">
    <w:p w14:paraId="416DA95F" w14:textId="6275F9A8" w:rsidR="00C643D0" w:rsidRPr="00A420DD" w:rsidRDefault="00C643D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9(4) MAR.</w:t>
      </w:r>
    </w:p>
  </w:footnote>
  <w:footnote w:id="183">
    <w:p w14:paraId="6F7EDB15" w14:textId="4CEA5994" w:rsidR="007F0498" w:rsidRPr="00A420DD" w:rsidRDefault="007F0498">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9(6) MAR.</w:t>
      </w:r>
    </w:p>
  </w:footnote>
  <w:footnote w:id="184">
    <w:p w14:paraId="4ED7B8E5" w14:textId="7851BB57" w:rsidR="00F71821" w:rsidRPr="00A420DD" w:rsidRDefault="00F71821">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14(c) MAR.</w:t>
      </w:r>
    </w:p>
  </w:footnote>
  <w:footnote w:id="185">
    <w:p w14:paraId="08672F01" w14:textId="23EFFD6F" w:rsidR="00ED3943" w:rsidRPr="00A420DD" w:rsidRDefault="00ED3943">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10(1) MAR.</w:t>
      </w:r>
    </w:p>
  </w:footnote>
  <w:footnote w:id="186">
    <w:p w14:paraId="07109A77" w14:textId="78D302B1" w:rsidR="005C05C0" w:rsidRPr="00A420DD" w:rsidRDefault="005C05C0">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10(2) MAR.</w:t>
      </w:r>
    </w:p>
  </w:footnote>
  <w:footnote w:id="187">
    <w:p w14:paraId="5889F521" w14:textId="797832C3" w:rsidR="003D4F08" w:rsidRPr="00A420DD" w:rsidRDefault="003D4F08">
      <w:pPr>
        <w:pStyle w:val="Funotentext"/>
        <w:rPr>
          <w:lang w:val="fr-FR"/>
        </w:rPr>
      </w:pPr>
      <w:r w:rsidRPr="00BF5E97">
        <w:rPr>
          <w:rStyle w:val="Funotenzeichen"/>
        </w:rPr>
        <w:footnoteRef/>
      </w:r>
      <w:r w:rsidRPr="00A420DD">
        <w:rPr>
          <w:lang w:val="fr-FR"/>
        </w:rPr>
        <w:t xml:space="preserve"> </w:t>
      </w:r>
      <w:r w:rsidR="001870C0" w:rsidRPr="00A420DD">
        <w:rPr>
          <w:lang w:val="fr-FR"/>
        </w:rPr>
        <w:t>Article </w:t>
      </w:r>
      <w:r w:rsidRPr="00A420DD">
        <w:rPr>
          <w:lang w:val="fr-FR"/>
        </w:rPr>
        <w:t>21 MAR.</w:t>
      </w:r>
    </w:p>
  </w:footnote>
  <w:footnote w:id="188">
    <w:p w14:paraId="62D01F84" w14:textId="29AE3CF4" w:rsidR="003D4F08" w:rsidRPr="00881EF0" w:rsidRDefault="003D4F08">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12(1)(c) MAR.</w:t>
      </w:r>
    </w:p>
  </w:footnote>
  <w:footnote w:id="189">
    <w:p w14:paraId="3F7483CD" w14:textId="6DB7AE97" w:rsidR="001F7D19" w:rsidRPr="00A420DD" w:rsidRDefault="001F7D19">
      <w:pPr>
        <w:pStyle w:val="Funotentext"/>
        <w:rPr>
          <w:lang w:val="pt-BR"/>
        </w:rPr>
      </w:pPr>
      <w:r w:rsidRPr="00BF5E97">
        <w:rPr>
          <w:rStyle w:val="Funotenzeichen"/>
        </w:rPr>
        <w:footnoteRef/>
      </w:r>
      <w:r w:rsidRPr="00A420DD">
        <w:rPr>
          <w:lang w:val="pt-BR"/>
        </w:rPr>
        <w:t xml:space="preserve"> </w:t>
      </w:r>
      <w:r w:rsidR="001870C0" w:rsidRPr="00A420DD">
        <w:rPr>
          <w:lang w:val="pt-BR"/>
        </w:rPr>
        <w:t>Article </w:t>
      </w:r>
      <w:r w:rsidRPr="00A420DD">
        <w:rPr>
          <w:lang w:val="pt-BR"/>
        </w:rPr>
        <w:t>21(a), (b) MAR.</w:t>
      </w:r>
    </w:p>
  </w:footnote>
  <w:footnote w:id="190">
    <w:p w14:paraId="23B01976" w14:textId="26EC5BC4" w:rsidR="00056470" w:rsidRPr="00BF5E97" w:rsidRDefault="00056470">
      <w:pPr>
        <w:pStyle w:val="Funotentext"/>
      </w:pPr>
      <w:r w:rsidRPr="00BF5E97">
        <w:rPr>
          <w:rStyle w:val="Funotenzeichen"/>
        </w:rPr>
        <w:footnoteRef/>
      </w:r>
      <w:r w:rsidRPr="00BF5E97">
        <w:t xml:space="preserve"> </w:t>
      </w:r>
      <w:r w:rsidR="003B3B54" w:rsidRPr="00BF5E97">
        <w:t>The MAR also covers other instruments that are outside the scope of capital markets</w:t>
      </w:r>
      <w:r w:rsidR="005039DE" w:rsidRPr="00BF5E97">
        <w:t>:</w:t>
      </w:r>
      <w:r w:rsidR="003B3B54" w:rsidRPr="00BF5E97">
        <w:t xml:space="preserve"> e.g., </w:t>
      </w:r>
      <w:r w:rsidR="001870C0" w:rsidRPr="00BF5E97">
        <w:t>article </w:t>
      </w:r>
      <w:r w:rsidR="003B3B54" w:rsidRPr="00BF5E97">
        <w:t xml:space="preserve">12(1) MAR also applies to </w:t>
      </w:r>
      <w:r w:rsidRPr="00BF5E97">
        <w:t xml:space="preserve">commodity contracts </w:t>
      </w:r>
      <w:r w:rsidR="003B3B54" w:rsidRPr="00BF5E97">
        <w:t xml:space="preserve">and </w:t>
      </w:r>
      <w:r w:rsidRPr="00BF5E97">
        <w:t>emission allowance products.</w:t>
      </w:r>
    </w:p>
  </w:footnote>
  <w:footnote w:id="191">
    <w:p w14:paraId="63863DAB" w14:textId="723153F7" w:rsidR="000F0631" w:rsidRPr="00831963" w:rsidRDefault="000F0631">
      <w:pPr>
        <w:pStyle w:val="Funotentext"/>
      </w:pPr>
      <w:r>
        <w:rPr>
          <w:rStyle w:val="Funotenzeichen"/>
        </w:rPr>
        <w:footnoteRef/>
      </w:r>
      <w:r>
        <w:t xml:space="preserve"> A</w:t>
      </w:r>
      <w:r w:rsidRPr="002121A4">
        <w:t>rticle 12(3) MAR</w:t>
      </w:r>
    </w:p>
  </w:footnote>
  <w:footnote w:id="192">
    <w:p w14:paraId="3E307B53" w14:textId="0B31FD69" w:rsidR="00593B93" w:rsidRPr="00BF5E97" w:rsidRDefault="00593B93">
      <w:pPr>
        <w:pStyle w:val="Funotentext"/>
      </w:pPr>
      <w:r w:rsidRPr="00BF5E97">
        <w:rPr>
          <w:rStyle w:val="Funotenzeichen"/>
        </w:rPr>
        <w:footnoteRef/>
      </w:r>
      <w:r w:rsidRPr="00BF5E97">
        <w:t xml:space="preserve"> </w:t>
      </w:r>
      <w:r w:rsidR="001870C0" w:rsidRPr="00BF5E97">
        <w:t>Articles </w:t>
      </w:r>
      <w:r w:rsidRPr="00BF5E97">
        <w:t>17(1)(2), 18(7), 19(4) MAR.</w:t>
      </w:r>
    </w:p>
  </w:footnote>
  <w:footnote w:id="193">
    <w:p w14:paraId="47214B35" w14:textId="2EB2414B" w:rsidR="006159F5" w:rsidRPr="00BF5E97" w:rsidRDefault="006159F5">
      <w:pPr>
        <w:pStyle w:val="Funotentext"/>
      </w:pPr>
      <w:r w:rsidRPr="00BF5E97">
        <w:rPr>
          <w:rStyle w:val="Funotenzeichen"/>
        </w:rPr>
        <w:footnoteRef/>
      </w:r>
      <w:r w:rsidRPr="00BF5E97">
        <w:t xml:space="preserve"> A similar obligation exists under </w:t>
      </w:r>
      <w:r w:rsidR="001870C0" w:rsidRPr="00BF5E97">
        <w:t>article </w:t>
      </w:r>
      <w:r w:rsidRPr="00BF5E97">
        <w:t xml:space="preserve">17(2) </w:t>
      </w:r>
      <w:r w:rsidR="00005C85" w:rsidRPr="00BF5E97">
        <w:t xml:space="preserve">MAR </w:t>
      </w:r>
      <w:r w:rsidRPr="00BF5E97">
        <w:t>for emission allowance market participants.</w:t>
      </w:r>
    </w:p>
  </w:footnote>
  <w:footnote w:id="194">
    <w:p w14:paraId="596C95E4" w14:textId="74D1E457" w:rsidR="00EF0A00" w:rsidRPr="00BF5E97" w:rsidRDefault="00EF0A00">
      <w:pPr>
        <w:pStyle w:val="Funotentext"/>
      </w:pPr>
      <w:r w:rsidRPr="00BF5E97">
        <w:rPr>
          <w:rStyle w:val="Funotenzeichen"/>
        </w:rPr>
        <w:footnoteRef/>
      </w:r>
      <w:r w:rsidRPr="00BF5E97">
        <w:t xml:space="preserve"> See </w:t>
      </w:r>
      <w:hyperlink r:id="rId9" w:history="1">
        <w:r w:rsidRPr="00BF5E97">
          <w:rPr>
            <w:rStyle w:val="Hyperlink"/>
          </w:rPr>
          <w:t>https://www.esma.europa.eu/sites/default/files/library/2015/11/06_562b.pdf</w:t>
        </w:r>
      </w:hyperlink>
      <w:r w:rsidRPr="00BF5E97">
        <w:t xml:space="preserve">. </w:t>
      </w:r>
    </w:p>
  </w:footnote>
  <w:footnote w:id="195">
    <w:p w14:paraId="050C0A8A" w14:textId="1608C80A" w:rsidR="00EF0A00" w:rsidRPr="00503463" w:rsidRDefault="00EF0A00">
      <w:pPr>
        <w:pStyle w:val="Funotentext"/>
      </w:pPr>
      <w:r w:rsidRPr="00BF5E97">
        <w:rPr>
          <w:rStyle w:val="Funotenzeichen"/>
        </w:rPr>
        <w:footnoteRef/>
      </w:r>
      <w:r w:rsidRPr="00503463">
        <w:t xml:space="preserve"> E.g., BaFin, </w:t>
      </w:r>
      <w:r w:rsidRPr="00503463">
        <w:rPr>
          <w:i/>
        </w:rPr>
        <w:t>Emittentenleitfaden Modul C</w:t>
      </w:r>
      <w:r w:rsidRPr="00503463">
        <w:t xml:space="preserve">, </w:t>
      </w:r>
      <w:r w:rsidR="00892E5F" w:rsidRPr="00503463">
        <w:t xml:space="preserve">2020, </w:t>
      </w:r>
      <w:r w:rsidRPr="00503463">
        <w:t>p. 33 fn. 52.</w:t>
      </w:r>
    </w:p>
  </w:footnote>
  <w:footnote w:id="196">
    <w:p w14:paraId="763BE259" w14:textId="00D6A533" w:rsidR="006A3EB1" w:rsidRPr="00BF5E97" w:rsidRDefault="006A3EB1">
      <w:pPr>
        <w:pStyle w:val="Funotentext"/>
      </w:pPr>
      <w:r w:rsidRPr="00BF5E97">
        <w:rPr>
          <w:rStyle w:val="Funotenzeichen"/>
        </w:rPr>
        <w:footnoteRef/>
      </w:r>
      <w:r w:rsidRPr="00BF5E97">
        <w:t xml:space="preserve"> See fn. </w:t>
      </w:r>
      <w:r w:rsidRPr="00BF5E97">
        <w:fldChar w:fldCharType="begin"/>
      </w:r>
      <w:r w:rsidRPr="00BF5E97">
        <w:instrText xml:space="preserve"> NOTEREF _Ref130850270 \h </w:instrText>
      </w:r>
      <w:r w:rsidRPr="00BF5E97">
        <w:fldChar w:fldCharType="separate"/>
      </w:r>
      <w:r w:rsidR="00D56145">
        <w:t>194</w:t>
      </w:r>
      <w:r w:rsidRPr="00BF5E97">
        <w:fldChar w:fldCharType="end"/>
      </w:r>
      <w:r w:rsidRPr="00BF5E97">
        <w:t xml:space="preserve"> above.</w:t>
      </w:r>
    </w:p>
  </w:footnote>
  <w:footnote w:id="197">
    <w:p w14:paraId="10D16FE4" w14:textId="2ABF1F5C" w:rsidR="008E2E5E" w:rsidRPr="00BF5E97" w:rsidRDefault="008E2E5E">
      <w:pPr>
        <w:pStyle w:val="Funotentext"/>
      </w:pPr>
      <w:r w:rsidRPr="00BF5E97">
        <w:rPr>
          <w:rStyle w:val="Funotenzeichen"/>
        </w:rPr>
        <w:footnoteRef/>
      </w:r>
      <w:r w:rsidRPr="00BF5E97">
        <w:t xml:space="preserve"> Article 7 MAR includes</w:t>
      </w:r>
      <w:r w:rsidR="00E73B29" w:rsidRPr="00BF5E97">
        <w:t xml:space="preserve"> in the definition of inside </w:t>
      </w:r>
      <w:r w:rsidRPr="00BF5E97">
        <w:t xml:space="preserve">information </w:t>
      </w:r>
      <w:r w:rsidR="00E73B29" w:rsidRPr="00BF5E97">
        <w:t xml:space="preserve">cases </w:t>
      </w:r>
      <w:r w:rsidRPr="00BF5E97">
        <w:t>that concern an issuer only “indirectly”.</w:t>
      </w:r>
    </w:p>
  </w:footnote>
  <w:footnote w:id="198">
    <w:p w14:paraId="1B0A0C56" w14:textId="53E7885F" w:rsidR="00A75B6A" w:rsidRPr="00BF5E97" w:rsidRDefault="00A75B6A">
      <w:pPr>
        <w:pStyle w:val="Funotentext"/>
      </w:pPr>
      <w:r w:rsidRPr="00BF5E97">
        <w:rPr>
          <w:rStyle w:val="Funotenzeichen"/>
        </w:rPr>
        <w:footnoteRef/>
      </w:r>
      <w:r w:rsidRPr="00BF5E97">
        <w:t xml:space="preserve"> </w:t>
      </w:r>
      <w:r w:rsidR="001870C0" w:rsidRPr="00BF5E97">
        <w:t>Article </w:t>
      </w:r>
      <w:r w:rsidRPr="00BF5E97">
        <w:t>2(1)(a) Regulation 2016/1055.</w:t>
      </w:r>
    </w:p>
  </w:footnote>
  <w:footnote w:id="199">
    <w:p w14:paraId="231CF9A1" w14:textId="40AC3CC6" w:rsidR="0037673A" w:rsidRPr="00BF5E97" w:rsidRDefault="0037673A" w:rsidP="0037673A">
      <w:pPr>
        <w:pStyle w:val="Funotentext"/>
      </w:pPr>
      <w:r w:rsidRPr="00BF5E97">
        <w:rPr>
          <w:rStyle w:val="Funotenzeichen"/>
        </w:rPr>
        <w:footnoteRef/>
      </w:r>
      <w:r w:rsidRPr="00BF5E97">
        <w:t xml:space="preserve"> </w:t>
      </w:r>
      <w:r w:rsidR="001870C0" w:rsidRPr="00BF5E97">
        <w:t>Article </w:t>
      </w:r>
      <w:r w:rsidRPr="00BF5E97">
        <w:t>2(1)(b) Regulation 2016/1055.</w:t>
      </w:r>
    </w:p>
  </w:footnote>
  <w:footnote w:id="200">
    <w:p w14:paraId="74ECA5BB" w14:textId="7CB9860C" w:rsidR="0037673A" w:rsidRPr="00BF5E97" w:rsidRDefault="0037673A" w:rsidP="0037673A">
      <w:pPr>
        <w:pStyle w:val="Funotentext"/>
      </w:pPr>
      <w:r w:rsidRPr="00BF5E97">
        <w:rPr>
          <w:rStyle w:val="Funotenzeichen"/>
        </w:rPr>
        <w:footnoteRef/>
      </w:r>
      <w:r w:rsidRPr="00BF5E97">
        <w:t xml:space="preserve"> </w:t>
      </w:r>
      <w:r w:rsidR="001870C0" w:rsidRPr="00BF5E97">
        <w:t>Article </w:t>
      </w:r>
      <w:r w:rsidRPr="00BF5E97">
        <w:t>2(1)(b) Regulation 2016/1055.</w:t>
      </w:r>
    </w:p>
  </w:footnote>
  <w:footnote w:id="201">
    <w:p w14:paraId="415DEFD2" w14:textId="7E7759AE" w:rsidR="008A7857" w:rsidRPr="00BF5E97" w:rsidRDefault="008A7857">
      <w:pPr>
        <w:pStyle w:val="Funotentext"/>
      </w:pPr>
      <w:r w:rsidRPr="00BF5E97">
        <w:rPr>
          <w:rStyle w:val="Funotenzeichen"/>
        </w:rPr>
        <w:footnoteRef/>
      </w:r>
      <w:r w:rsidRPr="00BF5E97">
        <w:t xml:space="preserve"> </w:t>
      </w:r>
      <w:r w:rsidR="001870C0" w:rsidRPr="00BF5E97">
        <w:t>Article </w:t>
      </w:r>
      <w:r w:rsidRPr="00BF5E97">
        <w:t>3(a), (b) Regulation 2016/1055.</w:t>
      </w:r>
    </w:p>
  </w:footnote>
  <w:footnote w:id="202">
    <w:p w14:paraId="0B313050" w14:textId="151FF588" w:rsidR="008A7857" w:rsidRPr="00BF5E97" w:rsidRDefault="008A7857">
      <w:pPr>
        <w:pStyle w:val="Funotentext"/>
      </w:pPr>
      <w:r w:rsidRPr="00BF5E97">
        <w:rPr>
          <w:rStyle w:val="Funotenzeichen"/>
        </w:rPr>
        <w:footnoteRef/>
      </w:r>
      <w:r w:rsidRPr="00BF5E97">
        <w:t xml:space="preserve"> </w:t>
      </w:r>
      <w:r w:rsidR="001870C0" w:rsidRPr="00BF5E97">
        <w:t>Article </w:t>
      </w:r>
      <w:r w:rsidRPr="00BF5E97">
        <w:t>3(c) Regulation 2016/1055.</w:t>
      </w:r>
    </w:p>
  </w:footnote>
  <w:footnote w:id="203">
    <w:p w14:paraId="0D37EDDA" w14:textId="1CD0486B" w:rsidR="00DF3E4C" w:rsidRPr="00BF5E97" w:rsidRDefault="00DF3E4C" w:rsidP="00DF3E4C">
      <w:pPr>
        <w:pStyle w:val="Funotentext"/>
        <w:jc w:val="left"/>
      </w:pPr>
      <w:r w:rsidRPr="00BF5E97">
        <w:rPr>
          <w:rStyle w:val="Funotenzeichen"/>
        </w:rPr>
        <w:footnoteRef/>
      </w:r>
      <w:r w:rsidRPr="00BF5E97">
        <w:t xml:space="preserve"> ESMA, </w:t>
      </w:r>
      <w:r w:rsidRPr="00BF5E97">
        <w:rPr>
          <w:i/>
        </w:rPr>
        <w:t>MAR Guidelines</w:t>
      </w:r>
      <w:r w:rsidRPr="00BF5E97">
        <w:t xml:space="preserve">, 2016, available online at: </w:t>
      </w:r>
      <w:hyperlink r:id="rId10" w:history="1">
        <w:r w:rsidRPr="00BF5E97">
          <w:rPr>
            <w:rStyle w:val="Hyperlink"/>
          </w:rPr>
          <w:t>https://www.esma.europa.eu/sites/default/files/library/2016-1478_mar_guidelines_-_legitimate_interests.pdf</w:t>
        </w:r>
      </w:hyperlink>
      <w:r w:rsidRPr="00BF5E97">
        <w:t xml:space="preserve">. </w:t>
      </w:r>
    </w:p>
  </w:footnote>
  <w:footnote w:id="204">
    <w:p w14:paraId="4FFEB1B7" w14:textId="5B7ECA1B" w:rsidR="002D6D0A" w:rsidRPr="00BF5E97" w:rsidRDefault="002D6D0A">
      <w:pPr>
        <w:pStyle w:val="Funotentext"/>
      </w:pPr>
      <w:r w:rsidRPr="00BF5E97">
        <w:rPr>
          <w:rStyle w:val="Funotenzeichen"/>
        </w:rPr>
        <w:footnoteRef/>
      </w:r>
      <w:r w:rsidRPr="00BF5E97">
        <w:t xml:space="preserve"> </w:t>
      </w:r>
      <w:r w:rsidR="001870C0" w:rsidRPr="00BF5E97">
        <w:t>Article </w:t>
      </w:r>
      <w:r w:rsidRPr="00BF5E97">
        <w:t>17(4)(2) MAR.</w:t>
      </w:r>
    </w:p>
  </w:footnote>
  <w:footnote w:id="205">
    <w:p w14:paraId="1C060631" w14:textId="1934E5A5" w:rsidR="00A7526F" w:rsidRPr="00BF5E97" w:rsidRDefault="00A7526F">
      <w:pPr>
        <w:pStyle w:val="Funotentext"/>
      </w:pPr>
      <w:r w:rsidRPr="00BF5E97">
        <w:rPr>
          <w:rStyle w:val="Funotenzeichen"/>
        </w:rPr>
        <w:footnoteRef/>
      </w:r>
      <w:r w:rsidRPr="00BF5E97">
        <w:t xml:space="preserve"> </w:t>
      </w:r>
      <w:r w:rsidR="001870C0" w:rsidRPr="00BF5E97">
        <w:t>Article </w:t>
      </w:r>
      <w:r w:rsidRPr="00BF5E97">
        <w:t>17(4)(3) MAR</w:t>
      </w:r>
      <w:r w:rsidR="003029FD" w:rsidRPr="00BF5E97">
        <w:t xml:space="preserve"> (which allows Member States to provide that issuers have to give such information only on request)</w:t>
      </w:r>
      <w:r w:rsidRPr="00BF5E97">
        <w:t>.</w:t>
      </w:r>
    </w:p>
  </w:footnote>
  <w:footnote w:id="206">
    <w:p w14:paraId="4FF4EC26" w14:textId="398D5442" w:rsidR="002835D6" w:rsidRPr="00BF5E97" w:rsidRDefault="002835D6">
      <w:pPr>
        <w:pStyle w:val="Funotentext"/>
      </w:pPr>
      <w:r w:rsidRPr="00BF5E97">
        <w:rPr>
          <w:rStyle w:val="Funotenzeichen"/>
        </w:rPr>
        <w:footnoteRef/>
      </w:r>
      <w:r w:rsidRPr="00BF5E97">
        <w:t xml:space="preserve"> </w:t>
      </w:r>
      <w:r w:rsidR="001870C0" w:rsidRPr="00BF5E97">
        <w:t>Article </w:t>
      </w:r>
      <w:r w:rsidRPr="00BF5E97">
        <w:t xml:space="preserve">6(1)(a) </w:t>
      </w:r>
      <w:r w:rsidR="002E5DD2" w:rsidRPr="00BF5E97">
        <w:t>Commission Delegated Regulation 2016/522</w:t>
      </w:r>
      <w:r w:rsidRPr="00BF5E97">
        <w:t>.</w:t>
      </w:r>
    </w:p>
  </w:footnote>
  <w:footnote w:id="207">
    <w:p w14:paraId="702C21C2" w14:textId="77777777" w:rsidR="00FC6DD6" w:rsidRPr="00744673" w:rsidRDefault="00FC6DD6" w:rsidP="00FC6DD6">
      <w:pPr>
        <w:pStyle w:val="Funotentext"/>
      </w:pPr>
      <w:r>
        <w:rPr>
          <w:rStyle w:val="Funotenzeichen"/>
        </w:rPr>
        <w:footnoteRef/>
      </w:r>
      <w:r w:rsidRPr="00744673">
        <w:t xml:space="preserve"> Future version of article 17(1) MAR.</w:t>
      </w:r>
    </w:p>
  </w:footnote>
  <w:footnote w:id="208">
    <w:p w14:paraId="681814C6" w14:textId="77777777" w:rsidR="00FC6DD6" w:rsidRPr="00744673" w:rsidRDefault="00FC6DD6" w:rsidP="00FC6DD6">
      <w:pPr>
        <w:pStyle w:val="Funotentext"/>
      </w:pPr>
      <w:r>
        <w:rPr>
          <w:rStyle w:val="Funotenzeichen"/>
        </w:rPr>
        <w:footnoteRef/>
      </w:r>
      <w:r w:rsidRPr="00744673">
        <w:t xml:space="preserve"> Future version of article 17(4b) MAR.</w:t>
      </w:r>
    </w:p>
  </w:footnote>
  <w:footnote w:id="209">
    <w:p w14:paraId="7EE1E617" w14:textId="77777777" w:rsidR="00FC6DD6" w:rsidRPr="00744673" w:rsidRDefault="00FC6DD6" w:rsidP="00FC6DD6">
      <w:pPr>
        <w:pStyle w:val="Funotentext"/>
      </w:pPr>
      <w:r>
        <w:rPr>
          <w:rStyle w:val="Funotenzeichen"/>
        </w:rPr>
        <w:footnoteRef/>
      </w:r>
      <w:r w:rsidRPr="00744673">
        <w:t xml:space="preserve"> Future version of article 17(7) MAR.</w:t>
      </w:r>
    </w:p>
  </w:footnote>
  <w:footnote w:id="210">
    <w:p w14:paraId="3B44EB5B" w14:textId="77777777" w:rsidR="00FC6DD6" w:rsidRPr="00744673" w:rsidRDefault="00FC6DD6" w:rsidP="00FC6DD6">
      <w:pPr>
        <w:pStyle w:val="Funotentext"/>
      </w:pPr>
      <w:r>
        <w:rPr>
          <w:rStyle w:val="Funotenzeichen"/>
        </w:rPr>
        <w:footnoteRef/>
      </w:r>
      <w:r w:rsidRPr="00744673">
        <w:t xml:space="preserve"> Future version of article 17(12) MAR.</w:t>
      </w:r>
    </w:p>
  </w:footnote>
  <w:footnote w:id="211">
    <w:p w14:paraId="714DF015" w14:textId="0438AEF5" w:rsidR="005C2701" w:rsidRPr="00503463" w:rsidRDefault="005C2701">
      <w:pPr>
        <w:pStyle w:val="Funotentext"/>
      </w:pPr>
      <w:r w:rsidRPr="00BF5E97">
        <w:rPr>
          <w:rStyle w:val="Funotenzeichen"/>
        </w:rPr>
        <w:footnoteRef/>
      </w:r>
      <w:r w:rsidRPr="00503463">
        <w:t xml:space="preserve"> </w:t>
      </w:r>
      <w:r w:rsidR="001870C0" w:rsidRPr="00503463">
        <w:t>Article </w:t>
      </w:r>
      <w:r w:rsidRPr="00503463">
        <w:t>18(1) MAR.</w:t>
      </w:r>
    </w:p>
  </w:footnote>
  <w:footnote w:id="212">
    <w:p w14:paraId="7AB7EFD1" w14:textId="4C46E60C" w:rsidR="00E21914" w:rsidRPr="00503463" w:rsidRDefault="00E21914">
      <w:pPr>
        <w:pStyle w:val="Funotentext"/>
      </w:pPr>
      <w:r w:rsidRPr="00BF5E97">
        <w:rPr>
          <w:rStyle w:val="Funotenzeichen"/>
        </w:rPr>
        <w:footnoteRef/>
      </w:r>
      <w:r w:rsidRPr="00503463">
        <w:t xml:space="preserve"> </w:t>
      </w:r>
      <w:r w:rsidR="001870C0" w:rsidRPr="00503463">
        <w:t>Article </w:t>
      </w:r>
      <w:r w:rsidRPr="00503463">
        <w:t>18(3) MAR.</w:t>
      </w:r>
    </w:p>
  </w:footnote>
  <w:footnote w:id="213">
    <w:p w14:paraId="2B7A6D2E" w14:textId="6FDFAD14" w:rsidR="00E21914" w:rsidRPr="00503463" w:rsidRDefault="00E21914">
      <w:pPr>
        <w:pStyle w:val="Funotentext"/>
      </w:pPr>
      <w:r w:rsidRPr="00BF5E97">
        <w:rPr>
          <w:rStyle w:val="Funotenzeichen"/>
        </w:rPr>
        <w:footnoteRef/>
      </w:r>
      <w:r w:rsidRPr="00503463">
        <w:t xml:space="preserve"> </w:t>
      </w:r>
      <w:r w:rsidR="001870C0" w:rsidRPr="00503463">
        <w:t>Article </w:t>
      </w:r>
      <w:r w:rsidRPr="00503463">
        <w:t>18(4) MAR.</w:t>
      </w:r>
    </w:p>
  </w:footnote>
  <w:footnote w:id="214">
    <w:p w14:paraId="26C60CA8" w14:textId="5A3D5B11" w:rsidR="00E21914" w:rsidRPr="00EF6BE0" w:rsidRDefault="00E21914">
      <w:pPr>
        <w:pStyle w:val="Funotentext"/>
      </w:pPr>
      <w:r w:rsidRPr="00BF5E97">
        <w:rPr>
          <w:rStyle w:val="Funotenzeichen"/>
        </w:rPr>
        <w:footnoteRef/>
      </w:r>
      <w:r w:rsidRPr="00EF6BE0">
        <w:t xml:space="preserve"> </w:t>
      </w:r>
      <w:r w:rsidR="001870C0" w:rsidRPr="00EF6BE0">
        <w:t>Article </w:t>
      </w:r>
      <w:r w:rsidRPr="00EF6BE0">
        <w:t>18(5) MAR.</w:t>
      </w:r>
    </w:p>
  </w:footnote>
  <w:footnote w:id="215">
    <w:p w14:paraId="604D977D" w14:textId="4566DDA4" w:rsidR="00510472" w:rsidRPr="00BF5E97" w:rsidRDefault="00510472">
      <w:pPr>
        <w:pStyle w:val="Funotentext"/>
      </w:pPr>
      <w:r w:rsidRPr="00BF5E97">
        <w:rPr>
          <w:rStyle w:val="Funotenzeichen"/>
        </w:rPr>
        <w:footnoteRef/>
      </w:r>
      <w:r w:rsidRPr="00BF5E97">
        <w:t xml:space="preserve"> </w:t>
      </w:r>
      <w:r w:rsidR="001870C0" w:rsidRPr="00BF5E97">
        <w:t>Article </w:t>
      </w:r>
      <w:r w:rsidRPr="00BF5E97">
        <w:t>19(1)(2) MAR.</w:t>
      </w:r>
    </w:p>
  </w:footnote>
  <w:footnote w:id="216">
    <w:p w14:paraId="36144CDC" w14:textId="21ACF25A" w:rsidR="0033492A" w:rsidRPr="00BF5E97" w:rsidRDefault="0033492A">
      <w:pPr>
        <w:pStyle w:val="Funotentext"/>
      </w:pPr>
      <w:r w:rsidRPr="00BF5E97">
        <w:rPr>
          <w:rStyle w:val="Funotenzeichen"/>
        </w:rPr>
        <w:footnoteRef/>
      </w:r>
      <w:r w:rsidRPr="00BF5E97">
        <w:t xml:space="preserve"> The threshold can be </w:t>
      </w:r>
      <w:r w:rsidR="00157A20">
        <w:t xml:space="preserve">lowered to 10,000 or </w:t>
      </w:r>
      <w:r w:rsidRPr="00BF5E97">
        <w:t xml:space="preserve">increased to </w:t>
      </w:r>
      <w:r w:rsidR="00157A20">
        <w:t>5</w:t>
      </w:r>
      <w:r w:rsidRPr="00BF5E97">
        <w:t>0,000 euros by the competent authority.</w:t>
      </w:r>
    </w:p>
  </w:footnote>
  <w:footnote w:id="217">
    <w:p w14:paraId="725DBA9E" w14:textId="57967B21" w:rsidR="00604A6F" w:rsidRPr="00881EF0" w:rsidRDefault="00604A6F" w:rsidP="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30(2)(a) MAR.</w:t>
      </w:r>
    </w:p>
  </w:footnote>
  <w:footnote w:id="218">
    <w:p w14:paraId="5308B84A" w14:textId="38841FA3" w:rsidR="00604A6F" w:rsidRPr="00881EF0" w:rsidRDefault="00604A6F" w:rsidP="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30(2)(b) MAR.</w:t>
      </w:r>
    </w:p>
  </w:footnote>
  <w:footnote w:id="219">
    <w:p w14:paraId="659A6DCB" w14:textId="08B52FF0" w:rsidR="00604A6F" w:rsidRPr="00881EF0" w:rsidRDefault="00604A6F" w:rsidP="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30(2)(d) MAR.</w:t>
      </w:r>
    </w:p>
  </w:footnote>
  <w:footnote w:id="220">
    <w:p w14:paraId="099785E6" w14:textId="6135A6B8" w:rsidR="00604A6F" w:rsidRPr="00881EF0" w:rsidRDefault="00604A6F">
      <w:pPr>
        <w:pStyle w:val="Funotentext"/>
        <w:rPr>
          <w:lang w:val="pt-BR"/>
        </w:rPr>
      </w:pPr>
      <w:r w:rsidRPr="00BF5E97">
        <w:rPr>
          <w:rStyle w:val="Funotenzeichen"/>
        </w:rPr>
        <w:footnoteRef/>
      </w:r>
      <w:r w:rsidRPr="00881EF0">
        <w:rPr>
          <w:lang w:val="pt-BR"/>
        </w:rPr>
        <w:t xml:space="preserve"> </w:t>
      </w:r>
      <w:r w:rsidR="001870C0" w:rsidRPr="00881EF0">
        <w:rPr>
          <w:lang w:val="pt-BR"/>
        </w:rPr>
        <w:t>Article </w:t>
      </w:r>
      <w:r w:rsidRPr="00881EF0">
        <w:rPr>
          <w:lang w:val="pt-BR"/>
        </w:rPr>
        <w:t>30(2)(i), (j) MAR.</w:t>
      </w:r>
    </w:p>
  </w:footnote>
  <w:footnote w:id="221">
    <w:p w14:paraId="03B8DD1C" w14:textId="2B1AEF46" w:rsidR="00840539" w:rsidRPr="00BF5E97" w:rsidRDefault="00840539">
      <w:pPr>
        <w:pStyle w:val="Funotentext"/>
      </w:pPr>
      <w:r w:rsidRPr="00BF5E97">
        <w:rPr>
          <w:rStyle w:val="Funotenzeichen"/>
        </w:rPr>
        <w:footnoteRef/>
      </w:r>
      <w:r w:rsidRPr="00BF5E97">
        <w:t xml:space="preserve"> § 1</w:t>
      </w:r>
      <w:r w:rsidR="009D1ADC" w:rsidRPr="00BF5E97">
        <w:t>20</w:t>
      </w:r>
      <w:r w:rsidRPr="00BF5E97">
        <w:t xml:space="preserve">(15) no. 2 </w:t>
      </w:r>
      <w:r w:rsidRPr="00BF5E97">
        <w:t>WpHG.</w:t>
      </w:r>
      <w:r w:rsidR="009D1ADC" w:rsidRPr="00BF5E97">
        <w:t xml:space="preserve"> § 25, § 120(2) no. 3 WpHG extends the scope of market manipulation to goods and foreign instruments for payment. </w:t>
      </w:r>
    </w:p>
  </w:footnote>
  <w:footnote w:id="222">
    <w:p w14:paraId="360820D3" w14:textId="3FDC7735" w:rsidR="00840539" w:rsidRPr="00BF5E97" w:rsidRDefault="00840539">
      <w:pPr>
        <w:pStyle w:val="Funotentext"/>
      </w:pPr>
      <w:r w:rsidRPr="00BF5E97">
        <w:rPr>
          <w:rStyle w:val="Funotenzeichen"/>
        </w:rPr>
        <w:footnoteRef/>
      </w:r>
      <w:r w:rsidRPr="00BF5E97">
        <w:t xml:space="preserve"> § 1</w:t>
      </w:r>
      <w:r w:rsidR="009D1ADC" w:rsidRPr="00BF5E97">
        <w:t>20</w:t>
      </w:r>
      <w:r w:rsidRPr="00BF5E97">
        <w:t xml:space="preserve">(15) </w:t>
      </w:r>
      <w:r w:rsidRPr="00BF5E97">
        <w:t>nos 6–23.</w:t>
      </w:r>
    </w:p>
  </w:footnote>
  <w:footnote w:id="223">
    <w:p w14:paraId="3CE418EC" w14:textId="77777777" w:rsidR="00096F6D" w:rsidRPr="00BF5E97" w:rsidRDefault="00096F6D" w:rsidP="00096F6D">
      <w:pPr>
        <w:pStyle w:val="Funotentext"/>
      </w:pPr>
      <w:r w:rsidRPr="00BF5E97">
        <w:rPr>
          <w:rStyle w:val="Funotenzeichen"/>
        </w:rPr>
        <w:footnoteRef/>
      </w:r>
      <w:r w:rsidRPr="00BF5E97">
        <w:t xml:space="preserve"> § 119(3) no. 1, 2 </w:t>
      </w:r>
      <w:r w:rsidRPr="00BF5E97">
        <w:t>WpHG.</w:t>
      </w:r>
    </w:p>
  </w:footnote>
  <w:footnote w:id="224">
    <w:p w14:paraId="159CE2FD" w14:textId="77777777" w:rsidR="00096F6D" w:rsidRPr="00BF5E97" w:rsidRDefault="00096F6D" w:rsidP="00096F6D">
      <w:pPr>
        <w:pStyle w:val="Funotentext"/>
      </w:pPr>
      <w:r w:rsidRPr="00BF5E97">
        <w:rPr>
          <w:rStyle w:val="Funotenzeichen"/>
        </w:rPr>
        <w:footnoteRef/>
      </w:r>
      <w:r w:rsidRPr="00BF5E97">
        <w:t xml:space="preserve"> § 119(3) no. 3 </w:t>
      </w:r>
      <w:r w:rsidRPr="00BF5E97">
        <w:t>WpHG.</w:t>
      </w:r>
    </w:p>
  </w:footnote>
  <w:footnote w:id="225">
    <w:p w14:paraId="3EBCC1CD" w14:textId="77777777" w:rsidR="00096F6D" w:rsidRPr="00BF5E97" w:rsidRDefault="00096F6D" w:rsidP="00096F6D">
      <w:pPr>
        <w:pStyle w:val="Funotentext"/>
      </w:pPr>
      <w:r w:rsidRPr="00BF5E97">
        <w:rPr>
          <w:rStyle w:val="Funotenzeichen"/>
        </w:rPr>
        <w:footnoteRef/>
      </w:r>
      <w:r w:rsidRPr="00BF5E97">
        <w:t xml:space="preserve"> § 119(1) </w:t>
      </w:r>
      <w:r w:rsidRPr="00BF5E97">
        <w:t>WpHG.</w:t>
      </w:r>
    </w:p>
  </w:footnote>
  <w:footnote w:id="226">
    <w:p w14:paraId="4F60DF70" w14:textId="4CA44BA9" w:rsidR="0019367E" w:rsidRPr="00BF5E97" w:rsidRDefault="0019367E">
      <w:pPr>
        <w:pStyle w:val="Funotentext"/>
      </w:pPr>
      <w:r w:rsidRPr="00BF5E97">
        <w:rPr>
          <w:rStyle w:val="Funotenzeichen"/>
        </w:rPr>
        <w:footnoteRef/>
      </w:r>
      <w:r w:rsidRPr="00BF5E97">
        <w:t xml:space="preserve"> § 97(1) no. 1 </w:t>
      </w:r>
      <w:r w:rsidRPr="00BF5E97">
        <w:t>WpHG.</w:t>
      </w:r>
    </w:p>
  </w:footnote>
  <w:footnote w:id="227">
    <w:p w14:paraId="699BF009" w14:textId="60F70251" w:rsidR="0019367E" w:rsidRPr="00BF5E97" w:rsidRDefault="0019367E">
      <w:pPr>
        <w:pStyle w:val="Funotentext"/>
      </w:pPr>
      <w:r w:rsidRPr="00BF5E97">
        <w:rPr>
          <w:rStyle w:val="Funotenzeichen"/>
        </w:rPr>
        <w:footnoteRef/>
      </w:r>
      <w:r w:rsidRPr="00BF5E97">
        <w:t xml:space="preserve"> § 97(1) no. 2 </w:t>
      </w:r>
      <w:r w:rsidRPr="00BF5E97">
        <w:t>WpHG.</w:t>
      </w:r>
    </w:p>
  </w:footnote>
  <w:footnote w:id="228">
    <w:p w14:paraId="282E0309" w14:textId="208157D9" w:rsidR="003901DE" w:rsidRPr="00503463" w:rsidRDefault="003901DE">
      <w:pPr>
        <w:pStyle w:val="Funotentext"/>
      </w:pPr>
      <w:r w:rsidRPr="00BF5E97">
        <w:rPr>
          <w:rStyle w:val="Funotenzeichen"/>
        </w:rPr>
        <w:footnoteRef/>
      </w:r>
      <w:r w:rsidRPr="00503463">
        <w:t xml:space="preserve"> § 97(3) </w:t>
      </w:r>
      <w:r w:rsidRPr="00503463">
        <w:t>WpHG.</w:t>
      </w:r>
    </w:p>
  </w:footnote>
  <w:footnote w:id="229">
    <w:p w14:paraId="7C6AA227" w14:textId="2BF75C85" w:rsidR="003901DE" w:rsidRPr="00503463" w:rsidRDefault="003901DE">
      <w:pPr>
        <w:pStyle w:val="Funotentext"/>
      </w:pPr>
      <w:r w:rsidRPr="00BF5E97">
        <w:rPr>
          <w:rStyle w:val="Funotenzeichen"/>
        </w:rPr>
        <w:footnoteRef/>
      </w:r>
      <w:r w:rsidRPr="00503463">
        <w:t xml:space="preserve"> § 98(1) </w:t>
      </w:r>
      <w:r w:rsidRPr="00503463">
        <w:t>WpHG.</w:t>
      </w:r>
    </w:p>
  </w:footnote>
  <w:footnote w:id="230">
    <w:p w14:paraId="515803FB" w14:textId="6889AFB2" w:rsidR="005D2E56" w:rsidRPr="00503463" w:rsidRDefault="0019367E" w:rsidP="005D2E56">
      <w:pPr>
        <w:pStyle w:val="Funotentext"/>
      </w:pPr>
      <w:r w:rsidRPr="00BF5E97">
        <w:rPr>
          <w:rStyle w:val="Funotenzeichen"/>
        </w:rPr>
        <w:footnoteRef/>
      </w:r>
      <w:r w:rsidRPr="00503463">
        <w:t xml:space="preserve"> BGH, NJW 2012, 1800, as regards </w:t>
      </w:r>
      <w:r w:rsidR="005D2E56" w:rsidRPr="00503463">
        <w:t xml:space="preserve">market manipulation, Wagner, in: </w:t>
      </w:r>
      <w:r w:rsidR="005D2E56" w:rsidRPr="00503463">
        <w:rPr>
          <w:i/>
        </w:rPr>
        <w:t>Münchener Kommentar zum BGB</w:t>
      </w:r>
      <w:r w:rsidR="005D2E56" w:rsidRPr="00503463">
        <w:t>,</w:t>
      </w:r>
    </w:p>
    <w:p w14:paraId="4FE2AF99" w14:textId="57E5217C" w:rsidR="0019367E" w:rsidRPr="00503463" w:rsidRDefault="00922D25" w:rsidP="005D2E56">
      <w:pPr>
        <w:pStyle w:val="Funotentext"/>
      </w:pPr>
      <w:r>
        <w:t>9</w:t>
      </w:r>
      <w:r w:rsidR="005D2E56" w:rsidRPr="00931040">
        <w:t>th ed. 202</w:t>
      </w:r>
      <w:r>
        <w:t>4</w:t>
      </w:r>
      <w:r w:rsidR="005D2E56" w:rsidRPr="00931040">
        <w:t xml:space="preserve">, </w:t>
      </w:r>
      <w:r w:rsidR="00BD76F2" w:rsidRPr="00931040">
        <w:t>§ 823 para</w:t>
      </w:r>
      <w:r>
        <w:t>s</w:t>
      </w:r>
      <w:r w:rsidR="00BD76F2" w:rsidRPr="00931040">
        <w:t> </w:t>
      </w:r>
      <w:r>
        <w:t>668ff</w:t>
      </w:r>
      <w:r w:rsidR="00BD76F2" w:rsidRPr="00931040">
        <w:t xml:space="preserve">, </w:t>
      </w:r>
      <w:r w:rsidR="005D2E56" w:rsidRPr="00931040">
        <w:t>§ 826 para. </w:t>
      </w:r>
      <w:r w:rsidR="005D2E56" w:rsidRPr="00503463">
        <w:t>1</w:t>
      </w:r>
      <w:r w:rsidRPr="00503463">
        <w:t>48</w:t>
      </w:r>
      <w:r w:rsidR="005D2E56" w:rsidRPr="00503463">
        <w:t>.</w:t>
      </w:r>
    </w:p>
  </w:footnote>
  <w:footnote w:id="231">
    <w:p w14:paraId="46776A28" w14:textId="77777777" w:rsidR="0019367E" w:rsidRPr="00503463" w:rsidRDefault="0019367E" w:rsidP="0019367E">
      <w:pPr>
        <w:pStyle w:val="Funotentext"/>
      </w:pPr>
      <w:r w:rsidRPr="00BF5E97">
        <w:rPr>
          <w:rStyle w:val="Funotenzeichen"/>
        </w:rPr>
        <w:footnoteRef/>
      </w:r>
      <w:r w:rsidRPr="00503463">
        <w:t xml:space="preserve"> See, e.g., Foerster, in: </w:t>
      </w:r>
      <w:r w:rsidRPr="00503463">
        <w:t xml:space="preserve">Habersack/Mülbert/Schlitt (eds), </w:t>
      </w:r>
      <w:r w:rsidRPr="00503463">
        <w:rPr>
          <w:i/>
        </w:rPr>
        <w:t>Handbuch der Kapitalmarktinformation</w:t>
      </w:r>
      <w:r w:rsidRPr="00503463">
        <w:t>, 3rd ed. 2020, § 31 paras 58 ff.</w:t>
      </w:r>
    </w:p>
  </w:footnote>
  <w:footnote w:id="232">
    <w:p w14:paraId="6E3057BF" w14:textId="77777777" w:rsidR="0019367E" w:rsidRPr="00BF5E97" w:rsidRDefault="0019367E" w:rsidP="0019367E">
      <w:pPr>
        <w:pStyle w:val="Funotentext"/>
      </w:pPr>
      <w:r w:rsidRPr="00BF5E97">
        <w:rPr>
          <w:rStyle w:val="Funotenzeichen"/>
        </w:rPr>
        <w:footnoteRef/>
      </w:r>
      <w:r w:rsidRPr="00BF5E97">
        <w:t xml:space="preserve"> BGH, NJW 2012, 1800, as regards § 15 </w:t>
      </w:r>
      <w:r w:rsidRPr="00BF5E97">
        <w:t>WpHG as then in force.</w:t>
      </w:r>
    </w:p>
  </w:footnote>
  <w:footnote w:id="233">
    <w:p w14:paraId="4FA324B6" w14:textId="5B089FC4" w:rsidR="0019367E" w:rsidRPr="00BF5E97" w:rsidRDefault="0019367E" w:rsidP="0019367E">
      <w:pPr>
        <w:pStyle w:val="Funotentext"/>
      </w:pPr>
      <w:r w:rsidRPr="00BF5E97">
        <w:rPr>
          <w:rStyle w:val="Funotenzeichen"/>
        </w:rPr>
        <w:footnoteRef/>
      </w:r>
      <w:r w:rsidRPr="00881EF0">
        <w:rPr>
          <w:lang w:val="de-DE"/>
        </w:rPr>
        <w:t xml:space="preserve"> Cf. Wagner in: </w:t>
      </w:r>
      <w:r w:rsidRPr="00881EF0">
        <w:rPr>
          <w:i/>
          <w:lang w:val="de-DE"/>
        </w:rPr>
        <w:t>Münchener Kommentar zum BGB</w:t>
      </w:r>
      <w:r w:rsidRPr="00881EF0">
        <w:rPr>
          <w:lang w:val="de-DE"/>
        </w:rPr>
        <w:t xml:space="preserve">, </w:t>
      </w:r>
      <w:r w:rsidR="00922D25">
        <w:rPr>
          <w:lang w:val="de-DE"/>
        </w:rPr>
        <w:t>9</w:t>
      </w:r>
      <w:r w:rsidRPr="00881EF0">
        <w:rPr>
          <w:lang w:val="de-DE"/>
        </w:rPr>
        <w:t xml:space="preserve">th </w:t>
      </w:r>
      <w:r w:rsidRPr="00881EF0">
        <w:rPr>
          <w:lang w:val="de-DE"/>
        </w:rPr>
        <w:t>ed. 202</w:t>
      </w:r>
      <w:r w:rsidR="00922D25">
        <w:rPr>
          <w:lang w:val="de-DE"/>
        </w:rPr>
        <w:t>4</w:t>
      </w:r>
      <w:r w:rsidRPr="00881EF0">
        <w:rPr>
          <w:lang w:val="de-DE"/>
        </w:rPr>
        <w:t>, § 826 para</w:t>
      </w:r>
      <w:r w:rsidR="00922D25">
        <w:rPr>
          <w:lang w:val="de-DE"/>
        </w:rPr>
        <w:t>s</w:t>
      </w:r>
      <w:r w:rsidRPr="00881EF0">
        <w:rPr>
          <w:lang w:val="de-DE"/>
        </w:rPr>
        <w:t>. </w:t>
      </w:r>
      <w:r w:rsidRPr="00BF5E97">
        <w:t>1</w:t>
      </w:r>
      <w:r w:rsidR="00922D25">
        <w:t>50, 152</w:t>
      </w:r>
      <w:r w:rsidRPr="00BF5E97">
        <w:t>.</w:t>
      </w:r>
    </w:p>
  </w:footnote>
  <w:footnote w:id="234">
    <w:p w14:paraId="28EBE7E9" w14:textId="00875C18" w:rsidR="009257CC" w:rsidRPr="00BF5E97" w:rsidRDefault="009257CC" w:rsidP="009257CC">
      <w:pPr>
        <w:pStyle w:val="Funotentext"/>
      </w:pPr>
      <w:r w:rsidRPr="00BF5E97">
        <w:rPr>
          <w:rStyle w:val="Funotenzeichen"/>
        </w:rPr>
        <w:footnoteRef/>
      </w:r>
      <w:r w:rsidRPr="00BF5E97">
        <w:t xml:space="preserve"> The SSR creates a harmon</w:t>
      </w:r>
      <w:r w:rsidR="00706D6F" w:rsidRPr="00BF5E97">
        <w:t>ized</w:t>
      </w:r>
      <w:r w:rsidRPr="00BF5E97">
        <w:t xml:space="preserve"> regulatory framework dealing with short selling issues. It deals essentially with two types of instruments: namely, short sales and similar short positions, and credit default swaps. Under chapter II SSR, certain net short positions and credit default swap positions must be notified to competent authorities (</w:t>
      </w:r>
      <w:r w:rsidR="001870C0" w:rsidRPr="00BF5E97">
        <w:t>articles </w:t>
      </w:r>
      <w:r w:rsidRPr="00BF5E97">
        <w:t>5, 7, 8 SSR), and in case of shares, have to be disclosed to the public (</w:t>
      </w:r>
      <w:r w:rsidR="001870C0" w:rsidRPr="00BF5E97">
        <w:t>article </w:t>
      </w:r>
      <w:r w:rsidRPr="00BF5E97">
        <w:t>6 SSR).</w:t>
      </w:r>
    </w:p>
  </w:footnote>
  <w:footnote w:id="235">
    <w:p w14:paraId="5C933722" w14:textId="50077C24" w:rsidR="00CE40E2" w:rsidRPr="00BF5E97" w:rsidRDefault="00CE40E2" w:rsidP="00CE40E2">
      <w:pPr>
        <w:pStyle w:val="Funotentext"/>
      </w:pPr>
      <w:r w:rsidRPr="00BF5E97">
        <w:rPr>
          <w:rStyle w:val="Funotenzeichen"/>
        </w:rPr>
        <w:footnoteRef/>
      </w:r>
      <w:r w:rsidRPr="00BF5E97">
        <w:t xml:space="preserve"> Under </w:t>
      </w:r>
      <w:r w:rsidR="001870C0" w:rsidRPr="00BF5E97">
        <w:t>article </w:t>
      </w:r>
      <w:r w:rsidRPr="00BF5E97">
        <w:t>9c(2) SRD, Member States shall ensure that companies publicly announce material transactions with related parties at the latest at the time of the conclusion of the transaction. Such announcement shall contain at least information on the nature of the related party relationship, the name of the related party, the date and the value of the transaction and other information necessary to assess whether or not the transaction is fair and reasonable from the perspective of the company and of the shareholders who are not a related party, including minority shareholders (cf. §§</w:t>
      </w:r>
      <w:r w:rsidR="009544DE">
        <w:t> </w:t>
      </w:r>
      <w:r w:rsidRPr="00BF5E97">
        <w:t xml:space="preserve">111a ff. </w:t>
      </w:r>
      <w:r w:rsidRPr="00BF5E97">
        <w:t xml:space="preserve">AktG, also see </w:t>
      </w:r>
      <w:r w:rsidR="001870C0" w:rsidRPr="00BF5E97">
        <w:t>article </w:t>
      </w:r>
      <w:r w:rsidRPr="00BF5E97">
        <w:t>9c(7) SRD as regards subsidiaries).</w:t>
      </w:r>
    </w:p>
  </w:footnote>
  <w:footnote w:id="236">
    <w:p w14:paraId="68F9FD1E" w14:textId="12EE03B6" w:rsidR="00BC5BE7" w:rsidRPr="00503463" w:rsidRDefault="00BC5BE7">
      <w:pPr>
        <w:pStyle w:val="Funotentext"/>
        <w:rPr>
          <w:lang w:val="fr-FR"/>
        </w:rPr>
      </w:pPr>
      <w:r w:rsidRPr="00BF5E97">
        <w:rPr>
          <w:rStyle w:val="Funotenzeichen"/>
        </w:rPr>
        <w:footnoteRef/>
      </w:r>
      <w:r w:rsidRPr="00503463">
        <w:rPr>
          <w:lang w:val="fr-FR"/>
        </w:rPr>
        <w:t xml:space="preserve"> </w:t>
      </w:r>
      <w:r w:rsidRPr="00503463">
        <w:rPr>
          <w:lang w:val="fr-FR"/>
        </w:rPr>
        <w:t>Recital (2) T</w:t>
      </w:r>
      <w:r w:rsidR="00600237" w:rsidRPr="00503463">
        <w:rPr>
          <w:lang w:val="fr-FR"/>
        </w:rPr>
        <w:t>D</w:t>
      </w:r>
      <w:r w:rsidRPr="00503463">
        <w:rPr>
          <w:lang w:val="fr-FR"/>
        </w:rPr>
        <w:t>.</w:t>
      </w:r>
    </w:p>
  </w:footnote>
  <w:footnote w:id="237">
    <w:p w14:paraId="57B09377" w14:textId="4500F56A" w:rsidR="003C5356" w:rsidRPr="00503463" w:rsidRDefault="003C535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3(1) TD.</w:t>
      </w:r>
    </w:p>
  </w:footnote>
  <w:footnote w:id="238">
    <w:p w14:paraId="4E50F2F2" w14:textId="65841778" w:rsidR="003C5356" w:rsidRPr="00503463" w:rsidRDefault="003C535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3(1a) TD.</w:t>
      </w:r>
    </w:p>
  </w:footnote>
  <w:footnote w:id="239">
    <w:p w14:paraId="1955EB40" w14:textId="6DB0CC33" w:rsidR="003C5356" w:rsidRPr="00503463" w:rsidRDefault="003C535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3(2) TD.</w:t>
      </w:r>
    </w:p>
  </w:footnote>
  <w:footnote w:id="240">
    <w:p w14:paraId="6B37CF6F" w14:textId="57F48B27" w:rsidR="00F962E3" w:rsidRPr="00503463" w:rsidRDefault="00F962E3">
      <w:pPr>
        <w:pStyle w:val="Funotentext"/>
        <w:rPr>
          <w:lang w:val="de-DE"/>
        </w:rPr>
      </w:pPr>
      <w:r w:rsidRPr="00BF5E97">
        <w:rPr>
          <w:rStyle w:val="Funotenzeichen"/>
        </w:rPr>
        <w:footnoteRef/>
      </w:r>
      <w:r w:rsidRPr="00503463">
        <w:rPr>
          <w:lang w:val="de-DE"/>
        </w:rPr>
        <w:t xml:space="preserve"> </w:t>
      </w:r>
      <w:r w:rsidR="001870C0" w:rsidRPr="00503463">
        <w:rPr>
          <w:lang w:val="de-DE"/>
        </w:rPr>
        <w:t>Article </w:t>
      </w:r>
      <w:r w:rsidRPr="00503463">
        <w:rPr>
          <w:lang w:val="de-DE"/>
        </w:rPr>
        <w:t>2(1)(d) TD.</w:t>
      </w:r>
    </w:p>
  </w:footnote>
  <w:footnote w:id="241">
    <w:p w14:paraId="31882F75" w14:textId="77777777" w:rsidR="00E0439F" w:rsidRPr="00503463" w:rsidRDefault="00E0439F" w:rsidP="00E0439F">
      <w:pPr>
        <w:pStyle w:val="Funotentext"/>
        <w:rPr>
          <w:lang w:val="de-DE"/>
        </w:rPr>
      </w:pPr>
      <w:r>
        <w:rPr>
          <w:rStyle w:val="Funotenzeichen"/>
        </w:rPr>
        <w:footnoteRef/>
      </w:r>
      <w:r w:rsidRPr="00503463">
        <w:rPr>
          <w:lang w:val="de-DE"/>
        </w:rPr>
        <w:t xml:space="preserve"> OLG München, 11 </w:t>
      </w:r>
      <w:r w:rsidRPr="00503463">
        <w:rPr>
          <w:lang w:val="de-DE"/>
        </w:rPr>
        <w:t>October 2023, 7 U 380/23, NZG 2024, 16.</w:t>
      </w:r>
    </w:p>
  </w:footnote>
  <w:footnote w:id="242">
    <w:p w14:paraId="287DFD83" w14:textId="0573D072" w:rsidR="00600237" w:rsidRPr="00503463" w:rsidRDefault="00600237">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4(1) TD.</w:t>
      </w:r>
    </w:p>
  </w:footnote>
  <w:footnote w:id="243">
    <w:p w14:paraId="1C101FCE" w14:textId="5A3488BB" w:rsidR="00D63AAA" w:rsidRPr="00503463" w:rsidRDefault="00D63AAA" w:rsidP="00D63AAA">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5(1) TD.</w:t>
      </w:r>
    </w:p>
  </w:footnote>
  <w:footnote w:id="244">
    <w:p w14:paraId="39D60968" w14:textId="1EFD9A82" w:rsidR="00220728" w:rsidRPr="00503463" w:rsidRDefault="00220728">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4(1), 5(1) TD.</w:t>
      </w:r>
    </w:p>
  </w:footnote>
  <w:footnote w:id="245">
    <w:p w14:paraId="67627CA1" w14:textId="34177892" w:rsidR="00E27CEC" w:rsidRPr="002C480F" w:rsidRDefault="00E27CEC">
      <w:pPr>
        <w:pStyle w:val="Funotentext"/>
        <w:rPr>
          <w:lang w:val="en-US"/>
        </w:rPr>
      </w:pPr>
      <w:r w:rsidRPr="00BF5E97">
        <w:rPr>
          <w:rStyle w:val="Funotenzeichen"/>
        </w:rPr>
        <w:footnoteRef/>
      </w:r>
      <w:r w:rsidRPr="002C480F">
        <w:rPr>
          <w:lang w:val="en-US"/>
        </w:rPr>
        <w:t xml:space="preserve"> </w:t>
      </w:r>
      <w:r w:rsidR="001870C0" w:rsidRPr="002C480F">
        <w:rPr>
          <w:lang w:val="en-US"/>
        </w:rPr>
        <w:t>Article </w:t>
      </w:r>
      <w:r w:rsidRPr="002C480F">
        <w:rPr>
          <w:lang w:val="en-US"/>
        </w:rPr>
        <w:t>4(2) TD.</w:t>
      </w:r>
    </w:p>
  </w:footnote>
  <w:footnote w:id="246">
    <w:p w14:paraId="751D4F47" w14:textId="07C8524B" w:rsidR="002C480F" w:rsidRPr="002C480F" w:rsidRDefault="002C480F">
      <w:pPr>
        <w:pStyle w:val="Funotentext"/>
      </w:pPr>
      <w:r>
        <w:rPr>
          <w:rStyle w:val="Funotenzeichen"/>
        </w:rPr>
        <w:footnoteRef/>
      </w:r>
      <w:r>
        <w:t xml:space="preserve"> Article 4(1) of the Accounting Directive.</w:t>
      </w:r>
    </w:p>
  </w:footnote>
  <w:footnote w:id="247">
    <w:p w14:paraId="5C3FEA1F" w14:textId="79990BF7" w:rsidR="009C7106" w:rsidRPr="009C7106" w:rsidRDefault="009C7106">
      <w:pPr>
        <w:pStyle w:val="Funotentext"/>
      </w:pPr>
      <w:r>
        <w:rPr>
          <w:rStyle w:val="Funotenzeichen"/>
        </w:rPr>
        <w:footnoteRef/>
      </w:r>
      <w:r>
        <w:t xml:space="preserve"> Article 1981) of the Accounting Directive.</w:t>
      </w:r>
    </w:p>
  </w:footnote>
  <w:footnote w:id="248">
    <w:p w14:paraId="41537573" w14:textId="5E48631D" w:rsidR="00B419D9" w:rsidRPr="00BF5E97" w:rsidRDefault="00B419D9" w:rsidP="00B419D9">
      <w:pPr>
        <w:pStyle w:val="Funotentext"/>
      </w:pPr>
      <w:r w:rsidRPr="00BF5E97">
        <w:rPr>
          <w:rStyle w:val="Funotenzeichen"/>
        </w:rPr>
        <w:footnoteRef/>
      </w:r>
      <w:r w:rsidRPr="00BF5E97">
        <w:t xml:space="preserve"> </w:t>
      </w:r>
      <w:r w:rsidR="001870C0" w:rsidRPr="00BF5E97">
        <w:t>Article </w:t>
      </w:r>
      <w:r w:rsidRPr="00BF5E97">
        <w:t>4(1)(c) TD as amended by Directive (EU) 2022/2464 of 14 December 2022.</w:t>
      </w:r>
    </w:p>
  </w:footnote>
  <w:footnote w:id="249">
    <w:p w14:paraId="1D5BAF00" w14:textId="45CE5729" w:rsidR="004469C8" w:rsidRPr="00E051D5" w:rsidRDefault="004469C8" w:rsidP="004469C8">
      <w:pPr>
        <w:pStyle w:val="Funotentext"/>
        <w:rPr>
          <w:lang w:val="fr-FR"/>
        </w:rPr>
      </w:pPr>
      <w:r>
        <w:rPr>
          <w:rStyle w:val="Funotenzeichen"/>
        </w:rPr>
        <w:footnoteRef/>
      </w:r>
      <w:r w:rsidRPr="004469C8">
        <w:rPr>
          <w:lang w:val="de-DE"/>
        </w:rPr>
        <w:t xml:space="preserve"> </w:t>
      </w:r>
      <w:r w:rsidR="00D616C6" w:rsidRPr="000C09CB">
        <w:rPr>
          <w:lang w:val="de-DE"/>
        </w:rPr>
        <w:t xml:space="preserve">In Germany, </w:t>
      </w:r>
      <w:r w:rsidR="00D616C6" w:rsidRPr="000C09CB">
        <w:rPr>
          <w:lang w:val="de-DE"/>
        </w:rPr>
        <w:t xml:space="preserve">interim reporting follows DRS 16: </w:t>
      </w:r>
      <w:r w:rsidRPr="004469C8">
        <w:rPr>
          <w:lang w:val="de-DE"/>
        </w:rPr>
        <w:t>Zimmermann</w:t>
      </w:r>
      <w:r>
        <w:rPr>
          <w:lang w:val="de-DE"/>
        </w:rPr>
        <w:t xml:space="preserve">, in: </w:t>
      </w:r>
      <w:r w:rsidRPr="004469C8">
        <w:rPr>
          <w:lang w:val="de-DE"/>
        </w:rPr>
        <w:t xml:space="preserve">Fuchs/Zimmermann, </w:t>
      </w:r>
      <w:r w:rsidRPr="004469C8">
        <w:rPr>
          <w:i/>
          <w:lang w:val="de-DE"/>
        </w:rPr>
        <w:t>Wertpapierhandelsgesetz</w:t>
      </w:r>
      <w:r>
        <w:rPr>
          <w:lang w:val="de-DE"/>
        </w:rPr>
        <w:t xml:space="preserve">, 3rd ed. </w:t>
      </w:r>
      <w:r w:rsidRPr="004469C8">
        <w:rPr>
          <w:lang w:val="de-DE"/>
        </w:rPr>
        <w:t>2024</w:t>
      </w:r>
      <w:r>
        <w:rPr>
          <w:lang w:val="de-DE"/>
        </w:rPr>
        <w:t>, § 115 para. </w:t>
      </w:r>
      <w:r w:rsidRPr="00E051D5">
        <w:rPr>
          <w:lang w:val="fr-FR"/>
        </w:rPr>
        <w:t>14.</w:t>
      </w:r>
    </w:p>
  </w:footnote>
  <w:footnote w:id="250">
    <w:p w14:paraId="031E7059" w14:textId="77777777" w:rsidR="00706C9A" w:rsidRPr="00E051D5" w:rsidRDefault="00706C9A" w:rsidP="00706C9A">
      <w:pPr>
        <w:pStyle w:val="Funotentext"/>
        <w:rPr>
          <w:lang w:val="fr-FR"/>
        </w:rPr>
      </w:pPr>
      <w:r w:rsidRPr="00BF5E97">
        <w:rPr>
          <w:rStyle w:val="Funotenzeichen"/>
        </w:rPr>
        <w:footnoteRef/>
      </w:r>
      <w:r w:rsidRPr="00E051D5">
        <w:rPr>
          <w:lang w:val="fr-FR"/>
        </w:rPr>
        <w:t xml:space="preserve"> Article 4(7) TD.</w:t>
      </w:r>
    </w:p>
  </w:footnote>
  <w:footnote w:id="251">
    <w:p w14:paraId="3FB5CFE4" w14:textId="77777777" w:rsidR="00706C9A" w:rsidRPr="00E051D5" w:rsidRDefault="00706C9A" w:rsidP="00706C9A">
      <w:pPr>
        <w:pStyle w:val="Funotentext"/>
        <w:rPr>
          <w:lang w:val="fr-FR"/>
        </w:rPr>
      </w:pPr>
      <w:r w:rsidRPr="00BF5E97">
        <w:rPr>
          <w:rStyle w:val="Funotenzeichen"/>
        </w:rPr>
        <w:footnoteRef/>
      </w:r>
      <w:r w:rsidRPr="00E051D5">
        <w:rPr>
          <w:lang w:val="fr-FR"/>
        </w:rPr>
        <w:t xml:space="preserve"> Article 8 TD, § 118 </w:t>
      </w:r>
      <w:r w:rsidRPr="00E051D5">
        <w:rPr>
          <w:lang w:val="fr-FR"/>
        </w:rPr>
        <w:t>WpHG.</w:t>
      </w:r>
    </w:p>
  </w:footnote>
  <w:footnote w:id="252">
    <w:p w14:paraId="3CF527B5" w14:textId="77777777" w:rsidR="00706C9A" w:rsidRPr="00E051D5" w:rsidRDefault="00706C9A" w:rsidP="00706C9A">
      <w:pPr>
        <w:pStyle w:val="Funotentext"/>
        <w:rPr>
          <w:lang w:val="fr-FR"/>
        </w:rPr>
      </w:pPr>
      <w:r w:rsidRPr="00BF5E97">
        <w:rPr>
          <w:rStyle w:val="Funotenzeichen"/>
        </w:rPr>
        <w:footnoteRef/>
      </w:r>
      <w:r w:rsidRPr="00E051D5">
        <w:rPr>
          <w:lang w:val="fr-FR"/>
        </w:rPr>
        <w:t xml:space="preserve"> Article 6 TD.</w:t>
      </w:r>
    </w:p>
  </w:footnote>
  <w:footnote w:id="253">
    <w:p w14:paraId="4555AB65" w14:textId="2688832D" w:rsidR="00755CB1" w:rsidRPr="00E051D5" w:rsidRDefault="00755CB1">
      <w:pPr>
        <w:pStyle w:val="Funotentext"/>
        <w:rPr>
          <w:lang w:val="fr-FR"/>
        </w:rPr>
      </w:pPr>
      <w:r w:rsidRPr="00BF5E97">
        <w:rPr>
          <w:rStyle w:val="Funotenzeichen"/>
        </w:rPr>
        <w:footnoteRef/>
      </w:r>
      <w:r w:rsidRPr="00E051D5">
        <w:rPr>
          <w:lang w:val="fr-FR"/>
        </w:rPr>
        <w:t xml:space="preserve"> Article 19(3) TD.</w:t>
      </w:r>
    </w:p>
  </w:footnote>
  <w:footnote w:id="254">
    <w:p w14:paraId="2192F40B" w14:textId="77777777" w:rsidR="00EF5B70" w:rsidRPr="00E051D5" w:rsidRDefault="00EF5B70" w:rsidP="00EF5B70">
      <w:pPr>
        <w:pStyle w:val="Funotentext"/>
        <w:rPr>
          <w:lang w:val="fr-FR"/>
        </w:rPr>
      </w:pPr>
      <w:r w:rsidRPr="00BF5E97">
        <w:rPr>
          <w:rStyle w:val="Funotenzeichen"/>
        </w:rPr>
        <w:footnoteRef/>
      </w:r>
      <w:r w:rsidRPr="00E051D5">
        <w:rPr>
          <w:lang w:val="fr-FR"/>
        </w:rPr>
        <w:t xml:space="preserve"> § 33(1) </w:t>
      </w:r>
      <w:r w:rsidRPr="00E051D5">
        <w:rPr>
          <w:lang w:val="fr-FR"/>
        </w:rPr>
        <w:t>WpHG.</w:t>
      </w:r>
    </w:p>
  </w:footnote>
  <w:footnote w:id="255">
    <w:p w14:paraId="1DA8FD1A" w14:textId="77777777" w:rsidR="00EF5B70" w:rsidRPr="00BF5E97" w:rsidRDefault="00EF5B70" w:rsidP="00EF5B70">
      <w:pPr>
        <w:pStyle w:val="Funotentext"/>
      </w:pPr>
      <w:r w:rsidRPr="00BF5E97">
        <w:rPr>
          <w:rStyle w:val="Funotenzeichen"/>
        </w:rPr>
        <w:footnoteRef/>
      </w:r>
      <w:r w:rsidRPr="00BF5E97">
        <w:t xml:space="preserve"> Additional thresholds of this type are permitted under article 3(1a)(4)(</w:t>
      </w:r>
      <w:r w:rsidRPr="00BF5E97">
        <w:t>i) TD.</w:t>
      </w:r>
    </w:p>
  </w:footnote>
  <w:footnote w:id="256">
    <w:p w14:paraId="77027D46" w14:textId="77777777" w:rsidR="00EF5B70" w:rsidRPr="00BF5E97" w:rsidRDefault="00EF5B70" w:rsidP="00EF5B70">
      <w:pPr>
        <w:pStyle w:val="Funotentext"/>
      </w:pPr>
      <w:r w:rsidRPr="00BF5E97">
        <w:rPr>
          <w:rStyle w:val="Funotenzeichen"/>
        </w:rPr>
        <w:footnoteRef/>
      </w:r>
      <w:r w:rsidRPr="00BF5E97">
        <w:t xml:space="preserve"> § 43(1) </w:t>
      </w:r>
      <w:r w:rsidRPr="00BF5E97">
        <w:t>WpHG.</w:t>
      </w:r>
    </w:p>
  </w:footnote>
  <w:footnote w:id="257">
    <w:p w14:paraId="48752801" w14:textId="30397A63" w:rsidR="00D77741" w:rsidRPr="00BF5E97" w:rsidRDefault="00D77741">
      <w:pPr>
        <w:pStyle w:val="Funotentext"/>
      </w:pPr>
      <w:r w:rsidRPr="00BF5E97">
        <w:rPr>
          <w:rStyle w:val="Funotenzeichen"/>
        </w:rPr>
        <w:footnoteRef/>
      </w:r>
      <w:r w:rsidRPr="00BF5E97">
        <w:t xml:space="preserve"> Cf. § 34(1)(2) </w:t>
      </w:r>
      <w:r w:rsidRPr="00BF5E97">
        <w:t>WpHG.</w:t>
      </w:r>
    </w:p>
  </w:footnote>
  <w:footnote w:id="258">
    <w:p w14:paraId="40BE6F8F" w14:textId="6011F9DB" w:rsidR="00AF3111" w:rsidRPr="00BF5E97" w:rsidRDefault="00AF3111">
      <w:pPr>
        <w:pStyle w:val="Funotentext"/>
      </w:pPr>
      <w:r w:rsidRPr="00BF5E97">
        <w:rPr>
          <w:rStyle w:val="Funotenzeichen"/>
        </w:rPr>
        <w:footnoteRef/>
      </w:r>
      <w:r w:rsidRPr="00BF5E97">
        <w:t xml:space="preserve"> Cf. § 35(2) </w:t>
      </w:r>
      <w:r w:rsidRPr="00BF5E97">
        <w:t>WpHG</w:t>
      </w:r>
      <w:r w:rsidR="008B6CC4" w:rsidRPr="00BF5E97">
        <w:t>.</w:t>
      </w:r>
    </w:p>
  </w:footnote>
  <w:footnote w:id="259">
    <w:p w14:paraId="6B90C718" w14:textId="77777777" w:rsidR="00523216" w:rsidRPr="00BF5E97" w:rsidRDefault="00523216" w:rsidP="00523216">
      <w:pPr>
        <w:pStyle w:val="Funotentext"/>
      </w:pPr>
      <w:r w:rsidRPr="00BF5E97">
        <w:rPr>
          <w:rStyle w:val="Funotenzeichen"/>
        </w:rPr>
        <w:footnoteRef/>
      </w:r>
      <w:r w:rsidRPr="00BF5E97">
        <w:t xml:space="preserve"> Cf. § 34(2) </w:t>
      </w:r>
      <w:r w:rsidRPr="00BF5E97">
        <w:t>WpHG.</w:t>
      </w:r>
    </w:p>
  </w:footnote>
  <w:footnote w:id="260">
    <w:p w14:paraId="6C9C3551" w14:textId="62ECAABA" w:rsidR="005271EF" w:rsidRPr="005271EF" w:rsidRDefault="005271EF" w:rsidP="005271EF">
      <w:pPr>
        <w:pStyle w:val="Funotentext"/>
        <w:rPr>
          <w:lang w:val="en-US"/>
        </w:rPr>
      </w:pPr>
      <w:r>
        <w:rPr>
          <w:rStyle w:val="Funotenzeichen"/>
        </w:rPr>
        <w:footnoteRef/>
      </w:r>
      <w:r w:rsidRPr="005271EF">
        <w:rPr>
          <w:lang w:val="en-US"/>
        </w:rPr>
        <w:t xml:space="preserve"> BGH, 22</w:t>
      </w:r>
      <w:r>
        <w:rPr>
          <w:lang w:val="en-US"/>
        </w:rPr>
        <w:t xml:space="preserve"> October </w:t>
      </w:r>
      <w:r w:rsidRPr="005271EF">
        <w:rPr>
          <w:lang w:val="en-US"/>
        </w:rPr>
        <w:t>2024 – II ZR 193/22</w:t>
      </w:r>
      <w:r>
        <w:rPr>
          <w:lang w:val="en-US"/>
        </w:rPr>
        <w:t xml:space="preserve">, </w:t>
      </w:r>
      <w:r w:rsidRPr="005271EF">
        <w:rPr>
          <w:lang w:val="en-US"/>
        </w:rPr>
        <w:t>WM 2025, 20</w:t>
      </w:r>
      <w:r>
        <w:rPr>
          <w:lang w:val="en-US"/>
        </w:rPr>
        <w:t>.</w:t>
      </w:r>
    </w:p>
  </w:footnote>
  <w:footnote w:id="261">
    <w:p w14:paraId="759FC879" w14:textId="08ED313F" w:rsidR="006E7587" w:rsidRPr="008E6AC5" w:rsidRDefault="006E7587">
      <w:pPr>
        <w:pStyle w:val="Funotentext"/>
        <w:rPr>
          <w:lang w:val="en-US"/>
        </w:rPr>
      </w:pPr>
      <w:r w:rsidRPr="00BF5E97">
        <w:rPr>
          <w:rStyle w:val="Funotenzeichen"/>
        </w:rPr>
        <w:footnoteRef/>
      </w:r>
      <w:r w:rsidRPr="008E6AC5">
        <w:rPr>
          <w:lang w:val="en-US"/>
        </w:rPr>
        <w:t xml:space="preserve"> Cf. § 34(1) </w:t>
      </w:r>
      <w:r w:rsidRPr="008E6AC5">
        <w:rPr>
          <w:lang w:val="en-US"/>
        </w:rPr>
        <w:t>WpHG.</w:t>
      </w:r>
    </w:p>
  </w:footnote>
  <w:footnote w:id="262">
    <w:p w14:paraId="6A7048C6" w14:textId="080A18F3" w:rsidR="00F16A57" w:rsidRPr="00BF5E97" w:rsidRDefault="00F16A57">
      <w:pPr>
        <w:pStyle w:val="Funotentext"/>
      </w:pPr>
      <w:r w:rsidRPr="00BF5E97">
        <w:rPr>
          <w:rStyle w:val="Funotenzeichen"/>
        </w:rPr>
        <w:footnoteRef/>
      </w:r>
      <w:r w:rsidRPr="00BF5E97">
        <w:t xml:space="preserve"> § 38 </w:t>
      </w:r>
      <w:r w:rsidRPr="00BF5E97">
        <w:t>WpHG.</w:t>
      </w:r>
    </w:p>
  </w:footnote>
  <w:footnote w:id="263">
    <w:p w14:paraId="738C4C6B" w14:textId="58CE5E28" w:rsidR="00F16A57" w:rsidRPr="008E6AC5" w:rsidRDefault="00F16A57">
      <w:pPr>
        <w:pStyle w:val="Funotentext"/>
        <w:rPr>
          <w:lang w:val="en-US"/>
        </w:rPr>
      </w:pPr>
      <w:r w:rsidRPr="00BF5E97">
        <w:rPr>
          <w:rStyle w:val="Funotenzeichen"/>
        </w:rPr>
        <w:footnoteRef/>
      </w:r>
      <w:r w:rsidRPr="008E6AC5">
        <w:rPr>
          <w:lang w:val="en-US"/>
        </w:rPr>
        <w:t xml:space="preserve"> § 39 </w:t>
      </w:r>
      <w:r w:rsidRPr="008E6AC5">
        <w:rPr>
          <w:lang w:val="en-US"/>
        </w:rPr>
        <w:t>WpHG.</w:t>
      </w:r>
    </w:p>
  </w:footnote>
  <w:footnote w:id="264">
    <w:p w14:paraId="1198EB72" w14:textId="316669AC" w:rsidR="00823ED6" w:rsidRPr="008E6AC5" w:rsidRDefault="00823ED6">
      <w:pPr>
        <w:pStyle w:val="Funotentext"/>
        <w:rPr>
          <w:lang w:val="en-US"/>
        </w:rPr>
      </w:pPr>
      <w:r w:rsidRPr="00BF5E97">
        <w:rPr>
          <w:rStyle w:val="Funotenzeichen"/>
        </w:rPr>
        <w:footnoteRef/>
      </w:r>
      <w:r w:rsidRPr="008E6AC5">
        <w:rPr>
          <w:lang w:val="en-US"/>
        </w:rPr>
        <w:t xml:space="preserve"> </w:t>
      </w:r>
      <w:r w:rsidR="001870C0" w:rsidRPr="008E6AC5">
        <w:rPr>
          <w:lang w:val="en-US"/>
        </w:rPr>
        <w:t>Article </w:t>
      </w:r>
      <w:r w:rsidRPr="008E6AC5">
        <w:rPr>
          <w:lang w:val="en-US"/>
        </w:rPr>
        <w:t>12(1) TD</w:t>
      </w:r>
      <w:r w:rsidR="00D35B5E" w:rsidRPr="008E6AC5">
        <w:rPr>
          <w:lang w:val="en-US"/>
        </w:rPr>
        <w:t xml:space="preserve">, § 15 </w:t>
      </w:r>
      <w:r w:rsidR="00D35B5E" w:rsidRPr="008E6AC5">
        <w:rPr>
          <w:lang w:val="en-US"/>
        </w:rPr>
        <w:t>WpAV</w:t>
      </w:r>
      <w:r w:rsidRPr="008E6AC5">
        <w:rPr>
          <w:lang w:val="en-US"/>
        </w:rPr>
        <w:t>.</w:t>
      </w:r>
    </w:p>
  </w:footnote>
  <w:footnote w:id="265">
    <w:p w14:paraId="6AAD1B8F" w14:textId="6BB2C228" w:rsidR="00823ED6" w:rsidRPr="00503463" w:rsidRDefault="00823ED6">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12(2) TD</w:t>
      </w:r>
      <w:r w:rsidR="00A9117B" w:rsidRPr="00503463">
        <w:rPr>
          <w:lang w:val="fr-FR"/>
        </w:rPr>
        <w:t xml:space="preserve">, § 33(1) </w:t>
      </w:r>
      <w:r w:rsidR="00A9117B" w:rsidRPr="00503463">
        <w:rPr>
          <w:lang w:val="fr-FR"/>
        </w:rPr>
        <w:t>WpHG</w:t>
      </w:r>
      <w:r w:rsidRPr="00503463">
        <w:rPr>
          <w:lang w:val="fr-FR"/>
        </w:rPr>
        <w:t>.</w:t>
      </w:r>
    </w:p>
  </w:footnote>
  <w:footnote w:id="266">
    <w:p w14:paraId="62E3B1E3" w14:textId="47D17891" w:rsidR="00DA681C" w:rsidRPr="00503463" w:rsidRDefault="00DA681C">
      <w:pPr>
        <w:pStyle w:val="Funotentext"/>
        <w:rPr>
          <w:lang w:val="fr-FR"/>
        </w:rPr>
      </w:pPr>
      <w:r w:rsidRPr="00BF5E97">
        <w:rPr>
          <w:rStyle w:val="Funotenzeichen"/>
        </w:rPr>
        <w:footnoteRef/>
      </w:r>
      <w:r w:rsidRPr="00503463">
        <w:rPr>
          <w:lang w:val="fr-FR"/>
        </w:rPr>
        <w:t xml:space="preserve"> § 37(1) </w:t>
      </w:r>
      <w:r w:rsidRPr="00503463">
        <w:rPr>
          <w:lang w:val="fr-FR"/>
        </w:rPr>
        <w:t>WpHG.</w:t>
      </w:r>
    </w:p>
  </w:footnote>
  <w:footnote w:id="267">
    <w:p w14:paraId="20FFF8E9" w14:textId="05584416" w:rsidR="00BC10D3" w:rsidRPr="00503463" w:rsidRDefault="00BC10D3">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17(2)(a), 18(2)(a) TD.</w:t>
      </w:r>
    </w:p>
  </w:footnote>
  <w:footnote w:id="268">
    <w:p w14:paraId="16928140" w14:textId="6AA858FA" w:rsidR="00BC10D3" w:rsidRPr="00503463" w:rsidRDefault="00BC10D3">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17(2)(b), 18(2)(b) TD.</w:t>
      </w:r>
    </w:p>
  </w:footnote>
  <w:footnote w:id="269">
    <w:p w14:paraId="2DB85398" w14:textId="254C97BB" w:rsidR="00BC10D3" w:rsidRPr="00503463" w:rsidRDefault="00BC10D3">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17(2)(c), 18(2)(c) TD.</w:t>
      </w:r>
    </w:p>
  </w:footnote>
  <w:footnote w:id="270">
    <w:p w14:paraId="55A23DFF" w14:textId="037F605D" w:rsidR="00BC10D3" w:rsidRPr="008E6AC5" w:rsidRDefault="00BC10D3">
      <w:pPr>
        <w:pStyle w:val="Funotentext"/>
      </w:pPr>
      <w:r w:rsidRPr="00BF5E97">
        <w:rPr>
          <w:rStyle w:val="Funotenzeichen"/>
        </w:rPr>
        <w:footnoteRef/>
      </w:r>
      <w:r w:rsidRPr="008E6AC5">
        <w:t xml:space="preserve"> </w:t>
      </w:r>
      <w:r w:rsidR="001870C0" w:rsidRPr="008E6AC5">
        <w:t>Article </w:t>
      </w:r>
      <w:r w:rsidRPr="008E6AC5">
        <w:t>17(2)(d) TD.</w:t>
      </w:r>
    </w:p>
  </w:footnote>
  <w:footnote w:id="271">
    <w:p w14:paraId="10D74AD1" w14:textId="782D4018" w:rsidR="006A4C5C" w:rsidRPr="00BF5E97" w:rsidRDefault="006A4C5C" w:rsidP="006A4C5C">
      <w:pPr>
        <w:pStyle w:val="Funotentext"/>
      </w:pPr>
      <w:r w:rsidRPr="00BF5E97">
        <w:rPr>
          <w:rStyle w:val="Funotenzeichen"/>
        </w:rPr>
        <w:footnoteRef/>
      </w:r>
      <w:r w:rsidRPr="00BF5E97">
        <w:t xml:space="preserve"> This obligation </w:t>
      </w:r>
      <w:r w:rsidR="009E6336" w:rsidRPr="00BF5E97">
        <w:t xml:space="preserve">for an issuer </w:t>
      </w:r>
      <w:r w:rsidRPr="00BF5E97">
        <w:t xml:space="preserve">also </w:t>
      </w:r>
      <w:r w:rsidR="009E6336" w:rsidRPr="00BF5E97">
        <w:t xml:space="preserve">applies </w:t>
      </w:r>
      <w:r w:rsidRPr="00BF5E97">
        <w:t>to a person applying for admission of securities to trading on a regulated market</w:t>
      </w:r>
      <w:r w:rsidR="00170603" w:rsidRPr="00BF5E97">
        <w:t>,</w:t>
      </w:r>
      <w:r w:rsidRPr="00BF5E97">
        <w:t xml:space="preserve"> article 2(1)(k) TD.</w:t>
      </w:r>
    </w:p>
  </w:footnote>
  <w:footnote w:id="272">
    <w:p w14:paraId="60BCF36B" w14:textId="4DE47506" w:rsidR="00043755" w:rsidRPr="00881EF0" w:rsidRDefault="0004375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2(1)(k) TD.</w:t>
      </w:r>
    </w:p>
  </w:footnote>
  <w:footnote w:id="273">
    <w:p w14:paraId="13CF703A" w14:textId="18AEBE95" w:rsidR="00E863B5" w:rsidRPr="00881EF0" w:rsidRDefault="00E863B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19(1) TD.</w:t>
      </w:r>
    </w:p>
  </w:footnote>
  <w:footnote w:id="274">
    <w:p w14:paraId="3D3478DD" w14:textId="53D5F1A3" w:rsidR="00E863B5" w:rsidRPr="00881EF0" w:rsidRDefault="00E863B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20(1), (2)(a) TD.</w:t>
      </w:r>
    </w:p>
  </w:footnote>
  <w:footnote w:id="275">
    <w:p w14:paraId="00C3CDF3" w14:textId="17020F22" w:rsidR="00E863B5" w:rsidRPr="00881EF0" w:rsidRDefault="00E863B5">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20(2)(b) TD.</w:t>
      </w:r>
    </w:p>
  </w:footnote>
  <w:footnote w:id="276">
    <w:p w14:paraId="4FDE658F" w14:textId="5B311FCA" w:rsidR="00C723BE" w:rsidRPr="00881EF0" w:rsidRDefault="00C723BE">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21(1).</w:t>
      </w:r>
    </w:p>
  </w:footnote>
  <w:footnote w:id="277">
    <w:p w14:paraId="2625539A" w14:textId="620F90DF" w:rsidR="00661D21" w:rsidRPr="00881EF0" w:rsidRDefault="00661D21">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24(1) TD.</w:t>
      </w:r>
    </w:p>
  </w:footnote>
  <w:footnote w:id="278">
    <w:p w14:paraId="0C2AB2E6" w14:textId="417FB3D0" w:rsidR="0095240B" w:rsidRPr="00881EF0" w:rsidRDefault="0095240B">
      <w:pPr>
        <w:pStyle w:val="Funotentext"/>
        <w:rPr>
          <w:lang w:val="fr-CA"/>
        </w:rPr>
      </w:pPr>
      <w:r w:rsidRPr="00BF5E97">
        <w:rPr>
          <w:rStyle w:val="Funotenzeichen"/>
        </w:rPr>
        <w:footnoteRef/>
      </w:r>
      <w:r w:rsidRPr="00881EF0">
        <w:rPr>
          <w:lang w:val="fr-CA"/>
        </w:rPr>
        <w:t xml:space="preserve"> </w:t>
      </w:r>
      <w:r w:rsidRPr="00881EF0">
        <w:rPr>
          <w:lang w:val="fr-CA"/>
        </w:rPr>
        <w:t xml:space="preserve">See </w:t>
      </w:r>
      <w:hyperlink r:id="rId11" w:history="1">
        <w:r w:rsidRPr="00881EF0">
          <w:rPr>
            <w:rStyle w:val="Hyperlink"/>
            <w:lang w:val="fr-CA"/>
          </w:rPr>
          <w:t>https://www.esma.europa.eu/sites/default/files/transparency_directive.pdf</w:t>
        </w:r>
      </w:hyperlink>
      <w:r w:rsidRPr="00881EF0">
        <w:rPr>
          <w:lang w:val="fr-CA"/>
        </w:rPr>
        <w:t xml:space="preserve">. </w:t>
      </w:r>
    </w:p>
  </w:footnote>
  <w:footnote w:id="279">
    <w:p w14:paraId="28588F2C" w14:textId="496A8984" w:rsidR="0095240B" w:rsidRPr="00881EF0" w:rsidRDefault="0095240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28(1) TD.</w:t>
      </w:r>
    </w:p>
  </w:footnote>
  <w:footnote w:id="280">
    <w:p w14:paraId="1090DC29" w14:textId="50C78AA4" w:rsidR="0095240B" w:rsidRPr="00881EF0" w:rsidRDefault="0095240B">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28a TD.</w:t>
      </w:r>
    </w:p>
  </w:footnote>
  <w:footnote w:id="281">
    <w:p w14:paraId="70BF9C1B" w14:textId="3B6AB6C8"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28b(1)(a) TD.</w:t>
      </w:r>
    </w:p>
  </w:footnote>
  <w:footnote w:id="282">
    <w:p w14:paraId="4F82AB42" w14:textId="0E79C461"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28b(1)(b) TD.</w:t>
      </w:r>
    </w:p>
  </w:footnote>
  <w:footnote w:id="283">
    <w:p w14:paraId="46549B4A" w14:textId="01014E9A"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 xml:space="preserve">28b(1)(c) TD, §§ 120 </w:t>
      </w:r>
      <w:r w:rsidRPr="00503463">
        <w:rPr>
          <w:lang w:val="fr-FR"/>
        </w:rPr>
        <w:t>ff. WpHG.</w:t>
      </w:r>
    </w:p>
  </w:footnote>
  <w:footnote w:id="284">
    <w:p w14:paraId="0714743A" w14:textId="38009865" w:rsidR="0095240B" w:rsidRPr="00503463" w:rsidRDefault="0095240B">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29(1) TD.</w:t>
      </w:r>
    </w:p>
  </w:footnote>
  <w:footnote w:id="285">
    <w:p w14:paraId="1C488B49" w14:textId="3B9E7E60" w:rsidR="00CB42D4" w:rsidRPr="00CB42D4" w:rsidRDefault="00CB42D4">
      <w:pPr>
        <w:pStyle w:val="Funotentext"/>
      </w:pPr>
      <w:r>
        <w:rPr>
          <w:rStyle w:val="Funotenzeichen"/>
        </w:rPr>
        <w:footnoteRef/>
      </w:r>
      <w:r>
        <w:t xml:space="preserve"> T</w:t>
      </w:r>
      <w:r w:rsidRPr="00CB42D4">
        <w:t xml:space="preserve">he ECJ decision in </w:t>
      </w:r>
      <w:r w:rsidRPr="00CB42D4">
        <w:rPr>
          <w:i/>
        </w:rPr>
        <w:t>Paul</w:t>
      </w:r>
      <w:r w:rsidRPr="00CB42D4">
        <w:t xml:space="preserve"> had confirmed compatibility of § 4(4) </w:t>
      </w:r>
      <w:r w:rsidRPr="00CB42D4">
        <w:t>FinDAG in a different context</w:t>
      </w:r>
      <w:r w:rsidR="006E73B5">
        <w:t xml:space="preserve">: </w:t>
      </w:r>
      <w:r w:rsidR="006E73B5" w:rsidRPr="006E73B5">
        <w:t xml:space="preserve">Case C-222/02, </w:t>
      </w:r>
      <w:r w:rsidR="006E73B5" w:rsidRPr="006E73B5">
        <w:rPr>
          <w:i/>
        </w:rPr>
        <w:t>Peter Paul v. Bundesrepublik Deutschland</w:t>
      </w:r>
      <w:r>
        <w:t>.</w:t>
      </w:r>
    </w:p>
  </w:footnote>
  <w:footnote w:id="286">
    <w:p w14:paraId="0463F489" w14:textId="35BC5905" w:rsidR="006E73B5" w:rsidRPr="006E73B5" w:rsidRDefault="006E73B5">
      <w:pPr>
        <w:pStyle w:val="Funotentext"/>
      </w:pPr>
      <w:r>
        <w:rPr>
          <w:rStyle w:val="Funotenzeichen"/>
        </w:rPr>
        <w:footnoteRef/>
      </w:r>
      <w:r w:rsidRPr="006E73B5">
        <w:t xml:space="preserve"> BGH, 10 January 2024, III ZR 57/23, NZG 2024, 305 – Wirecard.</w:t>
      </w:r>
    </w:p>
  </w:footnote>
  <w:footnote w:id="287">
    <w:p w14:paraId="3FECA0DF" w14:textId="4CFDE81F" w:rsidR="00F72BA1" w:rsidRPr="00BF5E97" w:rsidRDefault="00F72BA1">
      <w:pPr>
        <w:pStyle w:val="Funotentext"/>
      </w:pPr>
      <w:r w:rsidRPr="00BF5E97">
        <w:rPr>
          <w:rStyle w:val="Funotenzeichen"/>
        </w:rPr>
        <w:footnoteRef/>
      </w:r>
      <w:r w:rsidRPr="00BF5E97">
        <w:t xml:space="preserve"> Conceptually, such bids could also relate to debt securities, but this is a rare exception in practice.</w:t>
      </w:r>
    </w:p>
  </w:footnote>
  <w:footnote w:id="288">
    <w:p w14:paraId="37C87901" w14:textId="790F75BF" w:rsidR="00126A97" w:rsidRPr="00881EF0" w:rsidRDefault="00126A97" w:rsidP="00126A97">
      <w:pPr>
        <w:pStyle w:val="Funotentext"/>
        <w:rPr>
          <w:lang w:val="pt-BR"/>
        </w:rPr>
      </w:pPr>
      <w:r w:rsidRPr="00BF5E97">
        <w:rPr>
          <w:rStyle w:val="Funotenzeichen"/>
        </w:rPr>
        <w:footnoteRef/>
      </w:r>
      <w:r w:rsidRPr="00881EF0">
        <w:rPr>
          <w:lang w:val="pt-BR"/>
        </w:rPr>
        <w:t xml:space="preserve"> COM(88) 823 final – SYN 186, OJ 14 </w:t>
      </w:r>
      <w:r w:rsidRPr="00881EF0">
        <w:rPr>
          <w:lang w:val="pt-BR"/>
        </w:rPr>
        <w:t>March 1989, C64/8.</w:t>
      </w:r>
    </w:p>
  </w:footnote>
  <w:footnote w:id="289">
    <w:p w14:paraId="3C1959E5" w14:textId="5F6CE7A8" w:rsidR="009A3BED" w:rsidRPr="00881EF0" w:rsidRDefault="009A3BED">
      <w:pPr>
        <w:pStyle w:val="Funotentext"/>
        <w:rPr>
          <w:lang w:val="pt-BR"/>
        </w:rPr>
      </w:pPr>
      <w:r w:rsidRPr="00BF5E97">
        <w:rPr>
          <w:rStyle w:val="Funotenzeichen"/>
        </w:rPr>
        <w:footnoteRef/>
      </w:r>
      <w:r w:rsidRPr="00881EF0">
        <w:rPr>
          <w:lang w:val="pt-BR"/>
        </w:rPr>
        <w:t xml:space="preserve"> Recital (2) TBD.</w:t>
      </w:r>
    </w:p>
  </w:footnote>
  <w:footnote w:id="290">
    <w:p w14:paraId="7D30D0E3" w14:textId="1BEBD9E1" w:rsidR="009A3BED" w:rsidRPr="002C480F" w:rsidRDefault="009A3BED">
      <w:pPr>
        <w:pStyle w:val="Funotentext"/>
        <w:rPr>
          <w:lang w:val="fr-CA"/>
        </w:rPr>
      </w:pPr>
      <w:r w:rsidRPr="00BF5E97">
        <w:rPr>
          <w:rStyle w:val="Funotenzeichen"/>
        </w:rPr>
        <w:footnoteRef/>
      </w:r>
      <w:r w:rsidRPr="002C480F">
        <w:rPr>
          <w:lang w:val="fr-CA"/>
        </w:rPr>
        <w:t xml:space="preserve"> </w:t>
      </w:r>
      <w:r w:rsidRPr="002C480F">
        <w:rPr>
          <w:lang w:val="fr-CA"/>
        </w:rPr>
        <w:t>Recital (3) TBD.</w:t>
      </w:r>
    </w:p>
  </w:footnote>
  <w:footnote w:id="291">
    <w:p w14:paraId="66842BDB" w14:textId="6879542F" w:rsidR="00126A97" w:rsidRPr="002C480F" w:rsidRDefault="00126A97">
      <w:pPr>
        <w:pStyle w:val="Funotentext"/>
        <w:rPr>
          <w:lang w:val="fr-CA"/>
        </w:rPr>
      </w:pPr>
      <w:r w:rsidRPr="00BF5E97">
        <w:rPr>
          <w:rStyle w:val="Funotenzeichen"/>
        </w:rPr>
        <w:footnoteRef/>
      </w:r>
      <w:r w:rsidRPr="002C480F">
        <w:rPr>
          <w:lang w:val="fr-CA"/>
        </w:rPr>
        <w:t xml:space="preserve"> </w:t>
      </w:r>
      <w:r w:rsidR="001870C0" w:rsidRPr="002C480F">
        <w:rPr>
          <w:lang w:val="fr-CA"/>
        </w:rPr>
        <w:t>Article </w:t>
      </w:r>
      <w:r w:rsidRPr="002C480F">
        <w:rPr>
          <w:lang w:val="fr-CA"/>
        </w:rPr>
        <w:t>2(1)(a) TBD.</w:t>
      </w:r>
    </w:p>
  </w:footnote>
  <w:footnote w:id="292">
    <w:p w14:paraId="0C3D936E" w14:textId="2E7F888A" w:rsidR="00126A97" w:rsidRPr="002C480F" w:rsidRDefault="00126A97">
      <w:pPr>
        <w:pStyle w:val="Funotentext"/>
        <w:rPr>
          <w:lang w:val="fr-CA"/>
        </w:rPr>
      </w:pPr>
      <w:r w:rsidRPr="00BF5E97">
        <w:rPr>
          <w:rStyle w:val="Funotenzeichen"/>
        </w:rPr>
        <w:footnoteRef/>
      </w:r>
      <w:r w:rsidRPr="002C480F">
        <w:rPr>
          <w:lang w:val="fr-CA"/>
        </w:rPr>
        <w:t xml:space="preserve"> </w:t>
      </w:r>
      <w:r w:rsidR="001870C0" w:rsidRPr="002C480F">
        <w:rPr>
          <w:lang w:val="fr-CA"/>
        </w:rPr>
        <w:t>Article </w:t>
      </w:r>
      <w:r w:rsidRPr="002C480F">
        <w:rPr>
          <w:lang w:val="fr-CA"/>
        </w:rPr>
        <w:t>2(1)(e) TBD.</w:t>
      </w:r>
    </w:p>
  </w:footnote>
  <w:footnote w:id="293">
    <w:p w14:paraId="76896D77" w14:textId="0FD1CDB4" w:rsidR="00126A97" w:rsidRPr="002C480F" w:rsidRDefault="00126A97">
      <w:pPr>
        <w:pStyle w:val="Funotentext"/>
        <w:rPr>
          <w:lang w:val="fr-CA"/>
        </w:rPr>
      </w:pPr>
      <w:r w:rsidRPr="00BF5E97">
        <w:rPr>
          <w:rStyle w:val="Funotenzeichen"/>
        </w:rPr>
        <w:footnoteRef/>
      </w:r>
      <w:r w:rsidRPr="002C480F">
        <w:rPr>
          <w:lang w:val="fr-CA"/>
        </w:rPr>
        <w:t xml:space="preserve"> </w:t>
      </w:r>
      <w:r w:rsidR="001870C0" w:rsidRPr="002C480F">
        <w:rPr>
          <w:lang w:val="fr-CA"/>
        </w:rPr>
        <w:t>Article </w:t>
      </w:r>
      <w:r w:rsidRPr="002C480F">
        <w:rPr>
          <w:lang w:val="fr-CA"/>
        </w:rPr>
        <w:t>1(1) TBD.</w:t>
      </w:r>
    </w:p>
  </w:footnote>
  <w:footnote w:id="294">
    <w:p w14:paraId="1455058A" w14:textId="217CECF1" w:rsidR="00F5023D" w:rsidRPr="00881EF0" w:rsidRDefault="00F5023D">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3(1)(a) TBD.</w:t>
      </w:r>
    </w:p>
  </w:footnote>
  <w:footnote w:id="295">
    <w:p w14:paraId="592836FB" w14:textId="5494120A"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3(1)(b) TBD.</w:t>
      </w:r>
    </w:p>
  </w:footnote>
  <w:footnote w:id="296">
    <w:p w14:paraId="019B9B41" w14:textId="3C10FCD9"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3(1)(c) TBD.</w:t>
      </w:r>
    </w:p>
  </w:footnote>
  <w:footnote w:id="297">
    <w:p w14:paraId="2A0341B5" w14:textId="6DBE1CBE"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3(1)(d) TBD.</w:t>
      </w:r>
    </w:p>
  </w:footnote>
  <w:footnote w:id="298">
    <w:p w14:paraId="345BA4CE" w14:textId="051BACB9"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3(1)(e) TBD.</w:t>
      </w:r>
    </w:p>
  </w:footnote>
  <w:footnote w:id="299">
    <w:p w14:paraId="705CC5DB" w14:textId="40155668" w:rsidR="007E5F76" w:rsidRPr="00881EF0" w:rsidRDefault="007E5F76" w:rsidP="007E5F76">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3(1)(f) TBD.</w:t>
      </w:r>
    </w:p>
  </w:footnote>
  <w:footnote w:id="300">
    <w:p w14:paraId="52E295E3" w14:textId="68625C3C" w:rsidR="00294DF0" w:rsidRPr="00881EF0" w:rsidRDefault="00294DF0">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2(1)(a) TBD.</w:t>
      </w:r>
    </w:p>
  </w:footnote>
  <w:footnote w:id="301">
    <w:p w14:paraId="494D2737" w14:textId="68132B27" w:rsidR="00294DF0" w:rsidRPr="00503463" w:rsidRDefault="00294DF0">
      <w:pPr>
        <w:pStyle w:val="Funotentext"/>
        <w:rPr>
          <w:lang w:val="fr-FR"/>
        </w:rPr>
      </w:pPr>
      <w:r w:rsidRPr="00BF5E97">
        <w:rPr>
          <w:rStyle w:val="Funotenzeichen"/>
        </w:rPr>
        <w:footnoteRef/>
      </w:r>
      <w:r w:rsidRPr="00503463">
        <w:rPr>
          <w:lang w:val="fr-FR"/>
        </w:rPr>
        <w:t xml:space="preserve"> </w:t>
      </w:r>
      <w:r w:rsidR="001870C0" w:rsidRPr="00503463">
        <w:rPr>
          <w:lang w:val="fr-FR"/>
        </w:rPr>
        <w:t>Article </w:t>
      </w:r>
      <w:r w:rsidRPr="00503463">
        <w:rPr>
          <w:lang w:val="fr-FR"/>
        </w:rPr>
        <w:t>5(3) TBD.</w:t>
      </w:r>
    </w:p>
  </w:footnote>
  <w:footnote w:id="302">
    <w:p w14:paraId="24555CC2" w14:textId="2F662075" w:rsidR="00294DF0" w:rsidRPr="00BF5E97" w:rsidRDefault="00294DF0">
      <w:pPr>
        <w:pStyle w:val="Funotentext"/>
      </w:pPr>
      <w:r w:rsidRPr="00BF5E97">
        <w:rPr>
          <w:rStyle w:val="Funotenzeichen"/>
        </w:rPr>
        <w:footnoteRef/>
      </w:r>
      <w:r w:rsidRPr="00BF5E97">
        <w:t xml:space="preserve"> </w:t>
      </w:r>
      <w:r w:rsidR="001870C0" w:rsidRPr="00BF5E97">
        <w:t>Article </w:t>
      </w:r>
      <w:r w:rsidRPr="00BF5E97">
        <w:t>5(1) TBD.</w:t>
      </w:r>
      <w:r w:rsidR="001736D6" w:rsidRPr="00BF5E97">
        <w:t xml:space="preserve"> The concept of “acting in concert” is defined in article 2(1)(d) TBD.</w:t>
      </w:r>
    </w:p>
  </w:footnote>
  <w:footnote w:id="303">
    <w:p w14:paraId="4B80512D" w14:textId="77777777" w:rsidR="00CE012B" w:rsidRPr="00881EF0" w:rsidRDefault="00CE012B" w:rsidP="00CE012B">
      <w:pPr>
        <w:pStyle w:val="Funotentext"/>
        <w:rPr>
          <w:lang w:val="fr-CA"/>
        </w:rPr>
      </w:pPr>
      <w:r w:rsidRPr="00BF5E97">
        <w:rPr>
          <w:rStyle w:val="Funotenzeichen"/>
        </w:rPr>
        <w:footnoteRef/>
      </w:r>
      <w:r w:rsidRPr="00881EF0">
        <w:rPr>
          <w:lang w:val="fr-CA"/>
        </w:rPr>
        <w:t xml:space="preserve"> Article 5(1) TBD.</w:t>
      </w:r>
    </w:p>
  </w:footnote>
  <w:footnote w:id="304">
    <w:p w14:paraId="6D438FB7" w14:textId="503CF824" w:rsidR="00DF7D68" w:rsidRPr="00881EF0" w:rsidRDefault="00DF7D6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5(1) TBD.</w:t>
      </w:r>
    </w:p>
  </w:footnote>
  <w:footnote w:id="305">
    <w:p w14:paraId="7C4B9129" w14:textId="32571765" w:rsidR="00DF7D68" w:rsidRPr="00881EF0" w:rsidRDefault="00DF7D68">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5(4)(1) TBD.</w:t>
      </w:r>
    </w:p>
  </w:footnote>
  <w:footnote w:id="306">
    <w:p w14:paraId="136FA898" w14:textId="17016EBA" w:rsidR="00303457" w:rsidRPr="00881EF0" w:rsidRDefault="0030345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5(4)(2) TBD.</w:t>
      </w:r>
    </w:p>
  </w:footnote>
  <w:footnote w:id="307">
    <w:p w14:paraId="649F86CF" w14:textId="31F8A03E" w:rsidR="001739C7" w:rsidRPr="00881EF0" w:rsidRDefault="001739C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 xml:space="preserve">5(4)(1) TBD </w:t>
      </w:r>
      <w:r w:rsidRPr="00881EF0">
        <w:rPr>
          <w:i/>
          <w:lang w:val="fr-CA"/>
        </w:rPr>
        <w:t>in fine</w:t>
      </w:r>
      <w:r w:rsidRPr="00881EF0">
        <w:rPr>
          <w:lang w:val="fr-CA"/>
        </w:rPr>
        <w:t>.</w:t>
      </w:r>
    </w:p>
  </w:footnote>
  <w:footnote w:id="308">
    <w:p w14:paraId="4C12831C" w14:textId="6E08F2F2" w:rsidR="00F22F27" w:rsidRPr="00881EF0" w:rsidRDefault="00F22F27">
      <w:pPr>
        <w:pStyle w:val="Funotentext"/>
        <w:rPr>
          <w:lang w:val="fr-CA"/>
        </w:rPr>
      </w:pPr>
      <w:r w:rsidRPr="00BF5E97">
        <w:rPr>
          <w:rStyle w:val="Funotenzeichen"/>
        </w:rPr>
        <w:footnoteRef/>
      </w:r>
      <w:r w:rsidRPr="00881EF0">
        <w:rPr>
          <w:lang w:val="fr-CA"/>
        </w:rPr>
        <w:t xml:space="preserve"> </w:t>
      </w:r>
      <w:r w:rsidR="001870C0" w:rsidRPr="00881EF0">
        <w:rPr>
          <w:lang w:val="fr-CA"/>
        </w:rPr>
        <w:t>Article </w:t>
      </w:r>
      <w:r w:rsidRPr="00881EF0">
        <w:rPr>
          <w:lang w:val="fr-CA"/>
        </w:rPr>
        <w:t>5(5) TBD.</w:t>
      </w:r>
    </w:p>
  </w:footnote>
  <w:footnote w:id="309">
    <w:p w14:paraId="7CA06A90" w14:textId="1BBAD9A6" w:rsidR="009227C9" w:rsidRPr="00881EF0" w:rsidRDefault="009227C9">
      <w:pPr>
        <w:pStyle w:val="Funotentext"/>
        <w:rPr>
          <w:lang w:val="fr-CA"/>
        </w:rPr>
      </w:pPr>
      <w:r w:rsidRPr="00BF5E97">
        <w:rPr>
          <w:rStyle w:val="Funotenzeichen"/>
        </w:rPr>
        <w:footnoteRef/>
      </w:r>
      <w:r w:rsidRPr="00881EF0">
        <w:rPr>
          <w:lang w:val="fr-CA"/>
        </w:rPr>
        <w:t xml:space="preserve"> Article 9(2) TBD.</w:t>
      </w:r>
    </w:p>
  </w:footnote>
  <w:footnote w:id="310">
    <w:p w14:paraId="06B3F81D" w14:textId="49D372C8" w:rsidR="00BF539D" w:rsidRPr="00881EF0" w:rsidRDefault="00BF539D">
      <w:pPr>
        <w:pStyle w:val="Funotentext"/>
        <w:rPr>
          <w:lang w:val="fr-CA"/>
        </w:rPr>
      </w:pPr>
      <w:r w:rsidRPr="00BF5E97">
        <w:rPr>
          <w:rStyle w:val="Funotenzeichen"/>
        </w:rPr>
        <w:footnoteRef/>
      </w:r>
      <w:r w:rsidRPr="00881EF0">
        <w:rPr>
          <w:lang w:val="fr-CA"/>
        </w:rPr>
        <w:t xml:space="preserve"> Cf. </w:t>
      </w:r>
      <w:r w:rsidR="001870C0" w:rsidRPr="00881EF0">
        <w:rPr>
          <w:lang w:val="fr-CA"/>
        </w:rPr>
        <w:t>articles </w:t>
      </w:r>
      <w:r w:rsidRPr="00881EF0">
        <w:rPr>
          <w:lang w:val="fr-CA"/>
        </w:rPr>
        <w:t>9, 11 TBD.</w:t>
      </w:r>
    </w:p>
  </w:footnote>
  <w:footnote w:id="311">
    <w:p w14:paraId="1A0F2564" w14:textId="2C75B9BF" w:rsidR="00BF539D" w:rsidRPr="00BF5E97" w:rsidRDefault="00BF539D">
      <w:pPr>
        <w:pStyle w:val="Funotentext"/>
      </w:pPr>
      <w:r w:rsidRPr="00BF5E97">
        <w:rPr>
          <w:rStyle w:val="Funotenzeichen"/>
        </w:rPr>
        <w:footnoteRef/>
      </w:r>
      <w:r w:rsidRPr="00BF5E97">
        <w:t xml:space="preserve"> § 1(1) </w:t>
      </w:r>
      <w:r w:rsidRPr="00BF5E97">
        <w:t>WpÜG.</w:t>
      </w:r>
    </w:p>
  </w:footnote>
  <w:footnote w:id="312">
    <w:p w14:paraId="21FD3427" w14:textId="77EE4B68" w:rsidR="00BF539D" w:rsidRPr="00BF5E97" w:rsidRDefault="00BF539D">
      <w:pPr>
        <w:pStyle w:val="Funotentext"/>
      </w:pPr>
      <w:r w:rsidRPr="00BF5E97">
        <w:rPr>
          <w:rStyle w:val="Funotenzeichen"/>
        </w:rPr>
        <w:footnoteRef/>
      </w:r>
      <w:r w:rsidRPr="00BF5E97">
        <w:t xml:space="preserve"> § 2(2) </w:t>
      </w:r>
      <w:r w:rsidRPr="00BF5E97">
        <w:t>WpÜG.</w:t>
      </w:r>
    </w:p>
  </w:footnote>
  <w:footnote w:id="313">
    <w:p w14:paraId="63526FFB" w14:textId="77777777" w:rsidR="0010799A" w:rsidRPr="00BF5E97" w:rsidRDefault="0010799A" w:rsidP="0010799A">
      <w:pPr>
        <w:pStyle w:val="Funotentext"/>
      </w:pPr>
      <w:r w:rsidRPr="00BF5E97">
        <w:rPr>
          <w:rStyle w:val="Funotenzeichen"/>
        </w:rPr>
        <w:footnoteRef/>
      </w:r>
      <w:r w:rsidRPr="00BF5E97">
        <w:t xml:space="preserve"> § 32 </w:t>
      </w:r>
      <w:r w:rsidRPr="00BF5E97">
        <w:t>WpÜG prohibits partial offers in case of takeover bids (and this provision applies also in the context of a mandatory offer, § 39 WpÜG).</w:t>
      </w:r>
    </w:p>
  </w:footnote>
  <w:footnote w:id="314">
    <w:p w14:paraId="7C4B1DAF" w14:textId="1E59372C" w:rsidR="006108E4" w:rsidRPr="00BF5E97" w:rsidRDefault="006108E4" w:rsidP="006108E4">
      <w:pPr>
        <w:pStyle w:val="Funotentext"/>
      </w:pPr>
      <w:r w:rsidRPr="00BF5E97">
        <w:rPr>
          <w:rStyle w:val="Funotenzeichen"/>
        </w:rPr>
        <w:footnoteRef/>
      </w:r>
      <w:r w:rsidRPr="00BF5E97">
        <w:t xml:space="preserve"> See </w:t>
      </w:r>
      <w:hyperlink r:id="rId12" w:history="1">
        <w:r w:rsidRPr="00BF5E97">
          <w:rPr>
            <w:rStyle w:val="Hyperlink"/>
          </w:rPr>
          <w:t>https://www.bafin.de/SharedDocs/Standardartikel/EN/bieterpflichten_wpueg_en.html</w:t>
        </w:r>
      </w:hyperlink>
      <w:r w:rsidRPr="00BF5E97">
        <w:t xml:space="preserve"> (accessed </w:t>
      </w:r>
      <w:r w:rsidR="002C742D">
        <w:t>2 April 2025</w:t>
      </w:r>
      <w:r w:rsidRPr="00BF5E97">
        <w:t>).</w:t>
      </w:r>
    </w:p>
  </w:footnote>
  <w:footnote w:id="315">
    <w:p w14:paraId="0F1F4DCC" w14:textId="7D5212AF" w:rsidR="00620FB0" w:rsidRPr="00881EF0" w:rsidRDefault="00620FB0">
      <w:pPr>
        <w:pStyle w:val="Funotentext"/>
        <w:rPr>
          <w:lang w:val="de-DE"/>
        </w:rPr>
      </w:pPr>
      <w:r w:rsidRPr="00BF5E97">
        <w:rPr>
          <w:rStyle w:val="Funotenzeichen"/>
        </w:rPr>
        <w:footnoteRef/>
      </w:r>
      <w:r w:rsidRPr="00881EF0">
        <w:rPr>
          <w:lang w:val="de-DE"/>
        </w:rPr>
        <w:t xml:space="preserve"> § 29(1) WpÜG.</w:t>
      </w:r>
    </w:p>
  </w:footnote>
  <w:footnote w:id="316">
    <w:p w14:paraId="3697B2C8" w14:textId="4740E704" w:rsidR="00EE096A" w:rsidRPr="00881EF0" w:rsidRDefault="00EE096A">
      <w:pPr>
        <w:pStyle w:val="Funotentext"/>
        <w:rPr>
          <w:lang w:val="de-DE"/>
        </w:rPr>
      </w:pPr>
      <w:r w:rsidRPr="00BF5E97">
        <w:rPr>
          <w:rStyle w:val="Funotenzeichen"/>
        </w:rPr>
        <w:footnoteRef/>
      </w:r>
      <w:r w:rsidRPr="00881EF0">
        <w:rPr>
          <w:lang w:val="de-DE"/>
        </w:rPr>
        <w:t xml:space="preserve"> § 4 WpÜG-</w:t>
      </w:r>
      <w:r w:rsidRPr="00881EF0">
        <w:rPr>
          <w:lang w:val="de-DE"/>
        </w:rPr>
        <w:t xml:space="preserve">AngebotsVO. </w:t>
      </w:r>
    </w:p>
  </w:footnote>
  <w:footnote w:id="317">
    <w:p w14:paraId="5EE06873" w14:textId="5A56E361" w:rsidR="00EE096A" w:rsidRPr="00881EF0" w:rsidRDefault="00EE096A">
      <w:pPr>
        <w:pStyle w:val="Funotentext"/>
        <w:rPr>
          <w:lang w:val="de-DE"/>
        </w:rPr>
      </w:pPr>
      <w:r w:rsidRPr="00BF5E97">
        <w:rPr>
          <w:rStyle w:val="Funotenzeichen"/>
        </w:rPr>
        <w:footnoteRef/>
      </w:r>
      <w:r w:rsidRPr="00881EF0">
        <w:rPr>
          <w:lang w:val="de-DE"/>
        </w:rPr>
        <w:t xml:space="preserve"> § 5(1) WpÜG-</w:t>
      </w:r>
      <w:r w:rsidRPr="00881EF0">
        <w:rPr>
          <w:lang w:val="de-DE"/>
        </w:rPr>
        <w:t xml:space="preserve">AngebotsVO. </w:t>
      </w:r>
    </w:p>
  </w:footnote>
  <w:footnote w:id="318">
    <w:p w14:paraId="79012DDA" w14:textId="5008703B" w:rsidR="00053326" w:rsidRPr="00881EF0" w:rsidRDefault="00053326">
      <w:pPr>
        <w:pStyle w:val="Funotentext"/>
        <w:rPr>
          <w:lang w:val="de-DE"/>
        </w:rPr>
      </w:pPr>
      <w:r w:rsidRPr="00BF5E97">
        <w:rPr>
          <w:rStyle w:val="Funotenzeichen"/>
        </w:rPr>
        <w:footnoteRef/>
      </w:r>
      <w:r w:rsidRPr="00881EF0">
        <w:rPr>
          <w:lang w:val="de-DE"/>
        </w:rPr>
        <w:t xml:space="preserve"> § 5(4) WpÜG</w:t>
      </w:r>
      <w:r w:rsidR="00DA07B8">
        <w:rPr>
          <w:lang w:val="de-DE"/>
        </w:rPr>
        <w:t>-</w:t>
      </w:r>
      <w:r w:rsidRPr="00881EF0">
        <w:rPr>
          <w:lang w:val="de-DE"/>
        </w:rPr>
        <w:t>Angebot</w:t>
      </w:r>
      <w:r w:rsidR="003E4025" w:rsidRPr="00881EF0">
        <w:rPr>
          <w:lang w:val="de-DE"/>
        </w:rPr>
        <w:t>s</w:t>
      </w:r>
      <w:r w:rsidRPr="00881EF0">
        <w:rPr>
          <w:lang w:val="de-DE"/>
        </w:rPr>
        <w:t>VO.</w:t>
      </w:r>
    </w:p>
  </w:footnote>
  <w:footnote w:id="319">
    <w:p w14:paraId="71FB63CF" w14:textId="2F507E7D" w:rsidR="00126A63" w:rsidRPr="00881EF0" w:rsidRDefault="00126A63">
      <w:pPr>
        <w:pStyle w:val="Funotentext"/>
        <w:rPr>
          <w:lang w:val="de-DE"/>
        </w:rPr>
      </w:pPr>
      <w:r w:rsidRPr="00BF5E97">
        <w:rPr>
          <w:rStyle w:val="Funotenzeichen"/>
        </w:rPr>
        <w:footnoteRef/>
      </w:r>
      <w:r w:rsidRPr="00881EF0">
        <w:rPr>
          <w:lang w:val="de-DE"/>
        </w:rPr>
        <w:t xml:space="preserve"> § 31(4), (5) WpÜG.</w:t>
      </w:r>
    </w:p>
  </w:footnote>
  <w:footnote w:id="320">
    <w:p w14:paraId="1072CD57" w14:textId="15A369F5" w:rsidR="00126A63" w:rsidRPr="00881EF0" w:rsidRDefault="00126A63">
      <w:pPr>
        <w:pStyle w:val="Funotentext"/>
        <w:rPr>
          <w:lang w:val="de-DE"/>
        </w:rPr>
      </w:pPr>
      <w:r w:rsidRPr="00BF5E97">
        <w:rPr>
          <w:rStyle w:val="Funotenzeichen"/>
        </w:rPr>
        <w:footnoteRef/>
      </w:r>
      <w:r w:rsidRPr="00881EF0">
        <w:rPr>
          <w:lang w:val="de-DE"/>
        </w:rPr>
        <w:t xml:space="preserve"> § 31(6) WpÜG.</w:t>
      </w:r>
    </w:p>
  </w:footnote>
  <w:footnote w:id="321">
    <w:p w14:paraId="74B13190" w14:textId="1552B437" w:rsidR="00272055" w:rsidRPr="00881EF0" w:rsidRDefault="00272055">
      <w:pPr>
        <w:pStyle w:val="Funotentext"/>
        <w:rPr>
          <w:lang w:val="de-DE"/>
        </w:rPr>
      </w:pPr>
      <w:r w:rsidRPr="00BF5E97">
        <w:rPr>
          <w:rStyle w:val="Funotenzeichen"/>
        </w:rPr>
        <w:footnoteRef/>
      </w:r>
      <w:r w:rsidRPr="00881EF0">
        <w:rPr>
          <w:lang w:val="de-DE"/>
        </w:rPr>
        <w:t xml:space="preserve"> § 31(2)(1) WpÜG.</w:t>
      </w:r>
    </w:p>
  </w:footnote>
  <w:footnote w:id="322">
    <w:p w14:paraId="7680C77C" w14:textId="6A5E96EC" w:rsidR="00272055" w:rsidRPr="00E051D5" w:rsidRDefault="00272055" w:rsidP="00272055">
      <w:pPr>
        <w:pStyle w:val="Funotentext"/>
      </w:pPr>
      <w:r w:rsidRPr="00BF5E97">
        <w:rPr>
          <w:rStyle w:val="Funotenzeichen"/>
        </w:rPr>
        <w:footnoteRef/>
      </w:r>
      <w:r w:rsidRPr="00E051D5">
        <w:t xml:space="preserve"> § 31(3) </w:t>
      </w:r>
      <w:r w:rsidRPr="00E051D5">
        <w:t>WpÜG.</w:t>
      </w:r>
    </w:p>
  </w:footnote>
  <w:footnote w:id="323">
    <w:p w14:paraId="293CDD24" w14:textId="570DE661" w:rsidR="00457FDF" w:rsidRPr="00BF5E97" w:rsidRDefault="00457FDF">
      <w:pPr>
        <w:pStyle w:val="Funotentext"/>
      </w:pPr>
      <w:r w:rsidRPr="00BF5E97">
        <w:rPr>
          <w:rStyle w:val="Funotenzeichen"/>
        </w:rPr>
        <w:footnoteRef/>
      </w:r>
      <w:r w:rsidRPr="00BF5E97">
        <w:t xml:space="preserve"> § 33(1)(1) </w:t>
      </w:r>
      <w:r w:rsidRPr="00BF5E97">
        <w:t>WpÜG.</w:t>
      </w:r>
    </w:p>
  </w:footnote>
  <w:footnote w:id="324">
    <w:p w14:paraId="2C17DEB0" w14:textId="57B96D39" w:rsidR="00AA1026" w:rsidRPr="00BF5E97" w:rsidRDefault="00AA1026">
      <w:pPr>
        <w:pStyle w:val="Funotentext"/>
      </w:pPr>
      <w:r w:rsidRPr="00BF5E97">
        <w:rPr>
          <w:rStyle w:val="Funotenzeichen"/>
        </w:rPr>
        <w:footnoteRef/>
      </w:r>
      <w:r w:rsidRPr="00BF5E97">
        <w:t xml:space="preserve"> The TBD regime (implemented in §§ 33a–33c </w:t>
      </w:r>
      <w:r w:rsidRPr="00BF5E97">
        <w:t>WpÜG) comes with stricter requirements of neutrality for the administration, and with a “breakthrough rule” in favour of the bidder – but is an “opt-in” system which only applies where the statutes of the target so provide</w:t>
      </w:r>
      <w:r w:rsidR="003A4417" w:rsidRPr="00BF5E97">
        <w:t xml:space="preserve">. It </w:t>
      </w:r>
      <w:r w:rsidRPr="00BF5E97">
        <w:t xml:space="preserve">has no </w:t>
      </w:r>
      <w:r w:rsidR="003A4417" w:rsidRPr="00BF5E97">
        <w:t xml:space="preserve">known </w:t>
      </w:r>
      <w:r w:rsidRPr="00BF5E97">
        <w:t xml:space="preserve">relevance in </w:t>
      </w:r>
      <w:r w:rsidR="003A4417" w:rsidRPr="00BF5E97">
        <w:t xml:space="preserve">German </w:t>
      </w:r>
      <w:r w:rsidRPr="00BF5E97">
        <w:t>practice.</w:t>
      </w:r>
    </w:p>
  </w:footnote>
  <w:footnote w:id="325">
    <w:p w14:paraId="02A31124" w14:textId="3296CDE8" w:rsidR="000E72E0" w:rsidRPr="00BF5E97" w:rsidRDefault="000E72E0">
      <w:pPr>
        <w:pStyle w:val="Funotentext"/>
      </w:pPr>
      <w:r w:rsidRPr="00BF5E97">
        <w:rPr>
          <w:rStyle w:val="Funotenzeichen"/>
        </w:rPr>
        <w:footnoteRef/>
      </w:r>
      <w:r w:rsidRPr="00BF5E97">
        <w:t xml:space="preserve"> § 35(1)</w:t>
      </w:r>
      <w:r w:rsidR="0012730F" w:rsidRPr="00BF5E97">
        <w:t xml:space="preserve"> s. </w:t>
      </w:r>
      <w:r w:rsidRPr="00BF5E97">
        <w:t xml:space="preserve">1 </w:t>
      </w:r>
      <w:r w:rsidRPr="00BF5E97">
        <w:t>WpÜG.</w:t>
      </w:r>
    </w:p>
  </w:footnote>
  <w:footnote w:id="326">
    <w:p w14:paraId="12A08F48" w14:textId="019FD291" w:rsidR="000E72E0" w:rsidRPr="00BF5E97" w:rsidRDefault="000E72E0">
      <w:pPr>
        <w:pStyle w:val="Funotentext"/>
      </w:pPr>
      <w:r w:rsidRPr="00BF5E97">
        <w:rPr>
          <w:rStyle w:val="Funotenzeichen"/>
        </w:rPr>
        <w:footnoteRef/>
      </w:r>
      <w:r w:rsidRPr="00BF5E97">
        <w:t xml:space="preserve"> § 35(2)</w:t>
      </w:r>
      <w:r w:rsidR="0012730F" w:rsidRPr="00BF5E97">
        <w:t xml:space="preserve"> s. </w:t>
      </w:r>
      <w:r w:rsidRPr="00BF5E97">
        <w:t xml:space="preserve">1 </w:t>
      </w:r>
      <w:r w:rsidRPr="00BF5E97">
        <w:t xml:space="preserve">WpÜG. </w:t>
      </w:r>
    </w:p>
  </w:footnote>
  <w:footnote w:id="327">
    <w:p w14:paraId="575FF687" w14:textId="50BDC38B" w:rsidR="008E296F" w:rsidRPr="00BF5E97" w:rsidRDefault="008E296F">
      <w:pPr>
        <w:pStyle w:val="Funotentext"/>
      </w:pPr>
      <w:r w:rsidRPr="00BF5E97">
        <w:rPr>
          <w:rStyle w:val="Funotenzeichen"/>
        </w:rPr>
        <w:footnoteRef/>
      </w:r>
      <w:r w:rsidRPr="00BF5E97">
        <w:t xml:space="preserve"> § 35(3) </w:t>
      </w:r>
      <w:r w:rsidRPr="00BF5E97">
        <w:t>WpÜG.</w:t>
      </w:r>
    </w:p>
  </w:footnote>
  <w:footnote w:id="328">
    <w:p w14:paraId="4355A8DF" w14:textId="774187F4" w:rsidR="009F1793" w:rsidRPr="00BF5E97" w:rsidRDefault="009F1793">
      <w:pPr>
        <w:pStyle w:val="Funotentext"/>
      </w:pPr>
      <w:r w:rsidRPr="00BF5E97">
        <w:rPr>
          <w:rStyle w:val="Funotenzeichen"/>
        </w:rPr>
        <w:footnoteRef/>
      </w:r>
      <w:r w:rsidRPr="00BF5E97">
        <w:t xml:space="preserve"> § 36 </w:t>
      </w:r>
      <w:r w:rsidRPr="00BF5E97">
        <w:t>WpÜG.</w:t>
      </w:r>
    </w:p>
  </w:footnote>
  <w:footnote w:id="329">
    <w:p w14:paraId="270676BC" w14:textId="7DDBD220" w:rsidR="009F1793" w:rsidRPr="00BF5E97" w:rsidRDefault="009F1793">
      <w:pPr>
        <w:pStyle w:val="Funotentext"/>
      </w:pPr>
      <w:r w:rsidRPr="00BF5E97">
        <w:rPr>
          <w:rStyle w:val="Funotenzeichen"/>
        </w:rPr>
        <w:footnoteRef/>
      </w:r>
      <w:r w:rsidRPr="00BF5E97">
        <w:t xml:space="preserve"> § 37(1) </w:t>
      </w:r>
      <w:r w:rsidRPr="00BF5E97">
        <w:t>WpÜG.</w:t>
      </w:r>
    </w:p>
  </w:footnote>
  <w:footnote w:id="330">
    <w:p w14:paraId="00E39027" w14:textId="3FA9D8CB" w:rsidR="00173572" w:rsidRPr="00BF5E97" w:rsidRDefault="00173572">
      <w:pPr>
        <w:pStyle w:val="Funotentext"/>
      </w:pPr>
      <w:r w:rsidRPr="00BF5E97">
        <w:rPr>
          <w:rStyle w:val="Funotenzeichen"/>
        </w:rPr>
        <w:footnoteRef/>
      </w:r>
      <w:r w:rsidRPr="00BF5E97">
        <w:t xml:space="preserve"> § 39 </w:t>
      </w:r>
      <w:r w:rsidRPr="00BF5E97">
        <w:t>WpÜG.</w:t>
      </w:r>
    </w:p>
  </w:footnote>
  <w:footnote w:id="331">
    <w:p w14:paraId="4D3C41AA" w14:textId="39996A63" w:rsidR="00847275" w:rsidRPr="00BF5E97" w:rsidRDefault="00847275">
      <w:pPr>
        <w:pStyle w:val="Funotentext"/>
      </w:pPr>
      <w:r w:rsidRPr="00BF5E97">
        <w:rPr>
          <w:rStyle w:val="Funotenzeichen"/>
        </w:rPr>
        <w:footnoteRef/>
      </w:r>
      <w:r w:rsidRPr="00BF5E97">
        <w:t xml:space="preserve"> § 39a(3) </w:t>
      </w:r>
      <w:r w:rsidR="0012730F" w:rsidRPr="00BF5E97">
        <w:t xml:space="preserve">s. 3 </w:t>
      </w:r>
      <w:r w:rsidRPr="00BF5E97">
        <w:t>WpÜG.</w:t>
      </w:r>
    </w:p>
  </w:footnote>
  <w:footnote w:id="332">
    <w:p w14:paraId="6761D5E8" w14:textId="34F94052" w:rsidR="00240F07" w:rsidRPr="00BF5E97" w:rsidRDefault="00240F07">
      <w:pPr>
        <w:pStyle w:val="Funotentext"/>
      </w:pPr>
      <w:r w:rsidRPr="00BF5E97">
        <w:rPr>
          <w:rStyle w:val="Funotenzeichen"/>
        </w:rPr>
        <w:footnoteRef/>
      </w:r>
      <w:r w:rsidRPr="00BF5E97">
        <w:t xml:space="preserve"> § 39c </w:t>
      </w:r>
      <w:r w:rsidRPr="00BF5E97">
        <w:t>WpÜG</w:t>
      </w:r>
      <w:r w:rsidR="004A6E96" w:rsidRPr="00BF5E97">
        <w:t>.</w:t>
      </w:r>
    </w:p>
  </w:footnote>
  <w:footnote w:id="333">
    <w:p w14:paraId="6F3FFFB1" w14:textId="77777777" w:rsidR="000A18EC" w:rsidRPr="00BF5E97" w:rsidRDefault="000A18EC" w:rsidP="000A18EC">
      <w:pPr>
        <w:pStyle w:val="Funotentext"/>
      </w:pPr>
      <w:r w:rsidRPr="00BF5E97">
        <w:rPr>
          <w:rStyle w:val="Funotenzeichen"/>
        </w:rPr>
        <w:footnoteRef/>
      </w:r>
      <w:r w:rsidRPr="00BF5E97">
        <w:t xml:space="preserve"> § 38 </w:t>
      </w:r>
      <w:r w:rsidRPr="00BF5E97">
        <w:t>WpÜG.</w:t>
      </w:r>
    </w:p>
  </w:footnote>
  <w:footnote w:id="334">
    <w:p w14:paraId="336B5921" w14:textId="729812BC" w:rsidR="0081022D" w:rsidRPr="00BF5E97" w:rsidRDefault="0081022D">
      <w:pPr>
        <w:pStyle w:val="Funotentext"/>
      </w:pPr>
      <w:r w:rsidRPr="00BF5E97">
        <w:rPr>
          <w:rStyle w:val="Funotenzeichen"/>
        </w:rPr>
        <w:footnoteRef/>
      </w:r>
      <w:r w:rsidRPr="00BF5E97">
        <w:t xml:space="preserve"> An earlier judgment of the Federal Court of Justice (25 November 2002 – II ZR 133/01, </w:t>
      </w:r>
      <w:r w:rsidRPr="00BF5E97">
        <w:rPr>
          <w:i/>
        </w:rPr>
        <w:t>Macroton</w:t>
      </w:r>
      <w:r w:rsidRPr="00BF5E97">
        <w:t>) made delisting subject to shareholder approval and adequate compensation for m</w:t>
      </w:r>
      <w:r w:rsidR="00736F24">
        <w:t>i</w:t>
      </w:r>
      <w:r w:rsidRPr="00BF5E97">
        <w:t>n</w:t>
      </w:r>
      <w:r w:rsidR="00736F24">
        <w:t>o</w:t>
      </w:r>
      <w:r w:rsidRPr="00BF5E97">
        <w:t>r</w:t>
      </w:r>
      <w:r w:rsidR="00736F24">
        <w:t>i</w:t>
      </w:r>
      <w:r w:rsidRPr="00BF5E97">
        <w:t>ty shareholders, but following a decision of the Federal Constitutional Court (</w:t>
      </w:r>
      <w:r w:rsidR="00542C2B" w:rsidRPr="00BF5E97">
        <w:t xml:space="preserve">BVerfG, </w:t>
      </w:r>
      <w:r w:rsidRPr="00BF5E97">
        <w:t xml:space="preserve">11 July 2012 – 1 BvR 3142/07), </w:t>
      </w:r>
      <w:r w:rsidR="00542C2B" w:rsidRPr="00BF5E97">
        <w:rPr>
          <w:i/>
        </w:rPr>
        <w:t>Macroton</w:t>
      </w:r>
      <w:r w:rsidR="00542C2B" w:rsidRPr="00BF5E97">
        <w:t xml:space="preserve"> </w:t>
      </w:r>
      <w:r w:rsidRPr="00BF5E97">
        <w:t xml:space="preserve">was overruled (BGH, 8 October 2013 – II ZB 26/12, </w:t>
      </w:r>
      <w:r w:rsidRPr="00BF5E97">
        <w:rPr>
          <w:i/>
        </w:rPr>
        <w:t>Frosta</w:t>
      </w:r>
      <w:r w:rsidRPr="00BF5E97">
        <w:t>).</w:t>
      </w:r>
    </w:p>
  </w:footnote>
  <w:footnote w:id="335">
    <w:p w14:paraId="3604C7A9" w14:textId="54C71750" w:rsidR="00080E96" w:rsidRPr="00BF5E97" w:rsidRDefault="00080E96">
      <w:pPr>
        <w:pStyle w:val="Funotentext"/>
      </w:pPr>
      <w:r w:rsidRPr="00BF5E97">
        <w:rPr>
          <w:rStyle w:val="Funotenzeichen"/>
        </w:rPr>
        <w:footnoteRef/>
      </w:r>
      <w:r w:rsidRPr="00BF5E97">
        <w:t xml:space="preserve"> § 39(2)(1) no. 1 </w:t>
      </w:r>
      <w:r w:rsidRPr="00BF5E97">
        <w:t>BörsG.</w:t>
      </w:r>
    </w:p>
  </w:footnote>
  <w:footnote w:id="336">
    <w:p w14:paraId="654BCA1E" w14:textId="77777777" w:rsidR="00890062" w:rsidRPr="00FC73FE" w:rsidRDefault="00890062" w:rsidP="00890062">
      <w:pPr>
        <w:pStyle w:val="Funotentext"/>
        <w:rPr>
          <w:lang w:val="en-US"/>
        </w:rPr>
      </w:pPr>
      <w:r>
        <w:rPr>
          <w:rStyle w:val="Funotenzeichen"/>
        </w:rPr>
        <w:footnoteRef/>
      </w:r>
      <w:r>
        <w:t xml:space="preserve"> </w:t>
      </w:r>
      <w:r w:rsidRPr="00FC73FE">
        <w:rPr>
          <w:lang w:val="en-US"/>
        </w:rPr>
        <w:t>Ot</w:t>
      </w:r>
      <w:r>
        <w:rPr>
          <w:lang w:val="en-US"/>
        </w:rPr>
        <w:t>her relevant guidelines exist for securities prospectuses, e.g., relating to disclosure (</w:t>
      </w:r>
      <w:hyperlink r:id="rId13" w:history="1">
        <w:r w:rsidRPr="00AB4AC8">
          <w:rPr>
            <w:rStyle w:val="Hyperlink"/>
            <w:lang w:val="en-US"/>
          </w:rPr>
          <w:t>https://www.esma.europa.eu/sites/default/files/library/esma32-382-1138_guidelines_on_disclosure_requirements_under_the_prospectus_regulation.pdf</w:t>
        </w:r>
      </w:hyperlink>
      <w:r>
        <w:rPr>
          <w:lang w:val="en-US"/>
        </w:rPr>
        <w:t>) and alternative performance measures (</w:t>
      </w:r>
      <w:hyperlink r:id="rId14" w:history="1">
        <w:r w:rsidRPr="00AB4AC8">
          <w:rPr>
            <w:rStyle w:val="Hyperlink"/>
            <w:lang w:val="en-US"/>
          </w:rPr>
          <w:t>https://www.esma.europa.eu/document/esma-guidelines-alternative-performance-measures-1</w:t>
        </w:r>
      </w:hyperlink>
      <w:r>
        <w:rPr>
          <w:lang w:val="en-US"/>
        </w:rPr>
        <w:t>).</w:t>
      </w:r>
    </w:p>
  </w:footnote>
  <w:footnote w:id="337">
    <w:p w14:paraId="118FD29D" w14:textId="593836D0" w:rsidR="00C7518A" w:rsidRPr="00C7518A" w:rsidRDefault="00C7518A">
      <w:pPr>
        <w:pStyle w:val="Funotentext"/>
        <w:rPr>
          <w:lang w:val="fr-CA"/>
        </w:rPr>
      </w:pPr>
      <w:r>
        <w:rPr>
          <w:rStyle w:val="Funotenzeichen"/>
        </w:rPr>
        <w:footnoteRef/>
      </w:r>
      <w:r w:rsidRPr="00C7518A">
        <w:rPr>
          <w:lang w:val="fr-CA"/>
        </w:rPr>
        <w:t xml:space="preserve"> Case C-911/19, </w:t>
      </w:r>
      <w:r w:rsidRPr="00C7518A">
        <w:rPr>
          <w:i/>
          <w:lang w:val="fr-CA"/>
        </w:rPr>
        <w:t>Fédération Bancaire Française</w:t>
      </w:r>
      <w:r w:rsidRPr="00C7518A">
        <w:rPr>
          <w:lang w:val="fr-CA"/>
        </w:rPr>
        <w:t>, para. 36.</w:t>
      </w:r>
    </w:p>
  </w:footnote>
  <w:footnote w:id="338">
    <w:p w14:paraId="1EA5784D" w14:textId="747478C4" w:rsidR="00D62A47" w:rsidRPr="00C7518A" w:rsidRDefault="00D62A47" w:rsidP="00D62A47">
      <w:pPr>
        <w:pStyle w:val="Funotentext"/>
        <w:rPr>
          <w:lang w:val="fr-CA"/>
        </w:rPr>
      </w:pPr>
      <w:r>
        <w:rPr>
          <w:rStyle w:val="Funotenzeichen"/>
        </w:rPr>
        <w:footnoteRef/>
      </w:r>
      <w:r w:rsidRPr="00C7518A">
        <w:rPr>
          <w:lang w:val="fr-CA"/>
        </w:rPr>
        <w:t xml:space="preserve"> Case C-911/19, </w:t>
      </w:r>
      <w:r w:rsidRPr="00C7518A">
        <w:rPr>
          <w:i/>
          <w:lang w:val="fr-CA"/>
        </w:rPr>
        <w:t>Fédération Bancaire Française</w:t>
      </w:r>
      <w:r w:rsidRPr="00C7518A">
        <w:rPr>
          <w:lang w:val="fr-CA"/>
        </w:rPr>
        <w:t>, para</w:t>
      </w:r>
      <w:r>
        <w:rPr>
          <w:lang w:val="fr-CA"/>
        </w:rPr>
        <w:t>s</w:t>
      </w:r>
      <w:r w:rsidRPr="00C7518A">
        <w:rPr>
          <w:lang w:val="fr-CA"/>
        </w:rPr>
        <w:t> </w:t>
      </w:r>
      <w:r>
        <w:rPr>
          <w:lang w:val="fr-CA"/>
        </w:rPr>
        <w:t>53f</w:t>
      </w:r>
      <w:r w:rsidRPr="00C7518A">
        <w:rPr>
          <w:lang w:val="fr-CA"/>
        </w:rPr>
        <w:t>.</w:t>
      </w:r>
    </w:p>
  </w:footnote>
  <w:footnote w:id="339">
    <w:p w14:paraId="32DC10FB"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 33.</w:t>
      </w:r>
    </w:p>
  </w:footnote>
  <w:footnote w:id="340">
    <w:p w14:paraId="3F842E99"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paras 37f.</w:t>
      </w:r>
    </w:p>
  </w:footnote>
  <w:footnote w:id="341">
    <w:p w14:paraId="4CFC7ACC"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 39.</w:t>
      </w:r>
    </w:p>
  </w:footnote>
  <w:footnote w:id="342">
    <w:p w14:paraId="0CFFCE70" w14:textId="77777777" w:rsidR="002D0C0F" w:rsidRPr="002D0C0F" w:rsidRDefault="002D0C0F" w:rsidP="002D0C0F">
      <w:pPr>
        <w:pStyle w:val="Funotentext"/>
        <w:rPr>
          <w:lang w:val="fr-CA"/>
        </w:rPr>
      </w:pPr>
      <w:r>
        <w:rPr>
          <w:rStyle w:val="Funotenzeichen"/>
        </w:rPr>
        <w:footnoteRef/>
      </w:r>
      <w:r w:rsidRPr="002D0C0F">
        <w:rPr>
          <w:lang w:val="fr-CA"/>
        </w:rPr>
        <w:t xml:space="preserve"> Case C‑627/23, </w:t>
      </w:r>
      <w:r w:rsidRPr="002D0C0F">
        <w:rPr>
          <w:i/>
          <w:lang w:val="fr-CA"/>
        </w:rPr>
        <w:t>Commune de Schaerbeek and Commune de Linkebeek v. Holding Communal SA</w:t>
      </w:r>
      <w:r w:rsidRPr="002D0C0F">
        <w:rPr>
          <w:lang w:val="fr-CA"/>
        </w:rPr>
        <w:t>, paras 41ff.</w:t>
      </w:r>
    </w:p>
  </w:footnote>
  <w:footnote w:id="343">
    <w:p w14:paraId="09B7FDA6" w14:textId="182BE737" w:rsidR="00822260" w:rsidRPr="00B20032" w:rsidRDefault="00822260">
      <w:pPr>
        <w:pStyle w:val="Funotentext"/>
        <w:rPr>
          <w:lang w:val="en-US"/>
        </w:rPr>
      </w:pPr>
      <w:r>
        <w:rPr>
          <w:rStyle w:val="Funotenzeichen"/>
        </w:rPr>
        <w:footnoteRef/>
      </w:r>
      <w:r>
        <w:t xml:space="preserve"> </w:t>
      </w:r>
      <w:r w:rsidRPr="00B20032">
        <w:rPr>
          <w:lang w:val="en-US"/>
        </w:rPr>
        <w:t xml:space="preserve">Case C-174/12, </w:t>
      </w:r>
      <w:r w:rsidRPr="00B20032">
        <w:rPr>
          <w:i/>
          <w:lang w:val="en-US"/>
        </w:rPr>
        <w:t>Hirmann</w:t>
      </w:r>
      <w:r w:rsidRPr="00B20032">
        <w:rPr>
          <w:lang w:val="en-US"/>
        </w:rPr>
        <w:t>, para. 27</w:t>
      </w:r>
      <w:r w:rsidR="00B20032" w:rsidRPr="00B20032">
        <w:rPr>
          <w:lang w:val="en-US"/>
        </w:rPr>
        <w:t xml:space="preserve"> (</w:t>
      </w:r>
      <w:r w:rsidR="001D7700">
        <w:rPr>
          <w:lang w:val="en-US"/>
        </w:rPr>
        <w:t xml:space="preserve">N.B. </w:t>
      </w:r>
      <w:r w:rsidR="00B20032" w:rsidRPr="00B20032">
        <w:rPr>
          <w:lang w:val="en-US"/>
        </w:rPr>
        <w:t xml:space="preserve">the judgment refers </w:t>
      </w:r>
      <w:r w:rsidR="00B20032">
        <w:rPr>
          <w:lang w:val="en-US"/>
        </w:rPr>
        <w:t xml:space="preserve">to directives preceding CLD not yet in force </w:t>
      </w:r>
      <w:r w:rsidR="001D7700">
        <w:rPr>
          <w:lang w:val="en-US"/>
        </w:rPr>
        <w:t>then</w:t>
      </w:r>
      <w:r w:rsidR="00B20032">
        <w:rPr>
          <w:lang w:val="en-US"/>
        </w:rPr>
        <w:t>)</w:t>
      </w:r>
      <w:r w:rsidRPr="00B20032">
        <w:rPr>
          <w:lang w:val="en-US"/>
        </w:rPr>
        <w:t>.</w:t>
      </w:r>
    </w:p>
  </w:footnote>
  <w:footnote w:id="344">
    <w:p w14:paraId="599FD10A" w14:textId="48C08AB8" w:rsidR="00B96691" w:rsidRPr="004065F0" w:rsidRDefault="00B96691" w:rsidP="00B96691">
      <w:pPr>
        <w:pStyle w:val="Funotentext"/>
        <w:rPr>
          <w:lang w:val="en-US"/>
        </w:rPr>
      </w:pPr>
      <w:r>
        <w:rPr>
          <w:rStyle w:val="Funotenzeichen"/>
        </w:rPr>
        <w:footnoteRef/>
      </w:r>
      <w:r w:rsidRPr="004065F0">
        <w:rPr>
          <w:lang w:val="en-US"/>
        </w:rPr>
        <w:t xml:space="preserve"> Case C-174/12, </w:t>
      </w:r>
      <w:r w:rsidRPr="004065F0">
        <w:rPr>
          <w:i/>
          <w:lang w:val="en-US"/>
        </w:rPr>
        <w:t>Hirmann</w:t>
      </w:r>
      <w:r w:rsidRPr="004065F0">
        <w:rPr>
          <w:lang w:val="en-US"/>
        </w:rPr>
        <w:t>, para. 30.</w:t>
      </w:r>
    </w:p>
  </w:footnote>
  <w:footnote w:id="345">
    <w:p w14:paraId="1D5E840B" w14:textId="0E04601C" w:rsidR="00310F20" w:rsidRPr="0080354E" w:rsidRDefault="00310F20">
      <w:pPr>
        <w:pStyle w:val="Funotentext"/>
      </w:pPr>
      <w:r>
        <w:rPr>
          <w:rStyle w:val="Funotenzeichen"/>
        </w:rPr>
        <w:footnoteRef/>
      </w:r>
      <w:r w:rsidRPr="0080354E">
        <w:t xml:space="preserve"> Case C-604/11, </w:t>
      </w:r>
      <w:r w:rsidRPr="0080354E">
        <w:rPr>
          <w:i/>
        </w:rPr>
        <w:t>Genil 48</w:t>
      </w:r>
      <w:r w:rsidRPr="0080354E">
        <w:t>, para. 57.</w:t>
      </w:r>
    </w:p>
  </w:footnote>
  <w:footnote w:id="346">
    <w:p w14:paraId="5C28A028" w14:textId="58F4A36E" w:rsidR="00310F20" w:rsidRPr="00EC59DE" w:rsidRDefault="00310F20">
      <w:pPr>
        <w:pStyle w:val="Funotentext"/>
        <w:rPr>
          <w:lang w:val="en-US"/>
        </w:rPr>
      </w:pPr>
      <w:r>
        <w:rPr>
          <w:rStyle w:val="Funotenzeichen"/>
        </w:rPr>
        <w:footnoteRef/>
      </w:r>
      <w:r w:rsidRPr="0080354E">
        <w:t xml:space="preserve"> Case C-604/11, </w:t>
      </w:r>
      <w:r w:rsidRPr="0080354E">
        <w:rPr>
          <w:i/>
        </w:rPr>
        <w:t>Genil 48</w:t>
      </w:r>
      <w:r w:rsidRPr="0080354E">
        <w:t>, para. </w:t>
      </w:r>
      <w:r w:rsidRPr="00EC59DE">
        <w:rPr>
          <w:lang w:val="en-US"/>
        </w:rPr>
        <w:t>57.</w:t>
      </w:r>
      <w:r w:rsidR="00EC59DE" w:rsidRPr="00EC59DE">
        <w:rPr>
          <w:lang w:val="en-US"/>
        </w:rPr>
        <w:t xml:space="preserve"> </w:t>
      </w:r>
      <w:r w:rsidR="00EC59DE">
        <w:rPr>
          <w:szCs w:val="19"/>
        </w:rPr>
        <w:t>Accordingly</w:t>
      </w:r>
      <w:r w:rsidR="00EC59DE" w:rsidRPr="002121A4">
        <w:rPr>
          <w:szCs w:val="19"/>
        </w:rPr>
        <w:t xml:space="preserve">, domestic law must provide for liability </w:t>
      </w:r>
      <w:r w:rsidR="00EC59DE">
        <w:rPr>
          <w:szCs w:val="19"/>
        </w:rPr>
        <w:t xml:space="preserve">as would be the case for </w:t>
      </w:r>
      <w:r w:rsidR="00EC59DE" w:rsidRPr="002121A4">
        <w:rPr>
          <w:szCs w:val="19"/>
        </w:rPr>
        <w:t>equivalent scenarios, and must not make private enforcement practically impossible.</w:t>
      </w:r>
    </w:p>
  </w:footnote>
  <w:footnote w:id="347">
    <w:p w14:paraId="0509C421" w14:textId="520D79FE" w:rsidR="00EC59DE" w:rsidRPr="004065F0" w:rsidRDefault="00EC59DE">
      <w:pPr>
        <w:pStyle w:val="Funotentext"/>
        <w:rPr>
          <w:lang w:val="en-US"/>
        </w:rPr>
      </w:pPr>
      <w:r>
        <w:rPr>
          <w:rStyle w:val="Funotenzeichen"/>
        </w:rPr>
        <w:footnoteRef/>
      </w:r>
      <w:r w:rsidRPr="004065F0">
        <w:rPr>
          <w:lang w:val="en-US"/>
        </w:rPr>
        <w:t xml:space="preserve"> BGH, 17 September 2013 – XI ZR 332/12, BKR 2014, 32, 33 (para. 16).</w:t>
      </w:r>
    </w:p>
  </w:footnote>
  <w:footnote w:id="348">
    <w:p w14:paraId="1F6B3F49" w14:textId="278DF932" w:rsidR="007A3A04" w:rsidRPr="004065F0" w:rsidRDefault="007A3A04">
      <w:pPr>
        <w:pStyle w:val="Funotentext"/>
        <w:rPr>
          <w:lang w:val="en-US"/>
        </w:rPr>
      </w:pPr>
      <w:r>
        <w:rPr>
          <w:rStyle w:val="Funotenzeichen"/>
        </w:rPr>
        <w:footnoteRef/>
      </w:r>
      <w:r w:rsidRPr="004065F0">
        <w:rPr>
          <w:lang w:val="en-US"/>
        </w:rPr>
        <w:t xml:space="preserve"> BGH, 17 September 2013 – XI ZR 332/12, BKR 2014, 32, 34 (paras 20, 21).</w:t>
      </w:r>
    </w:p>
  </w:footnote>
  <w:footnote w:id="349">
    <w:p w14:paraId="1EAE71A6" w14:textId="0BBCC32B" w:rsidR="00CB0451" w:rsidRPr="0080354E" w:rsidRDefault="00CB0451">
      <w:pPr>
        <w:pStyle w:val="Funotentext"/>
      </w:pPr>
      <w:r>
        <w:rPr>
          <w:rStyle w:val="Funotenzeichen"/>
        </w:rPr>
        <w:footnoteRef/>
      </w:r>
      <w:r w:rsidRPr="0080354E">
        <w:t xml:space="preserve"> Case E-10/20, </w:t>
      </w:r>
      <w:r w:rsidRPr="0080354E">
        <w:rPr>
          <w:i/>
        </w:rPr>
        <w:t>ADCADA</w:t>
      </w:r>
      <w:r w:rsidRPr="0080354E">
        <w:t>, paras 31f.</w:t>
      </w:r>
    </w:p>
  </w:footnote>
  <w:footnote w:id="350">
    <w:p w14:paraId="55ECC6F7" w14:textId="0142B437" w:rsidR="00171179" w:rsidRPr="00CB0451" w:rsidRDefault="00171179" w:rsidP="00171179">
      <w:pPr>
        <w:pStyle w:val="Funotentext"/>
        <w:rPr>
          <w:lang w:val="pt-BR"/>
        </w:rPr>
      </w:pPr>
      <w:r>
        <w:rPr>
          <w:rStyle w:val="Funotenzeichen"/>
        </w:rPr>
        <w:footnoteRef/>
      </w:r>
      <w:r w:rsidRPr="00CB0451">
        <w:rPr>
          <w:lang w:val="pt-BR"/>
        </w:rPr>
        <w:t xml:space="preserve"> Case E-10/20, </w:t>
      </w:r>
      <w:r w:rsidRPr="00CB0451">
        <w:rPr>
          <w:i/>
          <w:lang w:val="pt-BR"/>
        </w:rPr>
        <w:t>ADCADA</w:t>
      </w:r>
      <w:r w:rsidRPr="00CB0451">
        <w:rPr>
          <w:lang w:val="pt-BR"/>
        </w:rPr>
        <w:t>, para</w:t>
      </w:r>
      <w:r w:rsidR="00F70D84">
        <w:rPr>
          <w:lang w:val="pt-BR"/>
        </w:rPr>
        <w:t>. </w:t>
      </w:r>
      <w:r>
        <w:rPr>
          <w:lang w:val="pt-BR"/>
        </w:rPr>
        <w:t>33.</w:t>
      </w:r>
    </w:p>
  </w:footnote>
  <w:footnote w:id="351">
    <w:p w14:paraId="39197BBC" w14:textId="21DC2F2D" w:rsidR="00F70D84" w:rsidRPr="00CB0451" w:rsidRDefault="00F70D84" w:rsidP="00F70D84">
      <w:pPr>
        <w:pStyle w:val="Funotentext"/>
        <w:rPr>
          <w:lang w:val="pt-BR"/>
        </w:rPr>
      </w:pPr>
      <w:r>
        <w:rPr>
          <w:rStyle w:val="Funotenzeichen"/>
        </w:rPr>
        <w:footnoteRef/>
      </w:r>
      <w:r w:rsidRPr="00CB0451">
        <w:rPr>
          <w:lang w:val="pt-BR"/>
        </w:rPr>
        <w:t xml:space="preserve"> Case E-10/20, </w:t>
      </w:r>
      <w:r w:rsidRPr="00CB0451">
        <w:rPr>
          <w:i/>
          <w:lang w:val="pt-BR"/>
        </w:rPr>
        <w:t>ADCADA</w:t>
      </w:r>
      <w:r w:rsidRPr="00CB0451">
        <w:rPr>
          <w:lang w:val="pt-BR"/>
        </w:rPr>
        <w:t>, para</w:t>
      </w:r>
      <w:r>
        <w:rPr>
          <w:lang w:val="pt-BR"/>
        </w:rPr>
        <w:t>s 36, 37.</w:t>
      </w:r>
    </w:p>
  </w:footnote>
  <w:footnote w:id="352">
    <w:p w14:paraId="2ACB1A4A" w14:textId="4A6B3615" w:rsidR="00F70D84" w:rsidRPr="00CB0451" w:rsidRDefault="00F70D84" w:rsidP="00F70D84">
      <w:pPr>
        <w:pStyle w:val="Funotentext"/>
        <w:rPr>
          <w:lang w:val="pt-BR"/>
        </w:rPr>
      </w:pPr>
      <w:r>
        <w:rPr>
          <w:rStyle w:val="Funotenzeichen"/>
        </w:rPr>
        <w:footnoteRef/>
      </w:r>
      <w:r w:rsidRPr="00CB0451">
        <w:rPr>
          <w:lang w:val="pt-BR"/>
        </w:rPr>
        <w:t xml:space="preserve"> Case E-10/20, </w:t>
      </w:r>
      <w:r w:rsidRPr="00CB0451">
        <w:rPr>
          <w:i/>
          <w:lang w:val="pt-BR"/>
        </w:rPr>
        <w:t>ADCADA</w:t>
      </w:r>
      <w:r w:rsidRPr="00CB0451">
        <w:rPr>
          <w:lang w:val="pt-BR"/>
        </w:rPr>
        <w:t xml:space="preserve">, paras </w:t>
      </w:r>
      <w:r>
        <w:rPr>
          <w:lang w:val="pt-BR"/>
        </w:rPr>
        <w:t>39f.</w:t>
      </w:r>
    </w:p>
  </w:footnote>
  <w:footnote w:id="353">
    <w:p w14:paraId="3DDE34FF" w14:textId="7F38A48D" w:rsidR="00101DB7" w:rsidRPr="00101DB7" w:rsidRDefault="00101DB7">
      <w:pPr>
        <w:pStyle w:val="Funotentext"/>
        <w:rPr>
          <w:lang w:val="pt-BR"/>
        </w:rPr>
      </w:pPr>
      <w:r>
        <w:rPr>
          <w:rStyle w:val="Funotenzeichen"/>
        </w:rPr>
        <w:footnoteRef/>
      </w:r>
      <w:r w:rsidRPr="00101DB7">
        <w:rPr>
          <w:lang w:val="pt-BR"/>
        </w:rPr>
        <w:t xml:space="preserve"> </w:t>
      </w:r>
      <w:r w:rsidRPr="00CB0451">
        <w:rPr>
          <w:lang w:val="pt-BR"/>
        </w:rPr>
        <w:t xml:space="preserve">Case E-10/20, </w:t>
      </w:r>
      <w:r w:rsidRPr="00CB0451">
        <w:rPr>
          <w:i/>
          <w:lang w:val="pt-BR"/>
        </w:rPr>
        <w:t>ADCADA</w:t>
      </w:r>
      <w:r w:rsidRPr="00CB0451">
        <w:rPr>
          <w:lang w:val="pt-BR"/>
        </w:rPr>
        <w:t xml:space="preserve">, paras </w:t>
      </w:r>
      <w:r>
        <w:rPr>
          <w:lang w:val="pt-BR"/>
        </w:rPr>
        <w:t>41–43.</w:t>
      </w:r>
    </w:p>
  </w:footnote>
  <w:footnote w:id="354">
    <w:p w14:paraId="09E66C09" w14:textId="3800C8E4" w:rsidR="005337D4" w:rsidRPr="005337D4" w:rsidRDefault="005337D4">
      <w:pPr>
        <w:pStyle w:val="Funotentext"/>
        <w:rPr>
          <w:lang w:val="pt-BR"/>
        </w:rPr>
      </w:pPr>
      <w:r>
        <w:rPr>
          <w:rStyle w:val="Funotenzeichen"/>
        </w:rPr>
        <w:footnoteRef/>
      </w:r>
      <w:r w:rsidRPr="005337D4">
        <w:rPr>
          <w:lang w:val="pt-BR"/>
        </w:rPr>
        <w:t xml:space="preserve"> </w:t>
      </w:r>
      <w:r w:rsidRPr="00CB0451">
        <w:rPr>
          <w:lang w:val="pt-BR"/>
        </w:rPr>
        <w:t xml:space="preserve">Case E-10/20, </w:t>
      </w:r>
      <w:r w:rsidRPr="00CB0451">
        <w:rPr>
          <w:i/>
          <w:lang w:val="pt-BR"/>
        </w:rPr>
        <w:t>ADCADA</w:t>
      </w:r>
      <w:r w:rsidRPr="00CB0451">
        <w:rPr>
          <w:lang w:val="pt-BR"/>
        </w:rPr>
        <w:t xml:space="preserve">, paras </w:t>
      </w:r>
      <w:r>
        <w:rPr>
          <w:lang w:val="pt-BR"/>
        </w:rPr>
        <w:t>44ff.</w:t>
      </w:r>
    </w:p>
  </w:footnote>
  <w:footnote w:id="355">
    <w:p w14:paraId="335E07E9" w14:textId="3DC83334" w:rsidR="006F3413" w:rsidRPr="006F3413" w:rsidRDefault="006F3413">
      <w:pPr>
        <w:pStyle w:val="Funotentext"/>
        <w:rPr>
          <w:lang w:val="sv-SE"/>
        </w:rPr>
      </w:pPr>
      <w:r>
        <w:rPr>
          <w:rStyle w:val="Funotenzeichen"/>
        </w:rPr>
        <w:footnoteRef/>
      </w:r>
      <w:r w:rsidRPr="00310F20">
        <w:rPr>
          <w:lang w:val="sv-SE"/>
        </w:rPr>
        <w:t xml:space="preserve"> BGH, 23 April 2012 – II ZR 75/10, WM 2012, 1293,</w:t>
      </w:r>
      <w:r w:rsidR="00D0384C" w:rsidRPr="00310F20">
        <w:rPr>
          <w:lang w:val="sv-SE"/>
        </w:rPr>
        <w:t xml:space="preserve"> </w:t>
      </w:r>
      <w:r w:rsidRPr="00310F20">
        <w:rPr>
          <w:lang w:val="sv-SE"/>
        </w:rPr>
        <w:t>1295 (para. </w:t>
      </w:r>
      <w:r w:rsidRPr="006F3413">
        <w:rPr>
          <w:lang w:val="sv-SE"/>
        </w:rPr>
        <w:t xml:space="preserve">17) – </w:t>
      </w:r>
      <w:r w:rsidRPr="006F3413">
        <w:rPr>
          <w:i/>
          <w:lang w:val="sv-SE"/>
        </w:rPr>
        <w:t xml:space="preserve">Bavaria </w:t>
      </w:r>
      <w:r w:rsidRPr="006F3413">
        <w:rPr>
          <w:i/>
          <w:lang w:val="sv-SE"/>
        </w:rPr>
        <w:t>Ertragsfonds I</w:t>
      </w:r>
      <w:r w:rsidRPr="006F3413">
        <w:rPr>
          <w:lang w:val="sv-SE"/>
        </w:rPr>
        <w:t xml:space="preserve">. </w:t>
      </w:r>
    </w:p>
  </w:footnote>
  <w:footnote w:id="356">
    <w:p w14:paraId="0757C6C0" w14:textId="4D8A0D94" w:rsidR="00D0384C" w:rsidRPr="00D0384C" w:rsidRDefault="00D0384C">
      <w:pPr>
        <w:pStyle w:val="Funotentext"/>
        <w:rPr>
          <w:lang w:val="sv-SE"/>
        </w:rPr>
      </w:pPr>
      <w:r>
        <w:rPr>
          <w:rStyle w:val="Funotenzeichen"/>
        </w:rPr>
        <w:footnoteRef/>
      </w:r>
      <w:r w:rsidRPr="00D0384C">
        <w:rPr>
          <w:lang w:val="sv-SE"/>
        </w:rPr>
        <w:t xml:space="preserve"> </w:t>
      </w:r>
      <w:r w:rsidRPr="006F3413">
        <w:rPr>
          <w:lang w:val="sv-SE"/>
        </w:rPr>
        <w:t>BGH, 23 April 2012 – II ZR 75/10, WM 2012, 1293,</w:t>
      </w:r>
      <w:r>
        <w:rPr>
          <w:lang w:val="sv-SE"/>
        </w:rPr>
        <w:t xml:space="preserve"> </w:t>
      </w:r>
      <w:r w:rsidRPr="006F3413">
        <w:rPr>
          <w:lang w:val="sv-SE"/>
        </w:rPr>
        <w:t xml:space="preserve">1295 (para. 17) – </w:t>
      </w:r>
      <w:r w:rsidRPr="006F3413">
        <w:rPr>
          <w:i/>
          <w:lang w:val="sv-SE"/>
        </w:rPr>
        <w:t xml:space="preserve">Bavaria </w:t>
      </w:r>
      <w:r w:rsidRPr="006F3413">
        <w:rPr>
          <w:i/>
          <w:lang w:val="sv-SE"/>
        </w:rPr>
        <w:t>Ertragsfonds I</w:t>
      </w:r>
      <w:r w:rsidRPr="006F3413">
        <w:rPr>
          <w:lang w:val="sv-SE"/>
        </w:rPr>
        <w:t>.</w:t>
      </w:r>
    </w:p>
  </w:footnote>
  <w:footnote w:id="357">
    <w:p w14:paraId="4427A493" w14:textId="1686DC6B" w:rsidR="000E15CA" w:rsidRPr="00D0384C" w:rsidRDefault="000E15CA">
      <w:pPr>
        <w:pStyle w:val="Funotentext"/>
        <w:rPr>
          <w:lang w:val="sv-SE"/>
        </w:rPr>
      </w:pPr>
      <w:r>
        <w:rPr>
          <w:rStyle w:val="Funotenzeichen"/>
        </w:rPr>
        <w:footnoteRef/>
      </w:r>
      <w:r w:rsidRPr="00D0384C">
        <w:rPr>
          <w:lang w:val="sv-SE"/>
        </w:rPr>
        <w:t xml:space="preserve"> BGH, 21 </w:t>
      </w:r>
      <w:r w:rsidRPr="00D0384C">
        <w:rPr>
          <w:lang w:val="sv-SE"/>
        </w:rPr>
        <w:t>October 2014 – XI ZB 12/12, NJW 2015, 236, 241 (para</w:t>
      </w:r>
      <w:r w:rsidR="00E80579" w:rsidRPr="00D0384C">
        <w:rPr>
          <w:lang w:val="sv-SE"/>
        </w:rPr>
        <w:t>s</w:t>
      </w:r>
      <w:r w:rsidRPr="00D0384C">
        <w:rPr>
          <w:lang w:val="sv-SE"/>
        </w:rPr>
        <w:t> 77</w:t>
      </w:r>
      <w:r w:rsidR="00E80579" w:rsidRPr="00D0384C">
        <w:rPr>
          <w:lang w:val="sv-SE"/>
        </w:rPr>
        <w:t>, 96</w:t>
      </w:r>
      <w:r w:rsidRPr="00D0384C">
        <w:rPr>
          <w:lang w:val="sv-SE"/>
        </w:rPr>
        <w:t xml:space="preserve">) – </w:t>
      </w:r>
      <w:r w:rsidRPr="00D0384C">
        <w:rPr>
          <w:i/>
          <w:lang w:val="sv-SE"/>
        </w:rPr>
        <w:t>Telekom I</w:t>
      </w:r>
      <w:r w:rsidRPr="00D0384C">
        <w:rPr>
          <w:lang w:val="sv-SE"/>
        </w:rPr>
        <w:t>.</w:t>
      </w:r>
    </w:p>
  </w:footnote>
  <w:footnote w:id="358">
    <w:p w14:paraId="5353E992" w14:textId="1E053F23" w:rsidR="00251613" w:rsidRPr="00310F20" w:rsidRDefault="00251613">
      <w:pPr>
        <w:pStyle w:val="Funotentext"/>
        <w:rPr>
          <w:lang w:val="sv-SE"/>
        </w:rPr>
      </w:pPr>
      <w:r>
        <w:rPr>
          <w:rStyle w:val="Funotenzeichen"/>
        </w:rPr>
        <w:footnoteRef/>
      </w:r>
      <w:r w:rsidRPr="00310F20">
        <w:rPr>
          <w:lang w:val="sv-SE"/>
        </w:rPr>
        <w:t xml:space="preserve"> BGH, 21 </w:t>
      </w:r>
      <w:r w:rsidRPr="00310F20">
        <w:rPr>
          <w:lang w:val="sv-SE"/>
        </w:rPr>
        <w:t xml:space="preserve">October 2014 – XI ZB 12/12, NJW 2015, 236, 245 (para. 105) – </w:t>
      </w:r>
      <w:r w:rsidRPr="00310F20">
        <w:rPr>
          <w:i/>
          <w:lang w:val="sv-SE"/>
        </w:rPr>
        <w:t>Telekom I</w:t>
      </w:r>
      <w:r w:rsidRPr="00310F20">
        <w:rPr>
          <w:lang w:val="sv-SE"/>
        </w:rPr>
        <w:t>.</w:t>
      </w:r>
    </w:p>
  </w:footnote>
  <w:footnote w:id="359">
    <w:p w14:paraId="2DB086BE" w14:textId="0A3CFE47" w:rsidR="002C7724" w:rsidRPr="00310F20" w:rsidRDefault="002C7724">
      <w:pPr>
        <w:pStyle w:val="Funotentext"/>
        <w:rPr>
          <w:lang w:val="sv-SE"/>
        </w:rPr>
      </w:pPr>
      <w:r>
        <w:rPr>
          <w:rStyle w:val="Funotenzeichen"/>
        </w:rPr>
        <w:footnoteRef/>
      </w:r>
      <w:r w:rsidRPr="00310F20">
        <w:rPr>
          <w:lang w:val="sv-SE"/>
        </w:rPr>
        <w:t xml:space="preserve"> BGH, 21 </w:t>
      </w:r>
      <w:r w:rsidRPr="00310F20">
        <w:rPr>
          <w:lang w:val="sv-SE"/>
        </w:rPr>
        <w:t xml:space="preserve">October 2014 – XI ZB 12/12, NJW 2015, 236, 246 (para. 118) – </w:t>
      </w:r>
      <w:r w:rsidRPr="00310F20">
        <w:rPr>
          <w:i/>
          <w:lang w:val="sv-SE"/>
        </w:rPr>
        <w:t>Telekom I</w:t>
      </w:r>
      <w:r w:rsidRPr="00310F20">
        <w:rPr>
          <w:lang w:val="sv-SE"/>
        </w:rPr>
        <w:t>.</w:t>
      </w:r>
    </w:p>
  </w:footnote>
  <w:footnote w:id="360">
    <w:p w14:paraId="0D936D55" w14:textId="2F6569B3" w:rsidR="00CC3CA3" w:rsidRPr="00310F20" w:rsidRDefault="00CC3CA3">
      <w:pPr>
        <w:pStyle w:val="Funotentext"/>
        <w:rPr>
          <w:lang w:val="sv-SE"/>
        </w:rPr>
      </w:pPr>
      <w:r>
        <w:rPr>
          <w:rStyle w:val="Funotenzeichen"/>
        </w:rPr>
        <w:footnoteRef/>
      </w:r>
      <w:r w:rsidRPr="00310F20">
        <w:rPr>
          <w:lang w:val="sv-SE"/>
        </w:rPr>
        <w:t xml:space="preserve"> OLG Brandenburg, 1 </w:t>
      </w:r>
      <w:r w:rsidRPr="00310F20">
        <w:rPr>
          <w:lang w:val="sv-SE"/>
        </w:rPr>
        <w:t>July 2020 – 7 U 33/19, BeckRS 2020, 17763, para. 38.</w:t>
      </w:r>
    </w:p>
  </w:footnote>
  <w:footnote w:id="361">
    <w:p w14:paraId="71F0C1A5" w14:textId="27DC48FC" w:rsidR="00022130" w:rsidRPr="00310F20" w:rsidRDefault="00022130" w:rsidP="00022130">
      <w:pPr>
        <w:pStyle w:val="Funotentext"/>
        <w:rPr>
          <w:lang w:val="sv-SE"/>
        </w:rPr>
      </w:pPr>
      <w:r>
        <w:rPr>
          <w:rStyle w:val="Funotenzeichen"/>
        </w:rPr>
        <w:footnoteRef/>
      </w:r>
      <w:r w:rsidRPr="00310F20">
        <w:rPr>
          <w:lang w:val="sv-SE"/>
        </w:rPr>
        <w:t xml:space="preserve"> OLG Brandenburg, 1 </w:t>
      </w:r>
      <w:r w:rsidRPr="00310F20">
        <w:rPr>
          <w:lang w:val="sv-SE"/>
        </w:rPr>
        <w:t>July 2020 – 7 U 33/19, BeckRS 2020, 17763, para. 36.</w:t>
      </w:r>
    </w:p>
  </w:footnote>
  <w:footnote w:id="362">
    <w:p w14:paraId="23EF23E4" w14:textId="03D91705" w:rsidR="00022130" w:rsidRPr="00310F20" w:rsidRDefault="00022130">
      <w:pPr>
        <w:pStyle w:val="Funotentext"/>
        <w:rPr>
          <w:lang w:val="sv-SE"/>
        </w:rPr>
      </w:pPr>
      <w:r>
        <w:rPr>
          <w:rStyle w:val="Funotenzeichen"/>
        </w:rPr>
        <w:footnoteRef/>
      </w:r>
      <w:r w:rsidRPr="00310F20">
        <w:rPr>
          <w:lang w:val="sv-SE"/>
        </w:rPr>
        <w:t xml:space="preserve"> OLG Brandenburg, 1 </w:t>
      </w:r>
      <w:r w:rsidRPr="00310F20">
        <w:rPr>
          <w:lang w:val="sv-SE"/>
        </w:rPr>
        <w:t>July 2020 – 7 U 33/19, BeckRS 2020, 17763, para. 39.</w:t>
      </w:r>
    </w:p>
  </w:footnote>
  <w:footnote w:id="363">
    <w:p w14:paraId="599AC2DF" w14:textId="6DD7521C" w:rsidR="006328F5" w:rsidRPr="00310F20" w:rsidRDefault="006328F5">
      <w:pPr>
        <w:pStyle w:val="Funotentext"/>
        <w:rPr>
          <w:lang w:val="sv-SE"/>
        </w:rPr>
      </w:pPr>
      <w:r>
        <w:rPr>
          <w:rStyle w:val="Funotenzeichen"/>
        </w:rPr>
        <w:footnoteRef/>
      </w:r>
      <w:r w:rsidRPr="00310F20">
        <w:rPr>
          <w:lang w:val="sv-SE"/>
        </w:rPr>
        <w:t xml:space="preserve"> BGH, 18 September 2012 – XI ZR 344/11, WM 2012, 2147, 2150 (para. 25) – </w:t>
      </w:r>
      <w:r w:rsidRPr="00310F20">
        <w:rPr>
          <w:i/>
          <w:lang w:val="sv-SE"/>
        </w:rPr>
        <w:t>Wohnungsbau Leipzig West</w:t>
      </w:r>
      <w:r w:rsidRPr="00310F20">
        <w:rPr>
          <w:lang w:val="sv-SE"/>
        </w:rPr>
        <w:t>.</w:t>
      </w:r>
    </w:p>
  </w:footnote>
  <w:footnote w:id="364">
    <w:p w14:paraId="0CE92A39" w14:textId="13672A22" w:rsidR="00B950C8" w:rsidRPr="00B950C8" w:rsidRDefault="00B950C8">
      <w:pPr>
        <w:pStyle w:val="Funotentext"/>
        <w:rPr>
          <w:lang w:val="de-DE"/>
        </w:rPr>
      </w:pPr>
      <w:r>
        <w:rPr>
          <w:rStyle w:val="Funotenzeichen"/>
        </w:rPr>
        <w:footnoteRef/>
      </w:r>
      <w:r w:rsidRPr="00B950C8">
        <w:rPr>
          <w:lang w:val="de-DE"/>
        </w:rPr>
        <w:t xml:space="preserve"> BGH, 18 September 2012 – XI ZR 344/11, WM 2012, 2147, 2150</w:t>
      </w:r>
      <w:r>
        <w:rPr>
          <w:lang w:val="de-DE"/>
        </w:rPr>
        <w:t>f.</w:t>
      </w:r>
      <w:r w:rsidRPr="00B950C8">
        <w:rPr>
          <w:lang w:val="de-DE"/>
        </w:rPr>
        <w:t xml:space="preserve"> (</w:t>
      </w:r>
      <w:r w:rsidRPr="00B950C8">
        <w:rPr>
          <w:lang w:val="de-DE"/>
        </w:rPr>
        <w:t>para</w:t>
      </w:r>
      <w:r>
        <w:rPr>
          <w:lang w:val="de-DE"/>
        </w:rPr>
        <w:t>s</w:t>
      </w:r>
      <w:r w:rsidRPr="00B950C8">
        <w:rPr>
          <w:lang w:val="de-DE"/>
        </w:rPr>
        <w:t> 2</w:t>
      </w:r>
      <w:r>
        <w:rPr>
          <w:lang w:val="de-DE"/>
        </w:rPr>
        <w:t>9, 30</w:t>
      </w:r>
      <w:r w:rsidRPr="00B950C8">
        <w:rPr>
          <w:lang w:val="de-DE"/>
        </w:rPr>
        <w:t xml:space="preserve">) – </w:t>
      </w:r>
      <w:r w:rsidRPr="00B950C8">
        <w:rPr>
          <w:i/>
          <w:lang w:val="de-DE"/>
        </w:rPr>
        <w:t>Wohnungsbau Leipzig West</w:t>
      </w:r>
      <w:r w:rsidRPr="00B950C8">
        <w:rPr>
          <w:lang w:val="de-DE"/>
        </w:rPr>
        <w:t>.</w:t>
      </w:r>
    </w:p>
  </w:footnote>
  <w:footnote w:id="365">
    <w:p w14:paraId="3EBC1B03" w14:textId="534FDCD5" w:rsidR="001E1279" w:rsidRPr="001E1279" w:rsidRDefault="001E1279">
      <w:pPr>
        <w:pStyle w:val="Funotentext"/>
        <w:rPr>
          <w:lang w:val="de-DE"/>
        </w:rPr>
      </w:pPr>
      <w:r>
        <w:rPr>
          <w:rStyle w:val="Funotenzeichen"/>
        </w:rPr>
        <w:footnoteRef/>
      </w:r>
      <w:r w:rsidRPr="001E1279">
        <w:rPr>
          <w:lang w:val="de-DE"/>
        </w:rPr>
        <w:t xml:space="preserve"> </w:t>
      </w:r>
      <w:r w:rsidRPr="00B950C8">
        <w:rPr>
          <w:lang w:val="de-DE"/>
        </w:rPr>
        <w:t>BGH, 18 September 2012 – XI ZR 344/11, WM 2012, 2147, 215</w:t>
      </w:r>
      <w:r>
        <w:rPr>
          <w:lang w:val="de-DE"/>
        </w:rPr>
        <w:t>2</w:t>
      </w:r>
      <w:r w:rsidRPr="00B950C8">
        <w:rPr>
          <w:lang w:val="de-DE"/>
        </w:rPr>
        <w:t xml:space="preserve"> (</w:t>
      </w:r>
      <w:r w:rsidRPr="00B950C8">
        <w:rPr>
          <w:lang w:val="de-DE"/>
        </w:rPr>
        <w:t>para</w:t>
      </w:r>
      <w:r>
        <w:rPr>
          <w:lang w:val="de-DE"/>
        </w:rPr>
        <w:t>. 36</w:t>
      </w:r>
      <w:r w:rsidRPr="00B950C8">
        <w:rPr>
          <w:lang w:val="de-DE"/>
        </w:rPr>
        <w:t xml:space="preserve">) – </w:t>
      </w:r>
      <w:r w:rsidRPr="00B950C8">
        <w:rPr>
          <w:i/>
          <w:lang w:val="de-DE"/>
        </w:rPr>
        <w:t>Wohnungsbau Leipzig West</w:t>
      </w:r>
      <w:r w:rsidRPr="00B950C8">
        <w:rPr>
          <w:lang w:val="de-DE"/>
        </w:rPr>
        <w:t>.</w:t>
      </w:r>
    </w:p>
  </w:footnote>
  <w:footnote w:id="366">
    <w:p w14:paraId="15BB0887" w14:textId="4897839C" w:rsidR="00687571" w:rsidRPr="00B950C8" w:rsidRDefault="00687571" w:rsidP="00687571">
      <w:pPr>
        <w:pStyle w:val="Funotentext"/>
        <w:rPr>
          <w:lang w:val="de-DE"/>
        </w:rPr>
      </w:pPr>
      <w:r>
        <w:rPr>
          <w:rStyle w:val="Funotenzeichen"/>
        </w:rPr>
        <w:footnoteRef/>
      </w:r>
      <w:r w:rsidRPr="00B950C8">
        <w:rPr>
          <w:lang w:val="de-DE"/>
        </w:rPr>
        <w:t xml:space="preserve"> BGH, 15 </w:t>
      </w:r>
      <w:r w:rsidRPr="00B950C8">
        <w:rPr>
          <w:lang w:val="de-DE"/>
        </w:rPr>
        <w:t>December 2020 – XI ZB 24/16, NZG 2021, 457, 46</w:t>
      </w:r>
      <w:r w:rsidR="00EA3260" w:rsidRPr="00B950C8">
        <w:rPr>
          <w:lang w:val="de-DE"/>
        </w:rPr>
        <w:t>3</w:t>
      </w:r>
      <w:r w:rsidRPr="00B950C8">
        <w:rPr>
          <w:lang w:val="de-DE"/>
        </w:rPr>
        <w:t xml:space="preserve"> (paras 76–</w:t>
      </w:r>
      <w:r w:rsidR="00C96F4A" w:rsidRPr="00B950C8">
        <w:rPr>
          <w:lang w:val="de-DE"/>
        </w:rPr>
        <w:t>89</w:t>
      </w:r>
      <w:r w:rsidRPr="00B950C8">
        <w:rPr>
          <w:lang w:val="de-DE"/>
        </w:rPr>
        <w:t xml:space="preserve">) – </w:t>
      </w:r>
      <w:r w:rsidRPr="00B950C8">
        <w:rPr>
          <w:i/>
          <w:lang w:val="de-DE"/>
        </w:rPr>
        <w:t>Telekom II</w:t>
      </w:r>
      <w:r w:rsidRPr="00B950C8">
        <w:rPr>
          <w:lang w:val="de-DE"/>
        </w:rPr>
        <w:t>.</w:t>
      </w:r>
    </w:p>
  </w:footnote>
  <w:footnote w:id="367">
    <w:p w14:paraId="358F4C6D" w14:textId="3309A34D" w:rsidR="001E5301" w:rsidRPr="00310F20" w:rsidRDefault="001E5301">
      <w:pPr>
        <w:pStyle w:val="Funotentext"/>
        <w:rPr>
          <w:lang w:val="de-DE"/>
        </w:rPr>
      </w:pPr>
      <w:r>
        <w:rPr>
          <w:rStyle w:val="Funotenzeichen"/>
        </w:rPr>
        <w:footnoteRef/>
      </w:r>
      <w:r w:rsidRPr="00310F20">
        <w:rPr>
          <w:lang w:val="de-DE"/>
        </w:rPr>
        <w:t xml:space="preserve"> </w:t>
      </w:r>
      <w:r w:rsidR="006C7BD2" w:rsidRPr="00310F20">
        <w:rPr>
          <w:lang w:val="de-DE"/>
        </w:rPr>
        <w:t xml:space="preserve">BGH, 15 </w:t>
      </w:r>
      <w:r w:rsidR="006C7BD2" w:rsidRPr="00310F20">
        <w:rPr>
          <w:lang w:val="de-DE"/>
        </w:rPr>
        <w:t xml:space="preserve">December 2020 – XI ZB 24/16, NZG 2021, 457, 460 (para. 55) – </w:t>
      </w:r>
      <w:r w:rsidR="006C7BD2" w:rsidRPr="00310F20">
        <w:rPr>
          <w:i/>
          <w:lang w:val="de-DE"/>
        </w:rPr>
        <w:t>Telekom II</w:t>
      </w:r>
      <w:r w:rsidR="006C7BD2" w:rsidRPr="00310F20">
        <w:rPr>
          <w:lang w:val="de-DE"/>
        </w:rPr>
        <w:t>.</w:t>
      </w:r>
    </w:p>
  </w:footnote>
  <w:footnote w:id="368">
    <w:p w14:paraId="62607082" w14:textId="34EF3B6C" w:rsidR="002756CC" w:rsidRPr="00310F20" w:rsidRDefault="002756CC">
      <w:pPr>
        <w:pStyle w:val="Funotentext"/>
        <w:rPr>
          <w:lang w:val="de-DE"/>
        </w:rPr>
      </w:pPr>
      <w:r>
        <w:rPr>
          <w:rStyle w:val="Funotenzeichen"/>
        </w:rPr>
        <w:footnoteRef/>
      </w:r>
      <w:r w:rsidRPr="00310F20">
        <w:rPr>
          <w:lang w:val="de-DE"/>
        </w:rPr>
        <w:t xml:space="preserve"> BGH, 15 </w:t>
      </w:r>
      <w:r w:rsidRPr="00310F20">
        <w:rPr>
          <w:lang w:val="de-DE"/>
        </w:rPr>
        <w:t>December 2020 – XI ZB 24/16, NZG 2021, 457, 4</w:t>
      </w:r>
      <w:r w:rsidR="009A3FD9" w:rsidRPr="00310F20">
        <w:rPr>
          <w:lang w:val="de-DE"/>
        </w:rPr>
        <w:t>59</w:t>
      </w:r>
      <w:r w:rsidRPr="00310F20">
        <w:rPr>
          <w:lang w:val="de-DE"/>
        </w:rPr>
        <w:t xml:space="preserve"> (paras 45, 46) – </w:t>
      </w:r>
      <w:r w:rsidRPr="00310F20">
        <w:rPr>
          <w:i/>
          <w:lang w:val="de-DE"/>
        </w:rPr>
        <w:t>Telekom II</w:t>
      </w:r>
      <w:r w:rsidRPr="00310F20">
        <w:rPr>
          <w:lang w:val="de-DE"/>
        </w:rPr>
        <w:t>.</w:t>
      </w:r>
    </w:p>
  </w:footnote>
  <w:footnote w:id="369">
    <w:p w14:paraId="79BDBF21" w14:textId="25634451" w:rsidR="0053445D" w:rsidRPr="00503463" w:rsidRDefault="0053445D">
      <w:pPr>
        <w:pStyle w:val="Funotentext"/>
        <w:rPr>
          <w:lang w:val="de-DE"/>
        </w:rPr>
      </w:pPr>
      <w:r>
        <w:rPr>
          <w:rStyle w:val="Funotenzeichen"/>
        </w:rPr>
        <w:footnoteRef/>
      </w:r>
      <w:r w:rsidRPr="00503463">
        <w:rPr>
          <w:lang w:val="de-DE"/>
        </w:rPr>
        <w:t xml:space="preserve"> Case C-910/19, </w:t>
      </w:r>
      <w:r w:rsidRPr="00503463">
        <w:rPr>
          <w:i/>
          <w:lang w:val="de-DE"/>
        </w:rPr>
        <w:t>Bankia</w:t>
      </w:r>
      <w:r w:rsidRPr="00503463">
        <w:rPr>
          <w:lang w:val="de-DE"/>
        </w:rPr>
        <w:t xml:space="preserve">, </w:t>
      </w:r>
      <w:r w:rsidRPr="00503463">
        <w:rPr>
          <w:lang w:val="de-DE"/>
        </w:rPr>
        <w:t>para. 33.</w:t>
      </w:r>
    </w:p>
  </w:footnote>
  <w:footnote w:id="370">
    <w:p w14:paraId="08196AE1" w14:textId="2B98C176" w:rsidR="00D744A6" w:rsidRPr="00503463" w:rsidRDefault="00D744A6">
      <w:pPr>
        <w:pStyle w:val="Funotentext"/>
        <w:rPr>
          <w:lang w:val="de-DE"/>
        </w:rPr>
      </w:pPr>
      <w:r>
        <w:rPr>
          <w:rStyle w:val="Funotenzeichen"/>
        </w:rPr>
        <w:footnoteRef/>
      </w:r>
      <w:r w:rsidRPr="00503463">
        <w:rPr>
          <w:lang w:val="de-DE"/>
        </w:rPr>
        <w:t xml:space="preserve"> Case C-910/19, </w:t>
      </w:r>
      <w:r w:rsidRPr="00503463">
        <w:rPr>
          <w:i/>
          <w:lang w:val="de-DE"/>
        </w:rPr>
        <w:t>Bankia</w:t>
      </w:r>
      <w:r w:rsidRPr="00503463">
        <w:rPr>
          <w:lang w:val="de-DE"/>
        </w:rPr>
        <w:t xml:space="preserve">, </w:t>
      </w:r>
      <w:r w:rsidRPr="00503463">
        <w:rPr>
          <w:lang w:val="de-DE"/>
        </w:rPr>
        <w:t>para. 36.</w:t>
      </w:r>
    </w:p>
  </w:footnote>
  <w:footnote w:id="371">
    <w:p w14:paraId="512D6CDB" w14:textId="3E8D7F19" w:rsidR="00AA6024" w:rsidRPr="00D744A6" w:rsidRDefault="00AA6024" w:rsidP="00AA6024">
      <w:pPr>
        <w:pStyle w:val="Funotentext"/>
      </w:pPr>
      <w:r>
        <w:rPr>
          <w:rStyle w:val="Funotenzeichen"/>
        </w:rPr>
        <w:footnoteRef/>
      </w:r>
      <w:r w:rsidRPr="00503463">
        <w:rPr>
          <w:lang w:val="de-DE"/>
        </w:rPr>
        <w:t xml:space="preserve"> Case C-910/19, </w:t>
      </w:r>
      <w:r w:rsidRPr="00503463">
        <w:rPr>
          <w:i/>
          <w:lang w:val="de-DE"/>
        </w:rPr>
        <w:t>Bankia</w:t>
      </w:r>
      <w:r w:rsidRPr="00503463">
        <w:rPr>
          <w:lang w:val="de-DE"/>
        </w:rPr>
        <w:t xml:space="preserve">, </w:t>
      </w:r>
      <w:r w:rsidRPr="00503463">
        <w:rPr>
          <w:lang w:val="de-DE"/>
        </w:rPr>
        <w:t>para. </w:t>
      </w:r>
      <w:r>
        <w:t>45.</w:t>
      </w:r>
    </w:p>
  </w:footnote>
  <w:footnote w:id="372">
    <w:p w14:paraId="2014A277" w14:textId="759552B1" w:rsidR="00D05DCD" w:rsidRPr="00D05DCD" w:rsidRDefault="00D05DCD">
      <w:pPr>
        <w:pStyle w:val="Funotentext"/>
      </w:pPr>
      <w:r>
        <w:rPr>
          <w:rStyle w:val="Funotenzeichen"/>
        </w:rPr>
        <w:footnoteRef/>
      </w:r>
      <w:r>
        <w:t xml:space="preserve"> BGH, 12 March 2020, VII ZR 236/19, NJG 2020, 1030, 1031 (para. 18) – </w:t>
      </w:r>
      <w:r w:rsidRPr="00D05DCD">
        <w:rPr>
          <w:i/>
        </w:rPr>
        <w:t>Infinus</w:t>
      </w:r>
      <w:r>
        <w:t>.</w:t>
      </w:r>
    </w:p>
  </w:footnote>
  <w:footnote w:id="373">
    <w:p w14:paraId="384A4F80" w14:textId="3479B230" w:rsidR="00C818E9" w:rsidRPr="00D05DCD" w:rsidRDefault="00C818E9" w:rsidP="00C818E9">
      <w:pPr>
        <w:pStyle w:val="Funotentext"/>
      </w:pPr>
      <w:r>
        <w:rPr>
          <w:rStyle w:val="Funotenzeichen"/>
        </w:rPr>
        <w:footnoteRef/>
      </w:r>
      <w:r>
        <w:t xml:space="preserve"> BGH, 12 March 2020, VII ZR 236/19, NJG 2020, 1030, 1032 (para. 35) – </w:t>
      </w:r>
      <w:r w:rsidRPr="00D05DCD">
        <w:rPr>
          <w:i/>
        </w:rPr>
        <w:t>Infinus</w:t>
      </w:r>
      <w:r>
        <w:t>.</w:t>
      </w:r>
    </w:p>
  </w:footnote>
  <w:footnote w:id="374">
    <w:p w14:paraId="5E60891C" w14:textId="6BD2062D" w:rsidR="008337EB" w:rsidRPr="008337EB" w:rsidRDefault="008337EB">
      <w:pPr>
        <w:pStyle w:val="Funotentext"/>
        <w:rPr>
          <w:lang w:val="en-US"/>
        </w:rPr>
      </w:pPr>
      <w:r>
        <w:rPr>
          <w:rStyle w:val="Funotenzeichen"/>
        </w:rPr>
        <w:footnoteRef/>
      </w:r>
      <w:r>
        <w:t xml:space="preserve"> </w:t>
      </w:r>
      <w:r w:rsidRPr="008337EB">
        <w:rPr>
          <w:lang w:val="en-US"/>
        </w:rPr>
        <w:t>Ca</w:t>
      </w:r>
      <w:r>
        <w:rPr>
          <w:lang w:val="en-US"/>
        </w:rPr>
        <w:t xml:space="preserve">se C-473/20, </w:t>
      </w:r>
      <w:r w:rsidRPr="008337EB">
        <w:rPr>
          <w:i/>
          <w:lang w:val="en-US"/>
        </w:rPr>
        <w:t>Invest Fund Management</w:t>
      </w:r>
      <w:r>
        <w:rPr>
          <w:lang w:val="en-US"/>
        </w:rPr>
        <w:t>, para. 28.</w:t>
      </w:r>
    </w:p>
  </w:footnote>
  <w:footnote w:id="375">
    <w:p w14:paraId="68841F6D" w14:textId="0819ECA7" w:rsidR="00840522" w:rsidRPr="006328F5" w:rsidRDefault="00840522">
      <w:pPr>
        <w:pStyle w:val="Funotentext"/>
        <w:rPr>
          <w:lang w:val="en-US"/>
        </w:rPr>
      </w:pPr>
      <w:r>
        <w:rPr>
          <w:rStyle w:val="Funotenzeichen"/>
        </w:rPr>
        <w:footnoteRef/>
      </w:r>
      <w:r>
        <w:t xml:space="preserve"> </w:t>
      </w:r>
      <w:r w:rsidRPr="008337EB">
        <w:rPr>
          <w:lang w:val="en-US"/>
        </w:rPr>
        <w:t>Ca</w:t>
      </w:r>
      <w:r>
        <w:rPr>
          <w:lang w:val="en-US"/>
        </w:rPr>
        <w:t xml:space="preserve">se C-473/20, </w:t>
      </w:r>
      <w:r w:rsidRPr="008337EB">
        <w:rPr>
          <w:i/>
          <w:lang w:val="en-US"/>
        </w:rPr>
        <w:t>Invest Fund Management</w:t>
      </w:r>
      <w:r>
        <w:rPr>
          <w:lang w:val="en-US"/>
        </w:rPr>
        <w:t>, para. 37.</w:t>
      </w:r>
    </w:p>
  </w:footnote>
  <w:footnote w:id="376">
    <w:p w14:paraId="253D5026" w14:textId="1E1513E1" w:rsidR="007A0F1F" w:rsidRPr="007A0F1F" w:rsidRDefault="007A0F1F">
      <w:pPr>
        <w:pStyle w:val="Funotentext"/>
        <w:rPr>
          <w:lang w:val="en-US"/>
        </w:rPr>
      </w:pPr>
      <w:r>
        <w:rPr>
          <w:rStyle w:val="Funotenzeichen"/>
        </w:rPr>
        <w:footnoteRef/>
      </w:r>
      <w:r w:rsidRPr="007A0F1F">
        <w:rPr>
          <w:lang w:val="en-US"/>
        </w:rPr>
        <w:t xml:space="preserve"> BGH, 23 October 2018</w:t>
      </w:r>
      <w:r w:rsidR="009C29BA">
        <w:rPr>
          <w:lang w:val="en-US"/>
        </w:rPr>
        <w:t xml:space="preserve"> –</w:t>
      </w:r>
      <w:r w:rsidRPr="007A0F1F">
        <w:rPr>
          <w:lang w:val="en-US"/>
        </w:rPr>
        <w:t xml:space="preserve"> XI ZB 3/16, NJ</w:t>
      </w:r>
      <w:r>
        <w:rPr>
          <w:lang w:val="en-US"/>
        </w:rPr>
        <w:t xml:space="preserve">W-RR 2019, 301, 303 (para. 40) – </w:t>
      </w:r>
      <w:r w:rsidRPr="007A0F1F">
        <w:rPr>
          <w:i/>
          <w:lang w:val="en-US"/>
        </w:rPr>
        <w:t>Morgan Stanley P2 Value</w:t>
      </w:r>
      <w:r>
        <w:rPr>
          <w:lang w:val="en-US"/>
        </w:rPr>
        <w:t>.</w:t>
      </w:r>
    </w:p>
  </w:footnote>
  <w:footnote w:id="377">
    <w:p w14:paraId="68AEC18E" w14:textId="4661BBF6" w:rsidR="007A0F1F" w:rsidRPr="007A0F1F" w:rsidRDefault="007A0F1F" w:rsidP="007A0F1F">
      <w:pPr>
        <w:pStyle w:val="Funotentext"/>
        <w:rPr>
          <w:lang w:val="en-US"/>
        </w:rPr>
      </w:pPr>
      <w:r>
        <w:rPr>
          <w:rStyle w:val="Funotenzeichen"/>
        </w:rPr>
        <w:footnoteRef/>
      </w:r>
      <w:r w:rsidRPr="007A0F1F">
        <w:rPr>
          <w:lang w:val="en-US"/>
        </w:rPr>
        <w:t xml:space="preserve"> BGH, 23 October 2018</w:t>
      </w:r>
      <w:r w:rsidR="009C29BA">
        <w:rPr>
          <w:lang w:val="en-US"/>
        </w:rPr>
        <w:t xml:space="preserve"> –</w:t>
      </w:r>
      <w:r w:rsidRPr="007A0F1F">
        <w:rPr>
          <w:lang w:val="en-US"/>
        </w:rPr>
        <w:t xml:space="preserve"> XI ZB 3/16, NJ</w:t>
      </w:r>
      <w:r>
        <w:rPr>
          <w:lang w:val="en-US"/>
        </w:rPr>
        <w:t xml:space="preserve">W-RR 2019, 301, 303 (para. 40) – </w:t>
      </w:r>
      <w:r w:rsidRPr="007A0F1F">
        <w:rPr>
          <w:i/>
          <w:lang w:val="en-US"/>
        </w:rPr>
        <w:t>Morgan Stanley P2 Value</w:t>
      </w:r>
      <w:r>
        <w:rPr>
          <w:lang w:val="en-US"/>
        </w:rPr>
        <w:t>.</w:t>
      </w:r>
    </w:p>
  </w:footnote>
  <w:footnote w:id="378">
    <w:p w14:paraId="51E9B329" w14:textId="4B5599B8" w:rsidR="001604ED" w:rsidRPr="001604ED" w:rsidRDefault="001604ED">
      <w:pPr>
        <w:pStyle w:val="Funotentext"/>
        <w:rPr>
          <w:lang w:val="en-US"/>
        </w:rPr>
      </w:pPr>
      <w:r>
        <w:rPr>
          <w:rStyle w:val="Funotenzeichen"/>
        </w:rPr>
        <w:footnoteRef/>
      </w:r>
      <w:r>
        <w:t xml:space="preserve"> </w:t>
      </w:r>
      <w:r w:rsidRPr="007A0F1F">
        <w:rPr>
          <w:lang w:val="en-US"/>
        </w:rPr>
        <w:t>BGH, 23 October 2018</w:t>
      </w:r>
      <w:r w:rsidR="009C29BA">
        <w:rPr>
          <w:lang w:val="en-US"/>
        </w:rPr>
        <w:t xml:space="preserve"> –</w:t>
      </w:r>
      <w:r w:rsidRPr="007A0F1F">
        <w:rPr>
          <w:lang w:val="en-US"/>
        </w:rPr>
        <w:t xml:space="preserve"> XI ZB 3/16, NJ</w:t>
      </w:r>
      <w:r>
        <w:rPr>
          <w:lang w:val="en-US"/>
        </w:rPr>
        <w:t xml:space="preserve">W-RR 2019, 301, 303 (paras 41ff.) – </w:t>
      </w:r>
      <w:r w:rsidRPr="007A0F1F">
        <w:rPr>
          <w:i/>
          <w:lang w:val="en-US"/>
        </w:rPr>
        <w:t>Morgan Stanley P2 Value</w:t>
      </w:r>
      <w:r>
        <w:rPr>
          <w:lang w:val="en-US"/>
        </w:rPr>
        <w:t>.</w:t>
      </w:r>
    </w:p>
  </w:footnote>
  <w:footnote w:id="379">
    <w:p w14:paraId="2B8E2133" w14:textId="00AD564D" w:rsidR="003559E6" w:rsidRPr="00503463" w:rsidRDefault="003559E6">
      <w:pPr>
        <w:pStyle w:val="Funotentext"/>
        <w:rPr>
          <w:lang w:val="en-US"/>
        </w:rPr>
      </w:pPr>
      <w:r>
        <w:rPr>
          <w:rStyle w:val="Funotenzeichen"/>
        </w:rPr>
        <w:footnoteRef/>
      </w:r>
      <w:r w:rsidRPr="00503463">
        <w:rPr>
          <w:lang w:val="en-US"/>
        </w:rPr>
        <w:t xml:space="preserve"> Case C-628/13, </w:t>
      </w:r>
      <w:r w:rsidRPr="00503463">
        <w:rPr>
          <w:i/>
          <w:lang w:val="en-US"/>
        </w:rPr>
        <w:t>Lafonta</w:t>
      </w:r>
      <w:r w:rsidRPr="00503463">
        <w:rPr>
          <w:lang w:val="en-US"/>
        </w:rPr>
        <w:t>, para. 38.</w:t>
      </w:r>
    </w:p>
  </w:footnote>
  <w:footnote w:id="380">
    <w:p w14:paraId="5728DE01" w14:textId="749CBD66" w:rsidR="00067BDB" w:rsidRPr="00067BDB" w:rsidRDefault="00067BDB">
      <w:pPr>
        <w:pStyle w:val="Funotentext"/>
      </w:pPr>
      <w:r>
        <w:rPr>
          <w:rStyle w:val="Funotenzeichen"/>
        </w:rPr>
        <w:footnoteRef/>
      </w:r>
      <w:r w:rsidRPr="00503463">
        <w:rPr>
          <w:lang w:val="en-US"/>
        </w:rPr>
        <w:t xml:space="preserve"> Case C-628/13, </w:t>
      </w:r>
      <w:r w:rsidRPr="00503463">
        <w:rPr>
          <w:i/>
          <w:lang w:val="en-US"/>
        </w:rPr>
        <w:t>Lafonta</w:t>
      </w:r>
      <w:r w:rsidRPr="00503463">
        <w:rPr>
          <w:lang w:val="en-US"/>
        </w:rPr>
        <w:t>, para. </w:t>
      </w:r>
      <w:r>
        <w:t>31.</w:t>
      </w:r>
    </w:p>
  </w:footnote>
  <w:footnote w:id="381">
    <w:p w14:paraId="00AB43A9" w14:textId="79B794D8" w:rsidR="0033505A" w:rsidRPr="0033505A" w:rsidRDefault="0033505A">
      <w:pPr>
        <w:pStyle w:val="Funotentext"/>
      </w:pPr>
      <w:r>
        <w:rPr>
          <w:rStyle w:val="Funotenzeichen"/>
        </w:rPr>
        <w:footnoteRef/>
      </w:r>
      <w:r>
        <w:t xml:space="preserve"> Ultimately left open in BGH, 23 April 2013</w:t>
      </w:r>
      <w:r w:rsidR="009C29BA">
        <w:rPr>
          <w:lang w:val="en-US"/>
        </w:rPr>
        <w:t xml:space="preserve"> –</w:t>
      </w:r>
      <w:r>
        <w:t xml:space="preserve"> II ZB 7/09, NZG 2013, 708, 711 (paras. 18ff.) – </w:t>
      </w:r>
      <w:r w:rsidRPr="0033505A">
        <w:rPr>
          <w:i/>
        </w:rPr>
        <w:t>Geltl</w:t>
      </w:r>
      <w:r>
        <w:t>.</w:t>
      </w:r>
    </w:p>
  </w:footnote>
  <w:footnote w:id="382">
    <w:p w14:paraId="5B523A3E" w14:textId="20E34AD5" w:rsidR="00AF5098" w:rsidRPr="007A0F1F" w:rsidRDefault="00AF5098">
      <w:pPr>
        <w:pStyle w:val="Funotentext"/>
      </w:pPr>
      <w:r>
        <w:rPr>
          <w:rStyle w:val="Funotenzeichen"/>
        </w:rPr>
        <w:footnoteRef/>
      </w:r>
      <w:r w:rsidRPr="007A0F1F">
        <w:t xml:space="preserve"> </w:t>
      </w:r>
      <w:r w:rsidR="00CA6A84" w:rsidRPr="007A0F1F">
        <w:t xml:space="preserve">BaFin, </w:t>
      </w:r>
      <w:r w:rsidR="00CA6A84" w:rsidRPr="007A0F1F">
        <w:rPr>
          <w:i/>
        </w:rPr>
        <w:t>Emittentenleitfaden Modul C</w:t>
      </w:r>
      <w:r w:rsidR="00CA6A84" w:rsidRPr="007A0F1F">
        <w:t>, p. 36.</w:t>
      </w:r>
    </w:p>
  </w:footnote>
  <w:footnote w:id="383">
    <w:p w14:paraId="1F72E760" w14:textId="192FAE86" w:rsidR="00AF5098" w:rsidRPr="007A0F1F" w:rsidRDefault="00AF5098">
      <w:pPr>
        <w:pStyle w:val="Funotentext"/>
      </w:pPr>
      <w:r>
        <w:rPr>
          <w:rStyle w:val="Funotenzeichen"/>
        </w:rPr>
        <w:footnoteRef/>
      </w:r>
      <w:r w:rsidRPr="007A0F1F">
        <w:t xml:space="preserve"> Article 4(3) Implementing Regulation (EU) 2016/1055.</w:t>
      </w:r>
    </w:p>
  </w:footnote>
  <w:footnote w:id="384">
    <w:p w14:paraId="5EA3EA7D" w14:textId="3B44FA82" w:rsidR="005A6879" w:rsidRPr="006E03FB" w:rsidRDefault="005A6879">
      <w:pPr>
        <w:pStyle w:val="Funotentext"/>
        <w:rPr>
          <w:lang w:val="en-US"/>
        </w:rPr>
      </w:pPr>
      <w:r>
        <w:rPr>
          <w:rStyle w:val="Funotenzeichen"/>
        </w:rPr>
        <w:footnoteRef/>
      </w:r>
      <w:r w:rsidRPr="007A0F1F">
        <w:t xml:space="preserve"> BGH, 23 April 2013</w:t>
      </w:r>
      <w:r w:rsidR="009C29BA">
        <w:rPr>
          <w:lang w:val="en-US"/>
        </w:rPr>
        <w:t xml:space="preserve"> –</w:t>
      </w:r>
      <w:r w:rsidRPr="007A0F1F">
        <w:t xml:space="preserve"> II ZB 7/09, NZG 2013, 708, 712f. (paras. </w:t>
      </w:r>
      <w:r w:rsidRPr="006E03FB">
        <w:rPr>
          <w:lang w:val="en-US"/>
        </w:rPr>
        <w:t xml:space="preserve">32ff.) – </w:t>
      </w:r>
      <w:r w:rsidRPr="006E03FB">
        <w:rPr>
          <w:i/>
          <w:lang w:val="en-US"/>
        </w:rPr>
        <w:t>Geltl</w:t>
      </w:r>
      <w:r w:rsidRPr="006E03FB">
        <w:rPr>
          <w:lang w:val="en-US"/>
        </w:rPr>
        <w:t>.</w:t>
      </w:r>
    </w:p>
  </w:footnote>
  <w:footnote w:id="385">
    <w:p w14:paraId="38AFE24E" w14:textId="3E68A5E0" w:rsidR="006E03FB" w:rsidRPr="006E03FB" w:rsidRDefault="006E03FB">
      <w:pPr>
        <w:pStyle w:val="Funotentext"/>
      </w:pPr>
      <w:r>
        <w:rPr>
          <w:rStyle w:val="Funotenzeichen"/>
        </w:rPr>
        <w:footnoteRef/>
      </w:r>
      <w:r w:rsidRPr="00503463">
        <w:t xml:space="preserve"> BGH, 23 April 2013</w:t>
      </w:r>
      <w:r w:rsidR="009C29BA" w:rsidRPr="00503463">
        <w:t xml:space="preserve"> –</w:t>
      </w:r>
      <w:r w:rsidRPr="00503463">
        <w:t xml:space="preserve"> II ZB 7/09, NZG 2013, 708, 713 (paras. </w:t>
      </w:r>
      <w:r w:rsidRPr="006E03FB">
        <w:rPr>
          <w:lang w:val="en-US"/>
        </w:rPr>
        <w:t>3</w:t>
      </w:r>
      <w:r>
        <w:rPr>
          <w:lang w:val="en-US"/>
        </w:rPr>
        <w:t>5, 36</w:t>
      </w:r>
      <w:r w:rsidRPr="006E03FB">
        <w:rPr>
          <w:lang w:val="en-US"/>
        </w:rPr>
        <w:t xml:space="preserve">) – </w:t>
      </w:r>
      <w:r w:rsidRPr="006E03FB">
        <w:rPr>
          <w:i/>
          <w:lang w:val="en-US"/>
        </w:rPr>
        <w:t>Geltl</w:t>
      </w:r>
      <w:r w:rsidRPr="006E03FB">
        <w:rPr>
          <w:lang w:val="en-US"/>
        </w:rPr>
        <w:t>.</w:t>
      </w:r>
    </w:p>
  </w:footnote>
  <w:footnote w:id="386">
    <w:p w14:paraId="34CB7C36" w14:textId="21259ABF" w:rsidR="00073040" w:rsidRPr="00073040" w:rsidRDefault="00073040">
      <w:pPr>
        <w:pStyle w:val="Funotentext"/>
        <w:rPr>
          <w:lang w:val="en-US"/>
        </w:rPr>
      </w:pPr>
      <w:r>
        <w:rPr>
          <w:rStyle w:val="Funotenzeichen"/>
        </w:rPr>
        <w:footnoteRef/>
      </w:r>
      <w:r>
        <w:t xml:space="preserve"> </w:t>
      </w:r>
      <w:r w:rsidRPr="00073040">
        <w:rPr>
          <w:lang w:val="en-US"/>
        </w:rPr>
        <w:t>C</w:t>
      </w:r>
      <w:r>
        <w:rPr>
          <w:lang w:val="en-US"/>
        </w:rPr>
        <w:t xml:space="preserve">ase C-45/08, </w:t>
      </w:r>
      <w:r w:rsidRPr="00073040">
        <w:rPr>
          <w:i/>
          <w:lang w:val="en-US"/>
        </w:rPr>
        <w:t>Spector Photo Group</w:t>
      </w:r>
      <w:r>
        <w:rPr>
          <w:lang w:val="en-US"/>
        </w:rPr>
        <w:t>, paras 35–38.</w:t>
      </w:r>
      <w:r w:rsidR="001C4A47">
        <w:rPr>
          <w:lang w:val="en-US"/>
        </w:rPr>
        <w:t xml:space="preserve"> </w:t>
      </w:r>
    </w:p>
  </w:footnote>
  <w:footnote w:id="387">
    <w:p w14:paraId="2A8772A1" w14:textId="1D493C3F" w:rsidR="00CD2225" w:rsidRPr="00CD2225" w:rsidRDefault="00CD2225">
      <w:pPr>
        <w:pStyle w:val="Funotentext"/>
        <w:rPr>
          <w:lang w:val="en-US"/>
        </w:rPr>
      </w:pPr>
      <w:r>
        <w:rPr>
          <w:rStyle w:val="Funotenzeichen"/>
        </w:rPr>
        <w:footnoteRef/>
      </w:r>
      <w:r>
        <w:t xml:space="preserve"> </w:t>
      </w:r>
      <w:r w:rsidRPr="00073040">
        <w:rPr>
          <w:lang w:val="en-US"/>
        </w:rPr>
        <w:t>C</w:t>
      </w:r>
      <w:r>
        <w:rPr>
          <w:lang w:val="en-US"/>
        </w:rPr>
        <w:t xml:space="preserve">ase C-45/08, </w:t>
      </w:r>
      <w:r w:rsidRPr="00073040">
        <w:rPr>
          <w:i/>
          <w:lang w:val="en-US"/>
        </w:rPr>
        <w:t>Spector Photo Group</w:t>
      </w:r>
      <w:r>
        <w:rPr>
          <w:lang w:val="en-US"/>
        </w:rPr>
        <w:t>, para. 44.</w:t>
      </w:r>
    </w:p>
  </w:footnote>
  <w:footnote w:id="388">
    <w:p w14:paraId="756964A8" w14:textId="5C1DF0B4" w:rsidR="004B6BB3" w:rsidRPr="004B6BB3" w:rsidRDefault="004B6BB3" w:rsidP="004B6BB3">
      <w:pPr>
        <w:pStyle w:val="Funotentext"/>
        <w:rPr>
          <w:lang w:val="en-US"/>
        </w:rPr>
      </w:pPr>
      <w:r>
        <w:rPr>
          <w:rStyle w:val="Funotenzeichen"/>
        </w:rPr>
        <w:footnoteRef/>
      </w:r>
      <w:r>
        <w:t xml:space="preserve"> </w:t>
      </w:r>
      <w:r w:rsidRPr="004B6BB3">
        <w:rPr>
          <w:lang w:val="en-US"/>
        </w:rPr>
        <w:t>Case</w:t>
      </w:r>
      <w:r>
        <w:rPr>
          <w:lang w:val="en-US"/>
        </w:rPr>
        <w:t xml:space="preserve"> C-384/02, </w:t>
      </w:r>
      <w:r w:rsidRPr="00D6064B">
        <w:rPr>
          <w:i/>
          <w:lang w:val="en-US"/>
        </w:rPr>
        <w:t>Grøngaard</w:t>
      </w:r>
      <w:r w:rsidRPr="004B6BB3">
        <w:rPr>
          <w:lang w:val="en-US"/>
        </w:rPr>
        <w:t>,</w:t>
      </w:r>
      <w:r>
        <w:rPr>
          <w:lang w:val="en-US"/>
        </w:rPr>
        <w:t xml:space="preserve"> para</w:t>
      </w:r>
      <w:r w:rsidR="00D6064B">
        <w:rPr>
          <w:lang w:val="en-US"/>
        </w:rPr>
        <w:t>. </w:t>
      </w:r>
      <w:r w:rsidR="0022755F">
        <w:rPr>
          <w:lang w:val="en-US"/>
        </w:rPr>
        <w:t>27.</w:t>
      </w:r>
      <w:r>
        <w:rPr>
          <w:lang w:val="en-US"/>
        </w:rPr>
        <w:t> </w:t>
      </w:r>
    </w:p>
  </w:footnote>
  <w:footnote w:id="389">
    <w:p w14:paraId="722AE452" w14:textId="41F76B6B" w:rsidR="00D6064B" w:rsidRPr="00D6064B" w:rsidRDefault="00D6064B">
      <w:pPr>
        <w:pStyle w:val="Funotentext"/>
      </w:pPr>
      <w:r>
        <w:rPr>
          <w:rStyle w:val="Funotenzeichen"/>
        </w:rPr>
        <w:footnoteRef/>
      </w:r>
      <w:r>
        <w:t xml:space="preserve"> </w:t>
      </w:r>
      <w:r w:rsidRPr="004B6BB3">
        <w:rPr>
          <w:lang w:val="en-US"/>
        </w:rPr>
        <w:t>Case</w:t>
      </w:r>
      <w:r>
        <w:rPr>
          <w:lang w:val="en-US"/>
        </w:rPr>
        <w:t xml:space="preserve"> C-384/02, </w:t>
      </w:r>
      <w:r w:rsidRPr="00D6064B">
        <w:rPr>
          <w:i/>
          <w:lang w:val="en-US"/>
        </w:rPr>
        <w:t>Grøngaard</w:t>
      </w:r>
      <w:r w:rsidRPr="004B6BB3">
        <w:rPr>
          <w:lang w:val="en-US"/>
        </w:rPr>
        <w:t>,</w:t>
      </w:r>
      <w:r>
        <w:rPr>
          <w:lang w:val="en-US"/>
        </w:rPr>
        <w:t xml:space="preserve"> para. 34. </w:t>
      </w:r>
    </w:p>
  </w:footnote>
  <w:footnote w:id="390">
    <w:p w14:paraId="65F2DC72" w14:textId="528607B7" w:rsidR="007017B6" w:rsidRPr="007A0F1F" w:rsidRDefault="007017B6">
      <w:pPr>
        <w:pStyle w:val="Funotentext"/>
        <w:rPr>
          <w:lang w:val="en-US"/>
        </w:rPr>
      </w:pPr>
      <w:r>
        <w:rPr>
          <w:rStyle w:val="Funotenzeichen"/>
        </w:rPr>
        <w:footnoteRef/>
      </w:r>
      <w:r>
        <w:t xml:space="preserve"> </w:t>
      </w:r>
      <w:r w:rsidRPr="004B6BB3">
        <w:rPr>
          <w:lang w:val="en-US"/>
        </w:rPr>
        <w:t>Case</w:t>
      </w:r>
      <w:r>
        <w:rPr>
          <w:lang w:val="en-US"/>
        </w:rPr>
        <w:t xml:space="preserve"> C-384/02, </w:t>
      </w:r>
      <w:r w:rsidRPr="00D6064B">
        <w:rPr>
          <w:i/>
          <w:lang w:val="en-US"/>
        </w:rPr>
        <w:t>Grøngaard</w:t>
      </w:r>
      <w:r w:rsidRPr="004B6BB3">
        <w:rPr>
          <w:lang w:val="en-US"/>
        </w:rPr>
        <w:t>,</w:t>
      </w:r>
      <w:r>
        <w:rPr>
          <w:lang w:val="en-US"/>
        </w:rPr>
        <w:t xml:space="preserve"> para. 48. </w:t>
      </w:r>
    </w:p>
  </w:footnote>
  <w:footnote w:id="391">
    <w:p w14:paraId="2A689DF3" w14:textId="7418EB91" w:rsidR="00F34DD0" w:rsidRPr="00784DEA" w:rsidRDefault="00F34DD0">
      <w:pPr>
        <w:pStyle w:val="Funotentext"/>
        <w:rPr>
          <w:lang w:val="en-US"/>
        </w:rPr>
      </w:pPr>
      <w:r>
        <w:rPr>
          <w:rStyle w:val="Funotenzeichen"/>
        </w:rPr>
        <w:footnoteRef/>
      </w:r>
      <w:r w:rsidRPr="00784DEA">
        <w:rPr>
          <w:lang w:val="en-US"/>
        </w:rPr>
        <w:t xml:space="preserve"> Case C-302/20, </w:t>
      </w:r>
      <w:r w:rsidRPr="00784DEA">
        <w:rPr>
          <w:i/>
          <w:lang w:val="en-US"/>
        </w:rPr>
        <w:t>Hermès</w:t>
      </w:r>
      <w:r w:rsidRPr="00784DEA">
        <w:rPr>
          <w:lang w:val="en-US"/>
        </w:rPr>
        <w:t>, para. 46.</w:t>
      </w:r>
    </w:p>
  </w:footnote>
  <w:footnote w:id="392">
    <w:p w14:paraId="4F056824" w14:textId="3A1F7D9F" w:rsidR="00657079" w:rsidRPr="00784DEA" w:rsidRDefault="00657079">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paras 48, 51.</w:t>
      </w:r>
    </w:p>
  </w:footnote>
  <w:footnote w:id="393">
    <w:p w14:paraId="15B3F8D9" w14:textId="1447CFA0" w:rsidR="002D4CBA" w:rsidRPr="00784DEA" w:rsidRDefault="002D4CBA">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 57.</w:t>
      </w:r>
    </w:p>
  </w:footnote>
  <w:footnote w:id="394">
    <w:p w14:paraId="39B4412C" w14:textId="4A0584EA" w:rsidR="00784DEA" w:rsidRPr="00784DEA" w:rsidRDefault="00784DEA">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7</w:t>
      </w:r>
      <w:r w:rsidRPr="00784DEA">
        <w:rPr>
          <w:lang w:val="en-US"/>
        </w:rPr>
        <w:t>1.</w:t>
      </w:r>
    </w:p>
  </w:footnote>
  <w:footnote w:id="395">
    <w:p w14:paraId="25CB9EAF" w14:textId="46D27EFF" w:rsidR="008721C4" w:rsidRPr="00D36A22" w:rsidRDefault="008721C4">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75</w:t>
      </w:r>
      <w:r w:rsidRPr="00784DEA">
        <w:rPr>
          <w:lang w:val="en-US"/>
        </w:rPr>
        <w:t>.</w:t>
      </w:r>
    </w:p>
  </w:footnote>
  <w:footnote w:id="396">
    <w:p w14:paraId="156650D1" w14:textId="64EC06A8" w:rsidR="00F53592" w:rsidRPr="00D36A22" w:rsidRDefault="00F53592">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78</w:t>
      </w:r>
      <w:r w:rsidRPr="00784DEA">
        <w:rPr>
          <w:lang w:val="en-US"/>
        </w:rPr>
        <w:t>.</w:t>
      </w:r>
    </w:p>
  </w:footnote>
  <w:footnote w:id="397">
    <w:p w14:paraId="57F1A1AC" w14:textId="51640553" w:rsidR="00D36A22" w:rsidRPr="00D36A22" w:rsidRDefault="00D36A22">
      <w:pPr>
        <w:pStyle w:val="Funotentext"/>
        <w:rPr>
          <w:lang w:val="en-US"/>
        </w:rPr>
      </w:pPr>
      <w:r>
        <w:rPr>
          <w:rStyle w:val="Funotenzeichen"/>
        </w:rPr>
        <w:footnoteRef/>
      </w:r>
      <w:r>
        <w:t xml:space="preserve"> </w:t>
      </w:r>
      <w:r w:rsidRPr="00784DEA">
        <w:rPr>
          <w:lang w:val="en-US"/>
        </w:rPr>
        <w:t xml:space="preserve">Case C-302/20, </w:t>
      </w:r>
      <w:r w:rsidRPr="00784DEA">
        <w:rPr>
          <w:i/>
          <w:lang w:val="en-US"/>
        </w:rPr>
        <w:t>Hermès</w:t>
      </w:r>
      <w:r w:rsidRPr="00784DEA">
        <w:rPr>
          <w:lang w:val="en-US"/>
        </w:rPr>
        <w:t>, para</w:t>
      </w:r>
      <w:r>
        <w:rPr>
          <w:lang w:val="en-US"/>
        </w:rPr>
        <w:t>. 81</w:t>
      </w:r>
      <w:r w:rsidRPr="00784DEA">
        <w:rPr>
          <w:lang w:val="en-US"/>
        </w:rPr>
        <w:t>.</w:t>
      </w:r>
    </w:p>
  </w:footnote>
  <w:footnote w:id="398">
    <w:p w14:paraId="76EF2F62" w14:textId="39087B99" w:rsidR="00AB3504" w:rsidRPr="007A0F1F" w:rsidRDefault="00AB3504">
      <w:pPr>
        <w:pStyle w:val="Funotentext"/>
        <w:rPr>
          <w:lang w:val="en-US"/>
        </w:rPr>
      </w:pPr>
      <w:r>
        <w:rPr>
          <w:rStyle w:val="Funotenzeichen"/>
        </w:rPr>
        <w:footnoteRef/>
      </w:r>
      <w:r w:rsidRPr="00784DEA">
        <w:rPr>
          <w:lang w:val="en-US"/>
        </w:rPr>
        <w:t xml:space="preserve"> BGH, 13 December 2011</w:t>
      </w:r>
      <w:r w:rsidR="009C29BA">
        <w:rPr>
          <w:lang w:val="en-US"/>
        </w:rPr>
        <w:t xml:space="preserve"> –</w:t>
      </w:r>
      <w:r w:rsidRPr="00784DEA">
        <w:rPr>
          <w:lang w:val="en-US"/>
        </w:rPr>
        <w:t xml:space="preserve"> XI ZR 51/10, para. </w:t>
      </w:r>
      <w:r w:rsidRPr="007A0F1F">
        <w:rPr>
          <w:lang w:val="en-US"/>
        </w:rPr>
        <w:t>16</w:t>
      </w:r>
      <w:r w:rsidR="006B2DA9" w:rsidRPr="007A0F1F">
        <w:rPr>
          <w:lang w:val="en-US"/>
        </w:rPr>
        <w:t xml:space="preserve"> – </w:t>
      </w:r>
      <w:r w:rsidR="006B2DA9" w:rsidRPr="007A0F1F">
        <w:rPr>
          <w:i/>
          <w:caps/>
          <w:lang w:val="en-US"/>
        </w:rPr>
        <w:t>IKB</w:t>
      </w:r>
      <w:r w:rsidRPr="007A0F1F">
        <w:rPr>
          <w:lang w:val="en-US"/>
        </w:rPr>
        <w:t>.</w:t>
      </w:r>
    </w:p>
  </w:footnote>
  <w:footnote w:id="399">
    <w:p w14:paraId="3D5FB84E" w14:textId="135D9E98" w:rsidR="00EB707D" w:rsidRPr="00EE6417" w:rsidRDefault="00EB707D">
      <w:pPr>
        <w:pStyle w:val="Funotentext"/>
        <w:rPr>
          <w:lang w:val="en-US"/>
        </w:rPr>
      </w:pPr>
      <w:r>
        <w:rPr>
          <w:rStyle w:val="Funotenzeichen"/>
        </w:rPr>
        <w:footnoteRef/>
      </w:r>
      <w:r>
        <w:t xml:space="preserve"> </w:t>
      </w:r>
      <w:r w:rsidRPr="00EE6417">
        <w:rPr>
          <w:lang w:val="en-US"/>
        </w:rPr>
        <w:t>BGH, 13 December 2011</w:t>
      </w:r>
      <w:r w:rsidR="009C29BA">
        <w:rPr>
          <w:lang w:val="en-US"/>
        </w:rPr>
        <w:t xml:space="preserve"> –</w:t>
      </w:r>
      <w:r w:rsidRPr="00EE6417">
        <w:rPr>
          <w:lang w:val="en-US"/>
        </w:rPr>
        <w:t xml:space="preserve"> XI ZR 51/10, para. 17</w:t>
      </w:r>
      <w:r w:rsidR="006B2DA9">
        <w:rPr>
          <w:lang w:val="en-US"/>
        </w:rPr>
        <w:t xml:space="preserve"> – </w:t>
      </w:r>
      <w:r w:rsidR="006B2DA9" w:rsidRPr="006B2DA9">
        <w:rPr>
          <w:i/>
          <w:caps/>
          <w:lang w:val="en-US"/>
        </w:rPr>
        <w:t>IKB</w:t>
      </w:r>
      <w:r w:rsidRPr="00EE6417">
        <w:rPr>
          <w:lang w:val="en-US"/>
        </w:rPr>
        <w:t>.</w:t>
      </w:r>
    </w:p>
  </w:footnote>
  <w:footnote w:id="400">
    <w:p w14:paraId="6B6ADCBC" w14:textId="71112A07" w:rsidR="00F524CB" w:rsidRPr="007A0F1F" w:rsidRDefault="00F524CB" w:rsidP="00F524CB">
      <w:pPr>
        <w:pStyle w:val="Funotentext"/>
        <w:rPr>
          <w:lang w:val="en-US"/>
        </w:rPr>
      </w:pPr>
      <w:r>
        <w:rPr>
          <w:rStyle w:val="Funotenzeichen"/>
        </w:rPr>
        <w:footnoteRef/>
      </w:r>
      <w:r>
        <w:t xml:space="preserve"> </w:t>
      </w:r>
      <w:r w:rsidRPr="00EE6417">
        <w:rPr>
          <w:lang w:val="en-US"/>
        </w:rPr>
        <w:t>BGH, 13 December 2011</w:t>
      </w:r>
      <w:r w:rsidR="009C29BA">
        <w:rPr>
          <w:lang w:val="en-US"/>
        </w:rPr>
        <w:t xml:space="preserve"> –</w:t>
      </w:r>
      <w:r w:rsidRPr="00EE6417">
        <w:rPr>
          <w:lang w:val="en-US"/>
        </w:rPr>
        <w:t xml:space="preserve"> XI ZR 51/10, para. </w:t>
      </w:r>
      <w:r w:rsidRPr="007A0F1F">
        <w:rPr>
          <w:lang w:val="en-US"/>
        </w:rPr>
        <w:t>18</w:t>
      </w:r>
      <w:r w:rsidR="006B2DA9" w:rsidRPr="007A0F1F">
        <w:rPr>
          <w:lang w:val="en-US"/>
        </w:rPr>
        <w:t xml:space="preserve"> – </w:t>
      </w:r>
      <w:r w:rsidR="006B2DA9" w:rsidRPr="007A0F1F">
        <w:rPr>
          <w:i/>
          <w:caps/>
          <w:lang w:val="en-US"/>
        </w:rPr>
        <w:t>IKB</w:t>
      </w:r>
      <w:r w:rsidRPr="007A0F1F">
        <w:rPr>
          <w:lang w:val="en-US"/>
        </w:rPr>
        <w:t>.</w:t>
      </w:r>
    </w:p>
  </w:footnote>
  <w:footnote w:id="401">
    <w:p w14:paraId="3135ED6C" w14:textId="4E3CDF0F" w:rsidR="00FB5F4C" w:rsidRPr="003F4D39" w:rsidRDefault="00FB5F4C">
      <w:pPr>
        <w:pStyle w:val="Funotentext"/>
        <w:rPr>
          <w:lang w:val="en-US"/>
        </w:rPr>
      </w:pPr>
      <w:r>
        <w:rPr>
          <w:rStyle w:val="Funotenzeichen"/>
        </w:rPr>
        <w:footnoteRef/>
      </w:r>
      <w:r w:rsidRPr="003F4D39">
        <w:rPr>
          <w:lang w:val="en-US"/>
        </w:rPr>
        <w:t xml:space="preserve"> BGH, 13 December 2011</w:t>
      </w:r>
      <w:r w:rsidR="009C29BA" w:rsidRPr="003F4D39">
        <w:rPr>
          <w:lang w:val="en-US"/>
        </w:rPr>
        <w:t xml:space="preserve"> –</w:t>
      </w:r>
      <w:r w:rsidRPr="003F4D39">
        <w:rPr>
          <w:lang w:val="en-US"/>
        </w:rPr>
        <w:t xml:space="preserve"> XI ZR 51/10, paras 19ff.</w:t>
      </w:r>
      <w:r w:rsidR="006B2DA9" w:rsidRPr="003F4D39">
        <w:rPr>
          <w:lang w:val="en-US"/>
        </w:rPr>
        <w:t xml:space="preserve"> – </w:t>
      </w:r>
      <w:r w:rsidR="006B2DA9" w:rsidRPr="003F4D39">
        <w:rPr>
          <w:i/>
          <w:caps/>
          <w:lang w:val="en-US"/>
        </w:rPr>
        <w:t>IKB.</w:t>
      </w:r>
    </w:p>
  </w:footnote>
  <w:footnote w:id="402">
    <w:p w14:paraId="3113258E" w14:textId="70138DE2" w:rsidR="004A0049" w:rsidRPr="006B2DA9" w:rsidRDefault="004A0049">
      <w:pPr>
        <w:pStyle w:val="Funotentext"/>
        <w:rPr>
          <w:lang w:val="sv-SE"/>
        </w:rPr>
      </w:pPr>
      <w:r>
        <w:rPr>
          <w:rStyle w:val="Funotenzeichen"/>
        </w:rPr>
        <w:footnoteRef/>
      </w:r>
      <w:r w:rsidRPr="004A0049">
        <w:rPr>
          <w:lang w:val="sv-SE"/>
        </w:rPr>
        <w:t xml:space="preserve"> </w:t>
      </w:r>
      <w:r w:rsidRPr="00FB5F4C">
        <w:rPr>
          <w:lang w:val="sv-SE"/>
        </w:rPr>
        <w:t>BGH, 13 December 2011</w:t>
      </w:r>
      <w:r w:rsidR="009C29BA" w:rsidRPr="009C29BA">
        <w:rPr>
          <w:lang w:val="sv-SE"/>
        </w:rPr>
        <w:t xml:space="preserve"> –</w:t>
      </w:r>
      <w:r w:rsidRPr="00FB5F4C">
        <w:rPr>
          <w:lang w:val="sv-SE"/>
        </w:rPr>
        <w:t xml:space="preserve"> XI ZR 51/10, para</w:t>
      </w:r>
      <w:r>
        <w:rPr>
          <w:lang w:val="sv-SE"/>
        </w:rPr>
        <w:t>s 45f</w:t>
      </w:r>
      <w:r w:rsidRPr="00FB5F4C">
        <w:rPr>
          <w:lang w:val="sv-SE"/>
        </w:rPr>
        <w:t>.</w:t>
      </w:r>
      <w:r w:rsidR="006B2DA9">
        <w:rPr>
          <w:lang w:val="sv-SE"/>
        </w:rPr>
        <w:t xml:space="preserve"> </w:t>
      </w:r>
      <w:r w:rsidR="006B2DA9" w:rsidRPr="006B2DA9">
        <w:rPr>
          <w:lang w:val="sv-SE"/>
        </w:rPr>
        <w:t xml:space="preserve">– </w:t>
      </w:r>
      <w:r w:rsidR="006B2DA9" w:rsidRPr="006B2DA9">
        <w:rPr>
          <w:i/>
          <w:caps/>
          <w:lang w:val="sv-SE"/>
        </w:rPr>
        <w:t>IKB</w:t>
      </w:r>
      <w:r w:rsidR="006B2DA9">
        <w:rPr>
          <w:i/>
          <w:caps/>
          <w:lang w:val="sv-SE"/>
        </w:rPr>
        <w:t>.</w:t>
      </w:r>
    </w:p>
  </w:footnote>
  <w:footnote w:id="403">
    <w:p w14:paraId="131F485C" w14:textId="10C545AD" w:rsidR="0053080E" w:rsidRPr="006B2DA9" w:rsidRDefault="0053080E">
      <w:pPr>
        <w:pStyle w:val="Funotentext"/>
        <w:rPr>
          <w:lang w:val="sv-SE"/>
        </w:rPr>
      </w:pPr>
      <w:r>
        <w:rPr>
          <w:rStyle w:val="Funotenzeichen"/>
        </w:rPr>
        <w:footnoteRef/>
      </w:r>
      <w:r w:rsidRPr="0053080E">
        <w:rPr>
          <w:lang w:val="sv-SE"/>
        </w:rPr>
        <w:t xml:space="preserve"> </w:t>
      </w:r>
      <w:r w:rsidRPr="00FB5F4C">
        <w:rPr>
          <w:lang w:val="sv-SE"/>
        </w:rPr>
        <w:t>BGH, 13 December 2011</w:t>
      </w:r>
      <w:r w:rsidR="009C29BA" w:rsidRPr="009C29BA">
        <w:rPr>
          <w:lang w:val="sv-SE"/>
        </w:rPr>
        <w:t xml:space="preserve"> –</w:t>
      </w:r>
      <w:r w:rsidRPr="00FB5F4C">
        <w:rPr>
          <w:lang w:val="sv-SE"/>
        </w:rPr>
        <w:t xml:space="preserve"> XI ZR 51/10, para</w:t>
      </w:r>
      <w:r>
        <w:rPr>
          <w:lang w:val="sv-SE"/>
        </w:rPr>
        <w:t>s 47ff</w:t>
      </w:r>
      <w:r w:rsidRPr="00FB5F4C">
        <w:rPr>
          <w:lang w:val="sv-SE"/>
        </w:rPr>
        <w:t>.</w:t>
      </w:r>
      <w:r w:rsidR="006B2DA9">
        <w:rPr>
          <w:lang w:val="sv-SE"/>
        </w:rPr>
        <w:t xml:space="preserve"> </w:t>
      </w:r>
      <w:r w:rsidR="006B2DA9" w:rsidRPr="006B2DA9">
        <w:rPr>
          <w:lang w:val="sv-SE"/>
        </w:rPr>
        <w:t xml:space="preserve">– </w:t>
      </w:r>
      <w:r w:rsidR="006B2DA9" w:rsidRPr="006B2DA9">
        <w:rPr>
          <w:i/>
          <w:caps/>
          <w:lang w:val="sv-SE"/>
        </w:rPr>
        <w:t>IKB</w:t>
      </w:r>
      <w:r w:rsidR="006B2DA9">
        <w:rPr>
          <w:i/>
          <w:caps/>
          <w:lang w:val="sv-SE"/>
        </w:rPr>
        <w:t>.</w:t>
      </w:r>
    </w:p>
  </w:footnote>
  <w:footnote w:id="404">
    <w:p w14:paraId="68E7F0F5" w14:textId="6C3BC699" w:rsidR="005933E5" w:rsidRPr="005933E5" w:rsidRDefault="005933E5">
      <w:pPr>
        <w:pStyle w:val="Funotentext"/>
        <w:rPr>
          <w:lang w:val="sv-SE"/>
        </w:rPr>
      </w:pPr>
      <w:r>
        <w:rPr>
          <w:rStyle w:val="Funotenzeichen"/>
        </w:rPr>
        <w:footnoteRef/>
      </w:r>
      <w:r w:rsidRPr="005933E5">
        <w:rPr>
          <w:lang w:val="sv-SE"/>
        </w:rPr>
        <w:t xml:space="preserve"> BGH, 17 December 2020</w:t>
      </w:r>
      <w:r w:rsidR="009C29BA" w:rsidRPr="009C29BA">
        <w:rPr>
          <w:lang w:val="sv-SE"/>
        </w:rPr>
        <w:t xml:space="preserve"> –</w:t>
      </w:r>
      <w:r w:rsidRPr="005933E5">
        <w:rPr>
          <w:lang w:val="sv-SE"/>
        </w:rPr>
        <w:t xml:space="preserve"> II ZB 31/14, WM 2021, 285, 292 (p</w:t>
      </w:r>
      <w:r>
        <w:rPr>
          <w:lang w:val="sv-SE"/>
        </w:rPr>
        <w:t>ara. 75)</w:t>
      </w:r>
      <w:r w:rsidR="000D307E">
        <w:rPr>
          <w:lang w:val="sv-SE"/>
        </w:rPr>
        <w:t xml:space="preserve"> – </w:t>
      </w:r>
      <w:r w:rsidR="000D307E" w:rsidRPr="000D307E">
        <w:rPr>
          <w:i/>
          <w:lang w:val="sv-SE"/>
        </w:rPr>
        <w:t>Hypo Real Estate</w:t>
      </w:r>
      <w:r>
        <w:rPr>
          <w:lang w:val="sv-SE"/>
        </w:rPr>
        <w:t>.</w:t>
      </w:r>
    </w:p>
  </w:footnote>
  <w:footnote w:id="405">
    <w:p w14:paraId="1D0653CD" w14:textId="4C3ED6FD" w:rsidR="00C437FF" w:rsidRPr="007A0F1F" w:rsidRDefault="00C437FF">
      <w:pPr>
        <w:pStyle w:val="Funotentext"/>
        <w:rPr>
          <w:lang w:val="sv-SE"/>
        </w:rPr>
      </w:pPr>
      <w:r>
        <w:rPr>
          <w:rStyle w:val="Funotenzeichen"/>
        </w:rPr>
        <w:footnoteRef/>
      </w:r>
      <w:r w:rsidRPr="007A0F1F">
        <w:rPr>
          <w:lang w:val="sv-SE"/>
        </w:rPr>
        <w:t xml:space="preserve"> BGH, 17 December 2020</w:t>
      </w:r>
      <w:r w:rsidR="009C29BA" w:rsidRPr="009C29BA">
        <w:rPr>
          <w:lang w:val="sv-SE"/>
        </w:rPr>
        <w:t xml:space="preserve"> –</w:t>
      </w:r>
      <w:r w:rsidRPr="007A0F1F">
        <w:rPr>
          <w:lang w:val="sv-SE"/>
        </w:rPr>
        <w:t xml:space="preserve"> II ZB 31/14, WM 2021, 285, 297 (para. 222) – </w:t>
      </w:r>
      <w:r w:rsidRPr="007A0F1F">
        <w:rPr>
          <w:i/>
          <w:lang w:val="sv-SE"/>
        </w:rPr>
        <w:t>Hypo Real Estate</w:t>
      </w:r>
      <w:r w:rsidRPr="007A0F1F">
        <w:rPr>
          <w:lang w:val="sv-SE"/>
        </w:rPr>
        <w:t>.</w:t>
      </w:r>
    </w:p>
  </w:footnote>
  <w:footnote w:id="406">
    <w:p w14:paraId="035D785B" w14:textId="21CA880C" w:rsidR="00C437FF" w:rsidRPr="003F4D39" w:rsidRDefault="00C437FF">
      <w:pPr>
        <w:pStyle w:val="Funotentext"/>
        <w:rPr>
          <w:lang w:val="sv-SE"/>
        </w:rPr>
      </w:pPr>
      <w:r>
        <w:rPr>
          <w:rStyle w:val="Funotenzeichen"/>
        </w:rPr>
        <w:footnoteRef/>
      </w:r>
      <w:r w:rsidRPr="003F4D39">
        <w:rPr>
          <w:lang w:val="sv-SE"/>
        </w:rPr>
        <w:t xml:space="preserve"> BGH, 17 December 2020</w:t>
      </w:r>
      <w:r w:rsidR="009C29BA" w:rsidRPr="003F4D39">
        <w:rPr>
          <w:lang w:val="sv-SE"/>
        </w:rPr>
        <w:t xml:space="preserve"> –</w:t>
      </w:r>
      <w:r w:rsidRPr="003F4D39">
        <w:rPr>
          <w:lang w:val="sv-SE"/>
        </w:rPr>
        <w:t xml:space="preserve"> II ZB 31/14, WM 2021, 285, 297 (paras 215–221) – </w:t>
      </w:r>
      <w:r w:rsidRPr="003F4D39">
        <w:rPr>
          <w:i/>
          <w:lang w:val="sv-SE"/>
        </w:rPr>
        <w:t>Hypo Real Estate</w:t>
      </w:r>
      <w:r w:rsidRPr="003F4D39">
        <w:rPr>
          <w:lang w:val="sv-SE"/>
        </w:rPr>
        <w:t>.</w:t>
      </w:r>
    </w:p>
  </w:footnote>
  <w:footnote w:id="407">
    <w:p w14:paraId="54379CB1" w14:textId="71D1E98E" w:rsidR="000C68AF" w:rsidRPr="003F4D39" w:rsidRDefault="000C68AF">
      <w:pPr>
        <w:pStyle w:val="Funotentext"/>
        <w:rPr>
          <w:lang w:val="sv-SE"/>
        </w:rPr>
      </w:pPr>
      <w:r>
        <w:rPr>
          <w:rStyle w:val="Funotenzeichen"/>
        </w:rPr>
        <w:footnoteRef/>
      </w:r>
      <w:r w:rsidRPr="003F4D39">
        <w:rPr>
          <w:lang w:val="sv-SE"/>
        </w:rPr>
        <w:t xml:space="preserve"> BGH, 17 December 2020</w:t>
      </w:r>
      <w:r w:rsidR="009C29BA" w:rsidRPr="003F4D39">
        <w:rPr>
          <w:lang w:val="sv-SE"/>
        </w:rPr>
        <w:t xml:space="preserve"> –</w:t>
      </w:r>
      <w:r w:rsidRPr="003F4D39">
        <w:rPr>
          <w:lang w:val="sv-SE"/>
        </w:rPr>
        <w:t xml:space="preserve"> II ZB 31/14, WM 2021, 285, 299 (para</w:t>
      </w:r>
      <w:r w:rsidR="00372C06" w:rsidRPr="003F4D39">
        <w:rPr>
          <w:lang w:val="sv-SE"/>
        </w:rPr>
        <w:t>.</w:t>
      </w:r>
      <w:r w:rsidRPr="003F4D39">
        <w:rPr>
          <w:lang w:val="sv-SE"/>
        </w:rPr>
        <w:t xml:space="preserve"> 263) – </w:t>
      </w:r>
      <w:r w:rsidRPr="003F4D39">
        <w:rPr>
          <w:i/>
          <w:lang w:val="sv-SE"/>
        </w:rPr>
        <w:t>Hypo Real Estate</w:t>
      </w:r>
      <w:r w:rsidRPr="003F4D39">
        <w:rPr>
          <w:lang w:val="sv-SE"/>
        </w:rPr>
        <w:t>.</w:t>
      </w:r>
    </w:p>
  </w:footnote>
  <w:footnote w:id="408">
    <w:p w14:paraId="795047EA" w14:textId="1CF9EB71" w:rsidR="00372C06" w:rsidRPr="003F4D39" w:rsidRDefault="00372C06">
      <w:pPr>
        <w:pStyle w:val="Funotentext"/>
        <w:rPr>
          <w:lang w:val="sv-SE"/>
        </w:rPr>
      </w:pPr>
      <w:r>
        <w:rPr>
          <w:rStyle w:val="Funotenzeichen"/>
        </w:rPr>
        <w:footnoteRef/>
      </w:r>
      <w:r w:rsidRPr="003F4D39">
        <w:rPr>
          <w:lang w:val="sv-SE"/>
        </w:rPr>
        <w:t xml:space="preserve"> BGH, 17 December 2020</w:t>
      </w:r>
      <w:r w:rsidR="009C29BA" w:rsidRPr="003F4D39">
        <w:rPr>
          <w:lang w:val="sv-SE"/>
        </w:rPr>
        <w:t xml:space="preserve"> –</w:t>
      </w:r>
      <w:r w:rsidRPr="003F4D39">
        <w:rPr>
          <w:lang w:val="sv-SE"/>
        </w:rPr>
        <w:t xml:space="preserve"> II ZB 31/14, WM 2021, 285, 299f. (paras 265ff.) – </w:t>
      </w:r>
      <w:r w:rsidRPr="003F4D39">
        <w:rPr>
          <w:i/>
          <w:lang w:val="sv-SE"/>
        </w:rPr>
        <w:t>Hypo Real Estate</w:t>
      </w:r>
      <w:r w:rsidRPr="003F4D39">
        <w:rPr>
          <w:lang w:val="sv-SE"/>
        </w:rPr>
        <w:t>.</w:t>
      </w:r>
    </w:p>
  </w:footnote>
  <w:footnote w:id="409">
    <w:p w14:paraId="03E1925C" w14:textId="01979B97" w:rsidR="00406F1A" w:rsidRPr="00931040" w:rsidRDefault="005C3403">
      <w:pPr>
        <w:pStyle w:val="Funotentext"/>
        <w:rPr>
          <w:lang w:val="sv-SE"/>
        </w:rPr>
      </w:pPr>
      <w:r>
        <w:rPr>
          <w:rStyle w:val="Funotenzeichen"/>
        </w:rPr>
        <w:footnoteRef/>
      </w:r>
      <w:r w:rsidRPr="00931040">
        <w:rPr>
          <w:lang w:val="sv-SE"/>
        </w:rPr>
        <w:t xml:space="preserve"> </w:t>
      </w:r>
      <w:bookmarkStart w:id="174" w:name="_Hlk170832592"/>
      <w:r w:rsidRPr="00931040">
        <w:rPr>
          <w:lang w:val="sv-SE"/>
        </w:rPr>
        <w:t xml:space="preserve">BGH, 19 </w:t>
      </w:r>
      <w:r w:rsidRPr="00931040">
        <w:rPr>
          <w:lang w:val="sv-SE"/>
        </w:rPr>
        <w:t>July 2011</w:t>
      </w:r>
      <w:r w:rsidR="009C29BA" w:rsidRPr="00931040">
        <w:rPr>
          <w:lang w:val="sv-SE"/>
        </w:rPr>
        <w:t xml:space="preserve"> –</w:t>
      </w:r>
      <w:r w:rsidRPr="00931040">
        <w:rPr>
          <w:lang w:val="sv-SE"/>
        </w:rPr>
        <w:t xml:space="preserve"> II ZR 246/09, NZG 2011, 1147, 1148 (paras 29ff.).</w:t>
      </w:r>
      <w:bookmarkEnd w:id="174"/>
    </w:p>
  </w:footnote>
  <w:footnote w:id="410">
    <w:p w14:paraId="1240D1BA" w14:textId="09713373" w:rsidR="00406F1A" w:rsidRPr="00931040" w:rsidRDefault="00406F1A">
      <w:pPr>
        <w:pStyle w:val="Funotentext"/>
        <w:rPr>
          <w:lang w:val="sv-SE"/>
        </w:rPr>
      </w:pPr>
      <w:r>
        <w:rPr>
          <w:rStyle w:val="Funotenzeichen"/>
        </w:rPr>
        <w:footnoteRef/>
      </w:r>
      <w:r w:rsidRPr="00931040">
        <w:rPr>
          <w:lang w:val="sv-SE"/>
        </w:rPr>
        <w:t xml:space="preserve"> BGH, 19 </w:t>
      </w:r>
      <w:r w:rsidRPr="00931040">
        <w:rPr>
          <w:lang w:val="sv-SE"/>
        </w:rPr>
        <w:t>July 2011</w:t>
      </w:r>
      <w:r w:rsidR="009C29BA" w:rsidRPr="00931040">
        <w:rPr>
          <w:lang w:val="sv-SE"/>
        </w:rPr>
        <w:t xml:space="preserve"> –</w:t>
      </w:r>
      <w:r w:rsidRPr="00931040">
        <w:rPr>
          <w:lang w:val="sv-SE"/>
        </w:rPr>
        <w:t xml:space="preserve"> II ZR 246/09, NZG 2011, 1147, 1148f (paras 30, 33).</w:t>
      </w:r>
    </w:p>
  </w:footnote>
  <w:footnote w:id="411">
    <w:p w14:paraId="74EC6E23" w14:textId="7166ECCB" w:rsidR="00406F1A" w:rsidRPr="00406F1A" w:rsidRDefault="00406F1A">
      <w:pPr>
        <w:pStyle w:val="Funotentext"/>
        <w:rPr>
          <w:lang w:val="en-US"/>
        </w:rPr>
      </w:pPr>
      <w:r>
        <w:rPr>
          <w:rStyle w:val="Funotenzeichen"/>
        </w:rPr>
        <w:footnoteRef/>
      </w:r>
      <w:r>
        <w:t xml:space="preserve"> </w:t>
      </w:r>
      <w:r w:rsidRPr="005C3403">
        <w:rPr>
          <w:lang w:val="en-US"/>
        </w:rPr>
        <w:t>BGH, 19 July 2011</w:t>
      </w:r>
      <w:r w:rsidR="009C29BA">
        <w:rPr>
          <w:lang w:val="en-US"/>
        </w:rPr>
        <w:t xml:space="preserve"> –</w:t>
      </w:r>
      <w:r w:rsidRPr="005C3403">
        <w:rPr>
          <w:lang w:val="en-US"/>
        </w:rPr>
        <w:t xml:space="preserve"> II ZR 246/09, </w:t>
      </w:r>
      <w:r>
        <w:rPr>
          <w:lang w:val="en-US"/>
        </w:rPr>
        <w:t>NZG 2011, 1147, 1149 (paras 32).</w:t>
      </w:r>
    </w:p>
  </w:footnote>
  <w:footnote w:id="412">
    <w:p w14:paraId="798256F1" w14:textId="04B0D4CA" w:rsidR="00B2254C" w:rsidRPr="00925782" w:rsidRDefault="00B2254C">
      <w:pPr>
        <w:pStyle w:val="Funotentext"/>
        <w:rPr>
          <w:lang w:val="en-US"/>
        </w:rPr>
      </w:pPr>
      <w:r>
        <w:rPr>
          <w:rStyle w:val="Funotenzeichen"/>
        </w:rPr>
        <w:footnoteRef/>
      </w:r>
      <w:r w:rsidRPr="005C3403">
        <w:rPr>
          <w:lang w:val="en-US"/>
        </w:rPr>
        <w:t xml:space="preserve"> BGH, 25 September 2018</w:t>
      </w:r>
      <w:r w:rsidR="009C29BA">
        <w:rPr>
          <w:lang w:val="en-US"/>
        </w:rPr>
        <w:t xml:space="preserve"> –</w:t>
      </w:r>
      <w:r w:rsidRPr="005C3403">
        <w:rPr>
          <w:lang w:val="en-US"/>
        </w:rPr>
        <w:t xml:space="preserve"> II ZR 190/17, NZG 2018, 1350, 1351 (para. </w:t>
      </w:r>
      <w:r w:rsidRPr="00925782">
        <w:rPr>
          <w:lang w:val="en-US"/>
        </w:rPr>
        <w:t>18).</w:t>
      </w:r>
    </w:p>
  </w:footnote>
  <w:footnote w:id="413">
    <w:p w14:paraId="613F0E44" w14:textId="44BA55A6" w:rsidR="00446B53" w:rsidRPr="00925782" w:rsidRDefault="00446B53">
      <w:pPr>
        <w:pStyle w:val="Funotentext"/>
        <w:rPr>
          <w:lang w:val="en-US"/>
        </w:rPr>
      </w:pPr>
      <w:r>
        <w:rPr>
          <w:rStyle w:val="Funotenzeichen"/>
        </w:rPr>
        <w:footnoteRef/>
      </w:r>
      <w:r w:rsidRPr="00925782">
        <w:rPr>
          <w:lang w:val="en-US"/>
        </w:rPr>
        <w:t xml:space="preserve"> BGH, 25 September 2018</w:t>
      </w:r>
      <w:r w:rsidR="009C29BA">
        <w:rPr>
          <w:lang w:val="en-US"/>
        </w:rPr>
        <w:t xml:space="preserve"> –</w:t>
      </w:r>
      <w:r w:rsidRPr="00925782">
        <w:rPr>
          <w:lang w:val="en-US"/>
        </w:rPr>
        <w:t xml:space="preserve"> II ZR 190/17, NZG 2018, 1350, 1354 (paras 34ff.).</w:t>
      </w:r>
    </w:p>
  </w:footnote>
  <w:footnote w:id="414">
    <w:p w14:paraId="1FF079F9" w14:textId="060E6DFC" w:rsidR="00446B53" w:rsidRPr="00925782" w:rsidRDefault="00446B53">
      <w:pPr>
        <w:pStyle w:val="Funotentext"/>
        <w:rPr>
          <w:lang w:val="en-US"/>
        </w:rPr>
      </w:pPr>
      <w:r>
        <w:rPr>
          <w:rStyle w:val="Funotenzeichen"/>
        </w:rPr>
        <w:footnoteRef/>
      </w:r>
      <w:r w:rsidRPr="00925782">
        <w:rPr>
          <w:lang w:val="en-US"/>
        </w:rPr>
        <w:t xml:space="preserve"> BGH, 25 September 2018</w:t>
      </w:r>
      <w:r w:rsidR="009C29BA">
        <w:rPr>
          <w:lang w:val="en-US"/>
        </w:rPr>
        <w:t xml:space="preserve"> –</w:t>
      </w:r>
      <w:r w:rsidRPr="00925782">
        <w:rPr>
          <w:lang w:val="en-US"/>
        </w:rPr>
        <w:t xml:space="preserve"> II ZR 190/17, NZG 2018, 1350, 1351 (paras 35, 36).</w:t>
      </w:r>
    </w:p>
  </w:footnote>
  <w:footnote w:id="415">
    <w:p w14:paraId="69552BCE" w14:textId="349D2A92" w:rsidR="002857E8" w:rsidRPr="00925782" w:rsidRDefault="002857E8">
      <w:pPr>
        <w:pStyle w:val="Funotentext"/>
        <w:rPr>
          <w:lang w:val="en-US"/>
        </w:rPr>
      </w:pPr>
      <w:r>
        <w:rPr>
          <w:rStyle w:val="Funotenzeichen"/>
        </w:rPr>
        <w:footnoteRef/>
      </w:r>
      <w:r w:rsidRPr="00925782">
        <w:rPr>
          <w:lang w:val="en-US"/>
        </w:rPr>
        <w:t xml:space="preserve"> BGH, 22 September 2020</w:t>
      </w:r>
      <w:r w:rsidR="009C29BA">
        <w:rPr>
          <w:lang w:val="en-US"/>
        </w:rPr>
        <w:t xml:space="preserve"> –</w:t>
      </w:r>
      <w:r w:rsidRPr="00925782">
        <w:rPr>
          <w:lang w:val="en-US"/>
        </w:rPr>
        <w:t xml:space="preserve"> II ZR 399/18, NZG 2020, 1349, 1351 (paras 17ff.). </w:t>
      </w:r>
    </w:p>
  </w:footnote>
  <w:footnote w:id="416">
    <w:p w14:paraId="47F377DA" w14:textId="5521D343" w:rsidR="0014218F" w:rsidRPr="00DC365D" w:rsidRDefault="0014218F">
      <w:pPr>
        <w:pStyle w:val="Funotentext"/>
        <w:rPr>
          <w:lang w:val="en-US"/>
        </w:rPr>
      </w:pPr>
      <w:r>
        <w:rPr>
          <w:rStyle w:val="Funotenzeichen"/>
        </w:rPr>
        <w:footnoteRef/>
      </w:r>
      <w:r w:rsidRPr="00925782">
        <w:rPr>
          <w:lang w:val="pt-BR"/>
        </w:rPr>
        <w:t xml:space="preserve"> Case E-1/10, </w:t>
      </w:r>
      <w:r w:rsidRPr="00925782">
        <w:rPr>
          <w:i/>
          <w:lang w:val="pt-BR"/>
        </w:rPr>
        <w:t>Periscopus AS</w:t>
      </w:r>
      <w:r w:rsidRPr="00925782">
        <w:rPr>
          <w:lang w:val="pt-BR"/>
        </w:rPr>
        <w:t>, para. </w:t>
      </w:r>
      <w:r w:rsidRPr="00DC365D">
        <w:rPr>
          <w:lang w:val="en-US"/>
        </w:rPr>
        <w:t>4</w:t>
      </w:r>
      <w:r w:rsidR="00C13C11" w:rsidRPr="00DC365D">
        <w:rPr>
          <w:lang w:val="en-US"/>
        </w:rPr>
        <w:t>8, referring to article 5(4) and recital (3) of the directive</w:t>
      </w:r>
      <w:r w:rsidRPr="00DC365D">
        <w:rPr>
          <w:lang w:val="en-US"/>
        </w:rPr>
        <w:t>.</w:t>
      </w:r>
    </w:p>
  </w:footnote>
  <w:footnote w:id="417">
    <w:p w14:paraId="0D83F79E" w14:textId="77777777" w:rsidR="00C13C11" w:rsidRPr="00503463" w:rsidRDefault="00C13C11" w:rsidP="00C13C11">
      <w:pPr>
        <w:pStyle w:val="Funotentext"/>
        <w:rPr>
          <w:lang w:val="de-DE"/>
        </w:rPr>
      </w:pPr>
      <w:r>
        <w:rPr>
          <w:rStyle w:val="Funotenzeichen"/>
        </w:rPr>
        <w:footnoteRef/>
      </w:r>
      <w:r w:rsidRPr="00C13C11">
        <w:rPr>
          <w:lang w:val="pt-BR"/>
        </w:rPr>
        <w:t xml:space="preserve"> Case E-1/10, </w:t>
      </w:r>
      <w:r w:rsidRPr="00C13C11">
        <w:rPr>
          <w:i/>
          <w:lang w:val="pt-BR"/>
        </w:rPr>
        <w:t>Periscopus AS</w:t>
      </w:r>
      <w:r w:rsidRPr="00C13C11">
        <w:rPr>
          <w:lang w:val="pt-BR"/>
        </w:rPr>
        <w:t>, para. </w:t>
      </w:r>
      <w:r w:rsidRPr="00503463">
        <w:rPr>
          <w:lang w:val="de-DE"/>
        </w:rPr>
        <w:t>48.</w:t>
      </w:r>
    </w:p>
  </w:footnote>
  <w:footnote w:id="418">
    <w:p w14:paraId="3D68761E" w14:textId="6FF9B71F" w:rsidR="00DB1B41" w:rsidRPr="00503463" w:rsidRDefault="00DB1B41">
      <w:pPr>
        <w:pStyle w:val="Funotentext"/>
        <w:rPr>
          <w:lang w:val="de-DE"/>
        </w:rPr>
      </w:pPr>
      <w:r>
        <w:rPr>
          <w:rStyle w:val="Funotenzeichen"/>
        </w:rPr>
        <w:footnoteRef/>
      </w:r>
      <w:r w:rsidRPr="00503463">
        <w:rPr>
          <w:lang w:val="de-DE"/>
        </w:rPr>
        <w:t xml:space="preserve"> </w:t>
      </w:r>
      <w:r w:rsidRPr="00503463">
        <w:rPr>
          <w:szCs w:val="19"/>
          <w:lang w:val="de-DE"/>
        </w:rPr>
        <w:t xml:space="preserve">E.g., Case 14/83 </w:t>
      </w:r>
      <w:r w:rsidRPr="00503463">
        <w:rPr>
          <w:i/>
          <w:szCs w:val="19"/>
          <w:lang w:val="de-DE"/>
        </w:rPr>
        <w:t>Von Colson and Kamann v. Land Nordrhein-Westfalen</w:t>
      </w:r>
      <w:r w:rsidR="006701BD" w:rsidRPr="00503463">
        <w:rPr>
          <w:i/>
          <w:szCs w:val="19"/>
          <w:lang w:val="de-DE"/>
        </w:rPr>
        <w:t>.</w:t>
      </w:r>
    </w:p>
  </w:footnote>
  <w:footnote w:id="419">
    <w:p w14:paraId="362D5B81" w14:textId="2381364E" w:rsidR="00440296" w:rsidRPr="00440296" w:rsidRDefault="00440296">
      <w:pPr>
        <w:pStyle w:val="Funotentext"/>
        <w:rPr>
          <w:lang w:val="en-US"/>
        </w:rPr>
      </w:pPr>
      <w:r>
        <w:rPr>
          <w:rStyle w:val="Funotenzeichen"/>
        </w:rPr>
        <w:footnoteRef/>
      </w:r>
      <w:r w:rsidRPr="00440296">
        <w:rPr>
          <w:lang w:val="en-US"/>
        </w:rPr>
        <w:t xml:space="preserve"> BGH, 23 May 2023 – II ZR 219/21, WM</w:t>
      </w:r>
      <w:r>
        <w:rPr>
          <w:lang w:val="en-US"/>
        </w:rPr>
        <w:t xml:space="preserve"> 2023, 1356, 1357 (paras 14ff.).</w:t>
      </w:r>
    </w:p>
  </w:footnote>
  <w:footnote w:id="420">
    <w:p w14:paraId="53D740D8" w14:textId="66DE55D3" w:rsidR="00440296" w:rsidRPr="00440296" w:rsidRDefault="00440296">
      <w:pPr>
        <w:pStyle w:val="Funotentext"/>
      </w:pPr>
      <w:r>
        <w:rPr>
          <w:rStyle w:val="Funotenzeichen"/>
        </w:rPr>
        <w:footnoteRef/>
      </w:r>
      <w:r>
        <w:t xml:space="preserve"> </w:t>
      </w:r>
      <w:r w:rsidRPr="00440296">
        <w:rPr>
          <w:lang w:val="en-US"/>
        </w:rPr>
        <w:t>BGH, 23 May 2023 – II ZR 219/21, WM</w:t>
      </w:r>
      <w:r>
        <w:rPr>
          <w:lang w:val="en-US"/>
        </w:rPr>
        <w:t xml:space="preserve"> 2023, 1356, 1358 (para. 24).</w:t>
      </w:r>
    </w:p>
  </w:footnote>
  <w:footnote w:id="421">
    <w:p w14:paraId="0278B1FB" w14:textId="074E9F94" w:rsidR="00795623" w:rsidRPr="00795623" w:rsidRDefault="00795623">
      <w:pPr>
        <w:pStyle w:val="Funotentext"/>
      </w:pPr>
      <w:r>
        <w:rPr>
          <w:rStyle w:val="Funotenzeichen"/>
        </w:rPr>
        <w:footnoteRef/>
      </w:r>
      <w:r>
        <w:t xml:space="preserve"> </w:t>
      </w:r>
      <w:r w:rsidRPr="00440296">
        <w:rPr>
          <w:lang w:val="en-US"/>
        </w:rPr>
        <w:t>BGH, 23 May 2023 – II ZR 219/21, WM</w:t>
      </w:r>
      <w:r>
        <w:rPr>
          <w:lang w:val="en-US"/>
        </w:rPr>
        <w:t xml:space="preserve"> 2023, 1356, 1361 (paras 39ff.).</w:t>
      </w:r>
    </w:p>
  </w:footnote>
  <w:footnote w:id="422">
    <w:p w14:paraId="3CF8CDF7" w14:textId="3E8E5E61" w:rsidR="00203161" w:rsidRPr="00440296" w:rsidRDefault="00203161">
      <w:pPr>
        <w:pStyle w:val="Funotentext"/>
        <w:rPr>
          <w:lang w:val="en-US"/>
        </w:rPr>
      </w:pPr>
      <w:r>
        <w:rPr>
          <w:rStyle w:val="Funotenzeichen"/>
        </w:rPr>
        <w:footnoteRef/>
      </w:r>
      <w:r w:rsidRPr="00440296">
        <w:rPr>
          <w:lang w:val="en-US"/>
        </w:rPr>
        <w:t xml:space="preserve"> BGH, 13 December 2022 – II ZR 9/21, WM 2023, 214, 219 (para</w:t>
      </w:r>
      <w:r w:rsidR="007E2CF0" w:rsidRPr="00440296">
        <w:rPr>
          <w:lang w:val="en-US"/>
        </w:rPr>
        <w:t>s</w:t>
      </w:r>
      <w:r w:rsidRPr="00440296">
        <w:rPr>
          <w:lang w:val="en-US"/>
        </w:rPr>
        <w:t> 49</w:t>
      </w:r>
      <w:r w:rsidR="007E2CF0" w:rsidRPr="00440296">
        <w:rPr>
          <w:lang w:val="en-US"/>
        </w:rPr>
        <w:t>ff.</w:t>
      </w:r>
      <w:r w:rsidRPr="00440296">
        <w:rPr>
          <w:lang w:val="en-US"/>
        </w:rPr>
        <w:t xml:space="preserve">) – </w:t>
      </w:r>
      <w:r w:rsidRPr="00440296">
        <w:rPr>
          <w:i/>
          <w:lang w:val="en-US"/>
        </w:rPr>
        <w:t>Postbank II</w:t>
      </w:r>
      <w:r w:rsidRPr="00440296">
        <w:rPr>
          <w:lang w:val="en-US"/>
        </w:rPr>
        <w:t>.</w:t>
      </w:r>
    </w:p>
  </w:footnote>
  <w:footnote w:id="423">
    <w:p w14:paraId="388F5114" w14:textId="780AC16F" w:rsidR="007E2CF0" w:rsidRPr="00DC365D" w:rsidRDefault="007E2CF0">
      <w:pPr>
        <w:pStyle w:val="Funotentext"/>
        <w:rPr>
          <w:lang w:val="en-US"/>
        </w:rPr>
      </w:pPr>
      <w:r>
        <w:rPr>
          <w:rStyle w:val="Funotenzeichen"/>
        </w:rPr>
        <w:footnoteRef/>
      </w:r>
      <w:r w:rsidRPr="00DC365D">
        <w:rPr>
          <w:lang w:val="en-US"/>
        </w:rPr>
        <w:t xml:space="preserve"> BGH, 13 December 2022 – II ZR 9/21, WM 2023, 214, 219 (paras 56ff.) – </w:t>
      </w:r>
      <w:r w:rsidRPr="00DC365D">
        <w:rPr>
          <w:i/>
          <w:lang w:val="en-US"/>
        </w:rPr>
        <w:t>Postbank II</w:t>
      </w:r>
      <w:r w:rsidRPr="00DC365D">
        <w:rPr>
          <w:lang w:val="en-US"/>
        </w:rPr>
        <w:t>.</w:t>
      </w:r>
    </w:p>
  </w:footnote>
  <w:footnote w:id="424">
    <w:p w14:paraId="6AEECE22" w14:textId="751400AF" w:rsidR="00CB5A12" w:rsidRPr="00DC365D" w:rsidRDefault="00CB5A12">
      <w:pPr>
        <w:pStyle w:val="Funotentext"/>
        <w:rPr>
          <w:lang w:val="en-US"/>
        </w:rPr>
      </w:pPr>
      <w:r>
        <w:rPr>
          <w:rStyle w:val="Funotenzeichen"/>
        </w:rPr>
        <w:footnoteRef/>
      </w:r>
      <w:r w:rsidRPr="00DC365D">
        <w:rPr>
          <w:lang w:val="en-US"/>
        </w:rPr>
        <w:t xml:space="preserve"> BGH, 13 December 2022 – II ZR 9/21, WM 2023, 214, 220 (paras 62ff.) – </w:t>
      </w:r>
      <w:r w:rsidRPr="00DC365D">
        <w:rPr>
          <w:i/>
          <w:lang w:val="en-US"/>
        </w:rPr>
        <w:t>Postbank II</w:t>
      </w:r>
      <w:r w:rsidRPr="00DC365D">
        <w:rPr>
          <w:lang w:val="en-US"/>
        </w:rPr>
        <w:t>.</w:t>
      </w:r>
    </w:p>
  </w:footnote>
  <w:footnote w:id="425">
    <w:p w14:paraId="37E22708" w14:textId="2025ED1F" w:rsidR="00D92899" w:rsidRPr="00DC365D" w:rsidRDefault="00D92899">
      <w:pPr>
        <w:pStyle w:val="Funotentext"/>
        <w:rPr>
          <w:lang w:val="en-US"/>
        </w:rPr>
      </w:pPr>
      <w:r>
        <w:rPr>
          <w:rStyle w:val="Funotenzeichen"/>
        </w:rPr>
        <w:footnoteRef/>
      </w:r>
      <w:r w:rsidRPr="00DC365D">
        <w:rPr>
          <w:lang w:val="en-US"/>
        </w:rPr>
        <w:t xml:space="preserve"> BGH, 13 December 2022 – II ZR 9/21, WM 2023, 214, 224 (para</w:t>
      </w:r>
      <w:r w:rsidR="00C44F16" w:rsidRPr="00DC365D">
        <w:rPr>
          <w:lang w:val="en-US"/>
        </w:rPr>
        <w:t>.</w:t>
      </w:r>
      <w:r w:rsidRPr="00DC365D">
        <w:rPr>
          <w:lang w:val="en-US"/>
        </w:rPr>
        <w:t xml:space="preserve"> 92) – </w:t>
      </w:r>
      <w:r w:rsidRPr="00DC365D">
        <w:rPr>
          <w:i/>
          <w:lang w:val="en-US"/>
        </w:rPr>
        <w:t>Postbank II</w:t>
      </w:r>
      <w:r w:rsidRPr="00DC365D">
        <w:rPr>
          <w:lang w:val="en-US"/>
        </w:rPr>
        <w:t>.</w:t>
      </w:r>
    </w:p>
  </w:footnote>
  <w:footnote w:id="426">
    <w:p w14:paraId="64C1A64D" w14:textId="77777777" w:rsidR="00084470" w:rsidRPr="00DC365D" w:rsidRDefault="00084470" w:rsidP="00084470">
      <w:pPr>
        <w:pStyle w:val="Funotentext"/>
        <w:rPr>
          <w:lang w:val="en-US"/>
        </w:rPr>
      </w:pPr>
      <w:r>
        <w:rPr>
          <w:rStyle w:val="Funotenzeichen"/>
        </w:rPr>
        <w:footnoteRef/>
      </w:r>
      <w:r w:rsidRPr="00DC365D">
        <w:rPr>
          <w:lang w:val="en-US"/>
        </w:rPr>
        <w:t xml:space="preserve"> BGH, 13 December 2022 – II ZR 9/21, WM 2023, 214, 228 (para. 124) – </w:t>
      </w:r>
      <w:r w:rsidRPr="00DC365D">
        <w:rPr>
          <w:i/>
          <w:lang w:val="en-US"/>
        </w:rPr>
        <w:t>Postbank II</w:t>
      </w:r>
      <w:r w:rsidRPr="00DC365D">
        <w:rPr>
          <w:lang w:val="en-US"/>
        </w:rPr>
        <w:t>.</w:t>
      </w:r>
    </w:p>
  </w:footnote>
  <w:footnote w:id="427">
    <w:p w14:paraId="3142C23F" w14:textId="5F72F241" w:rsidR="001A461E" w:rsidRPr="00DC365D" w:rsidRDefault="001A461E">
      <w:pPr>
        <w:pStyle w:val="Funotentext"/>
        <w:rPr>
          <w:lang w:val="en-US"/>
        </w:rPr>
      </w:pPr>
      <w:r>
        <w:rPr>
          <w:rStyle w:val="Funotenzeichen"/>
        </w:rPr>
        <w:footnoteRef/>
      </w:r>
      <w:r w:rsidRPr="00DC365D">
        <w:rPr>
          <w:lang w:val="en-US"/>
        </w:rPr>
        <w:t xml:space="preserve"> BGH, 29 July 2014 – ZR 353/12, NZG 2014, 985, </w:t>
      </w:r>
      <w:r w:rsidR="00A8345C" w:rsidRPr="00DC365D">
        <w:rPr>
          <w:lang w:val="en-US"/>
        </w:rPr>
        <w:t>98</w:t>
      </w:r>
      <w:r w:rsidRPr="00DC365D">
        <w:rPr>
          <w:lang w:val="en-US"/>
        </w:rPr>
        <w:t xml:space="preserve">6 (paras 21ff.) – </w:t>
      </w:r>
      <w:r w:rsidRPr="00DC365D">
        <w:rPr>
          <w:i/>
          <w:lang w:val="en-US"/>
        </w:rPr>
        <w:t>Postbank I</w:t>
      </w:r>
      <w:r w:rsidRPr="00DC365D">
        <w:rPr>
          <w:lang w:val="en-US"/>
        </w:rPr>
        <w:t>.</w:t>
      </w:r>
    </w:p>
  </w:footnote>
  <w:footnote w:id="428">
    <w:p w14:paraId="27AB73F0" w14:textId="49076FF4" w:rsidR="00A8345C" w:rsidRPr="00DC365D" w:rsidRDefault="00A8345C">
      <w:pPr>
        <w:pStyle w:val="Funotentext"/>
        <w:rPr>
          <w:lang w:val="en-US"/>
        </w:rPr>
      </w:pPr>
      <w:r>
        <w:rPr>
          <w:rStyle w:val="Funotenzeichen"/>
        </w:rPr>
        <w:footnoteRef/>
      </w:r>
      <w:r w:rsidRPr="002742EE">
        <w:rPr>
          <w:lang w:val="en-US"/>
        </w:rPr>
        <w:t xml:space="preserve"> BGH, 29 July 2014 – ZR 353/12, NZG 2014, 985, 986 (para. </w:t>
      </w:r>
      <w:r w:rsidRPr="00DC365D">
        <w:rPr>
          <w:lang w:val="en-US"/>
        </w:rPr>
        <w:t xml:space="preserve">23) – </w:t>
      </w:r>
      <w:r w:rsidRPr="00DC365D">
        <w:rPr>
          <w:i/>
          <w:lang w:val="en-US"/>
        </w:rPr>
        <w:t>Postbank I</w:t>
      </w:r>
      <w:r w:rsidRPr="00DC365D">
        <w:rPr>
          <w:lang w:val="en-US"/>
        </w:rPr>
        <w:t>.</w:t>
      </w:r>
    </w:p>
  </w:footnote>
  <w:footnote w:id="429">
    <w:p w14:paraId="277CBFE0" w14:textId="1830A092" w:rsidR="00A8345C" w:rsidRPr="00DC365D" w:rsidRDefault="00A8345C">
      <w:pPr>
        <w:pStyle w:val="Funotentext"/>
        <w:rPr>
          <w:lang w:val="en-US"/>
        </w:rPr>
      </w:pPr>
      <w:r>
        <w:rPr>
          <w:rStyle w:val="Funotenzeichen"/>
        </w:rPr>
        <w:footnoteRef/>
      </w:r>
      <w:r w:rsidRPr="00DC365D">
        <w:rPr>
          <w:lang w:val="en-US"/>
        </w:rPr>
        <w:t xml:space="preserve"> BGH, 29 July 2014 – ZR 353/12, NZG 2014, 985, 987 (para. 24) – </w:t>
      </w:r>
      <w:r w:rsidRPr="00DC365D">
        <w:rPr>
          <w:i/>
          <w:lang w:val="en-US"/>
        </w:rPr>
        <w:t>Postbank I</w:t>
      </w:r>
      <w:r w:rsidRPr="00DC365D">
        <w:rPr>
          <w:lang w:val="en-US"/>
        </w:rPr>
        <w:t>.</w:t>
      </w:r>
    </w:p>
  </w:footnote>
  <w:footnote w:id="430">
    <w:p w14:paraId="4EF1530A" w14:textId="71D2963F" w:rsidR="007D63A0" w:rsidRPr="00DC365D" w:rsidRDefault="007D63A0">
      <w:pPr>
        <w:pStyle w:val="Funotentext"/>
        <w:rPr>
          <w:lang w:val="en-US"/>
        </w:rPr>
      </w:pPr>
      <w:r>
        <w:rPr>
          <w:rStyle w:val="Funotenzeichen"/>
        </w:rPr>
        <w:footnoteRef/>
      </w:r>
      <w:r w:rsidRPr="00DC365D">
        <w:rPr>
          <w:lang w:val="en-US"/>
        </w:rPr>
        <w:t xml:space="preserve"> BGH, 29 July 2014 – ZR 353/12, NZG 2014, 985, 988 (paras 33ff.) – </w:t>
      </w:r>
      <w:r w:rsidRPr="00DC365D">
        <w:rPr>
          <w:i/>
          <w:lang w:val="en-US"/>
        </w:rPr>
        <w:t>Postbank I</w:t>
      </w:r>
      <w:r w:rsidRPr="00DC365D">
        <w:rPr>
          <w:lang w:val="en-US"/>
        </w:rPr>
        <w:t>.</w:t>
      </w:r>
    </w:p>
  </w:footnote>
  <w:footnote w:id="431">
    <w:p w14:paraId="0E9866DC" w14:textId="2F914B91" w:rsidR="008E3815" w:rsidRPr="00503463" w:rsidRDefault="008E3815" w:rsidP="00C23FD7">
      <w:pPr>
        <w:pStyle w:val="Funotentext"/>
        <w:tabs>
          <w:tab w:val="left" w:pos="1701"/>
        </w:tabs>
        <w:rPr>
          <w:lang w:val="en-US"/>
        </w:rPr>
      </w:pPr>
      <w:r>
        <w:rPr>
          <w:rStyle w:val="Funotenzeichen"/>
        </w:rPr>
        <w:footnoteRef/>
      </w:r>
      <w:r w:rsidRPr="00503463">
        <w:rPr>
          <w:lang w:val="en-US"/>
        </w:rPr>
        <w:t xml:space="preserve"> </w:t>
      </w:r>
      <w:r w:rsidRPr="00503463">
        <w:rPr>
          <w:lang w:val="en-US"/>
        </w:rPr>
        <w:t xml:space="preserve">Brellochs/Buchs, in: </w:t>
      </w:r>
      <w:r w:rsidRPr="00503463">
        <w:rPr>
          <w:i/>
          <w:lang w:val="en-US"/>
        </w:rPr>
        <w:t>BeckOK Wertpapierhandelsrecht</w:t>
      </w:r>
      <w:r w:rsidRPr="00503463">
        <w:rPr>
          <w:lang w:val="en-US"/>
        </w:rPr>
        <w:t>, 15th ed., 1 Jul 2024, § 43 WpHG mn. 33.</w:t>
      </w:r>
    </w:p>
  </w:footnote>
  <w:footnote w:id="432">
    <w:p w14:paraId="7D805A34" w14:textId="663B317A" w:rsidR="008A71AF" w:rsidRPr="00503463" w:rsidRDefault="008A71AF">
      <w:pPr>
        <w:pStyle w:val="Funotentext"/>
        <w:rPr>
          <w:lang w:val="en-US"/>
        </w:rPr>
      </w:pPr>
      <w:r>
        <w:rPr>
          <w:rStyle w:val="Funotenzeichen"/>
        </w:rPr>
        <w:footnoteRef/>
      </w:r>
      <w:r w:rsidRPr="00503463">
        <w:rPr>
          <w:lang w:val="en-US"/>
        </w:rPr>
        <w:t xml:space="preserve"> OLG Düsseldorf, 11 August 2006 – I-15 W 110/05, ZIP 2007, 380</w:t>
      </w:r>
      <w:r w:rsidR="00836DB4" w:rsidRPr="00503463">
        <w:rPr>
          <w:lang w:val="en-US"/>
        </w:rPr>
        <w:t xml:space="preserve">; Schlitt/Biller, </w:t>
      </w:r>
      <w:r w:rsidR="00836DB4" w:rsidRPr="00503463">
        <w:rPr>
          <w:i/>
          <w:lang w:val="en-US"/>
        </w:rPr>
        <w:t>M</w:t>
      </w:r>
      <w:r w:rsidR="00915EDC" w:rsidRPr="00503463">
        <w:rPr>
          <w:i/>
          <w:lang w:val="en-US"/>
        </w:rPr>
        <w:t xml:space="preserve">ünchener Kommentar zum </w:t>
      </w:r>
      <w:r w:rsidR="00836DB4" w:rsidRPr="00503463">
        <w:rPr>
          <w:i/>
          <w:lang w:val="en-US"/>
        </w:rPr>
        <w:t>AktG</w:t>
      </w:r>
      <w:r w:rsidR="00836DB4" w:rsidRPr="00503463">
        <w:rPr>
          <w:lang w:val="en-US"/>
        </w:rPr>
        <w:t>, 6th ed 2024, § 35 WpÜG mn. 265</w:t>
      </w:r>
      <w:r w:rsidRPr="00503463">
        <w:rPr>
          <w:lang w:val="en-US"/>
        </w:rPr>
        <w:t>.</w:t>
      </w:r>
    </w:p>
  </w:footnote>
  <w:footnote w:id="433">
    <w:p w14:paraId="6CA093B7" w14:textId="160B8A25" w:rsidR="00876F56" w:rsidRPr="00876F56" w:rsidRDefault="00876F56">
      <w:pPr>
        <w:pStyle w:val="Funotentext"/>
        <w:rPr>
          <w:lang w:val="en-US"/>
        </w:rPr>
      </w:pPr>
      <w:r>
        <w:rPr>
          <w:rStyle w:val="Funotenzeichen"/>
        </w:rPr>
        <w:footnoteRef/>
      </w:r>
      <w:r>
        <w:t xml:space="preserve"> </w:t>
      </w:r>
      <w:r>
        <w:rPr>
          <w:szCs w:val="19"/>
        </w:rPr>
        <w:t>S</w:t>
      </w:r>
      <w:r w:rsidRPr="002121A4">
        <w:rPr>
          <w:szCs w:val="19"/>
        </w:rPr>
        <w:t xml:space="preserve">ee </w:t>
      </w:r>
      <w:hyperlink r:id="rId15" w:history="1">
        <w:r w:rsidRPr="006F4083">
          <w:rPr>
            <w:rStyle w:val="Hyperlink"/>
            <w:szCs w:val="19"/>
          </w:rPr>
          <w:t>https://www.bafin.de/SharedDocs/Veroeffentlichungen/DE/Merkblatt/WA/mb_070712_35wpueg.html</w:t>
        </w:r>
      </w:hyperlink>
      <w:r>
        <w:rPr>
          <w:rStyle w:val="Hyperlink"/>
          <w:szCs w:val="19"/>
        </w:rPr>
        <w:t>.</w:t>
      </w:r>
    </w:p>
  </w:footnote>
  <w:footnote w:id="434">
    <w:p w14:paraId="57CD08A9" w14:textId="3173B350" w:rsidR="00A455EA" w:rsidRPr="006C65D3" w:rsidRDefault="00A455EA">
      <w:pPr>
        <w:pStyle w:val="Funotentext"/>
        <w:rPr>
          <w:lang w:val="en-US"/>
        </w:rPr>
      </w:pPr>
      <w:r>
        <w:rPr>
          <w:rStyle w:val="Funotenzeichen"/>
        </w:rPr>
        <w:footnoteRef/>
      </w:r>
      <w:r w:rsidRPr="006C65D3">
        <w:rPr>
          <w:lang w:val="en-US"/>
        </w:rPr>
        <w:t xml:space="preserve"> </w:t>
      </w:r>
      <w:r w:rsidR="006C65D3" w:rsidRPr="006C65D3">
        <w:rPr>
          <w:lang w:val="en-US"/>
        </w:rPr>
        <w:t>BGH, 11 June 2013 – II ZR 80/1</w:t>
      </w:r>
      <w:r w:rsidR="006C65D3">
        <w:rPr>
          <w:lang w:val="en-US"/>
        </w:rPr>
        <w:t xml:space="preserve">2, </w:t>
      </w:r>
      <w:r w:rsidRPr="006C65D3">
        <w:rPr>
          <w:lang w:val="en-US"/>
        </w:rPr>
        <w:t xml:space="preserve">WM 2013, 1511, 1512 (paras 11ff.) – </w:t>
      </w:r>
      <w:r w:rsidRPr="006C65D3">
        <w:rPr>
          <w:i/>
          <w:lang w:val="en-US"/>
        </w:rPr>
        <w:t>BKN</w:t>
      </w:r>
      <w:r w:rsidRPr="006C65D3">
        <w:rPr>
          <w:lang w:val="en-US"/>
        </w:rPr>
        <w:t>.</w:t>
      </w:r>
    </w:p>
  </w:footnote>
  <w:footnote w:id="435">
    <w:p w14:paraId="7D6FD8F6" w14:textId="51BF602F" w:rsidR="00170A2D" w:rsidRPr="006C65D3" w:rsidRDefault="00170A2D">
      <w:pPr>
        <w:pStyle w:val="Funotentext"/>
        <w:rPr>
          <w:lang w:val="en-US"/>
        </w:rPr>
      </w:pPr>
      <w:r>
        <w:rPr>
          <w:rStyle w:val="Funotenzeichen"/>
        </w:rPr>
        <w:footnoteRef/>
      </w:r>
      <w:r w:rsidRPr="006C65D3">
        <w:rPr>
          <w:lang w:val="en-US"/>
        </w:rPr>
        <w:t xml:space="preserve"> </w:t>
      </w:r>
      <w:r w:rsidR="006C65D3" w:rsidRPr="006C65D3">
        <w:rPr>
          <w:lang w:val="en-US"/>
        </w:rPr>
        <w:t>BGH, 11 June 2013 – II ZR 80/1</w:t>
      </w:r>
      <w:r w:rsidR="006C65D3">
        <w:rPr>
          <w:lang w:val="en-US"/>
        </w:rPr>
        <w:t xml:space="preserve">2, </w:t>
      </w:r>
      <w:r w:rsidRPr="006C65D3">
        <w:rPr>
          <w:lang w:val="en-US"/>
        </w:rPr>
        <w:t xml:space="preserve">WM 2013, 1511, 1512 (paras 13–15) – </w:t>
      </w:r>
      <w:r w:rsidRPr="006C65D3">
        <w:rPr>
          <w:i/>
          <w:lang w:val="en-US"/>
        </w:rPr>
        <w:t>BKN</w:t>
      </w:r>
      <w:r w:rsidRPr="006C65D3">
        <w:rPr>
          <w:lang w:val="en-US"/>
        </w:rPr>
        <w:t>.</w:t>
      </w:r>
    </w:p>
  </w:footnote>
  <w:footnote w:id="436">
    <w:p w14:paraId="3A3D1EFF" w14:textId="35D9DBD8" w:rsidR="00F3182E" w:rsidRPr="00503463" w:rsidRDefault="00F3182E">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 xml:space="preserve">WM 2013, 1511, 1512 (para. 22) – </w:t>
      </w:r>
      <w:r w:rsidRPr="00503463">
        <w:rPr>
          <w:i/>
          <w:lang w:val="en-US"/>
        </w:rPr>
        <w:t>BKN</w:t>
      </w:r>
      <w:r w:rsidRPr="00503463">
        <w:rPr>
          <w:lang w:val="en-US"/>
        </w:rPr>
        <w:t>.</w:t>
      </w:r>
    </w:p>
  </w:footnote>
  <w:footnote w:id="437">
    <w:p w14:paraId="2B513EF4" w14:textId="01D3AF1C" w:rsidR="00254488" w:rsidRPr="00503463" w:rsidRDefault="00254488">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 xml:space="preserve">WM 2013, 1511, 1513 (paras 27ff.) – </w:t>
      </w:r>
      <w:r w:rsidRPr="00503463">
        <w:rPr>
          <w:i/>
          <w:lang w:val="en-US"/>
        </w:rPr>
        <w:t>BKN</w:t>
      </w:r>
      <w:r w:rsidRPr="00503463">
        <w:rPr>
          <w:lang w:val="en-US"/>
        </w:rPr>
        <w:t>.</w:t>
      </w:r>
    </w:p>
  </w:footnote>
  <w:footnote w:id="438">
    <w:p w14:paraId="713AADA1" w14:textId="30F17D25" w:rsidR="00102596" w:rsidRPr="00503463" w:rsidRDefault="00102596">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 xml:space="preserve">WM 2013, 1511, 1513 (para. 32) – </w:t>
      </w:r>
      <w:r w:rsidRPr="00503463">
        <w:rPr>
          <w:i/>
          <w:lang w:val="en-US"/>
        </w:rPr>
        <w:t>BKN</w:t>
      </w:r>
      <w:r w:rsidRPr="00503463">
        <w:rPr>
          <w:lang w:val="en-US"/>
        </w:rPr>
        <w:t>.</w:t>
      </w:r>
    </w:p>
  </w:footnote>
  <w:footnote w:id="439">
    <w:p w14:paraId="25B446A8" w14:textId="3B5AC238" w:rsidR="00226DD7" w:rsidRPr="00503463" w:rsidRDefault="00226DD7">
      <w:pPr>
        <w:pStyle w:val="Funotentext"/>
        <w:rPr>
          <w:lang w:val="en-US"/>
        </w:rPr>
      </w:pPr>
      <w:r>
        <w:rPr>
          <w:rStyle w:val="Funotenzeichen"/>
        </w:rPr>
        <w:footnoteRef/>
      </w:r>
      <w:r w:rsidRPr="00503463">
        <w:rPr>
          <w:lang w:val="en-US"/>
        </w:rPr>
        <w:t xml:space="preserve"> </w:t>
      </w:r>
      <w:r w:rsidR="006C65D3" w:rsidRPr="00503463">
        <w:rPr>
          <w:lang w:val="en-US"/>
        </w:rPr>
        <w:t xml:space="preserve">BGH, 11 June 2013 – II ZR 80/12, </w:t>
      </w:r>
      <w:r w:rsidRPr="00503463">
        <w:rPr>
          <w:lang w:val="en-US"/>
        </w:rPr>
        <w:t>WM 2013, 1511, 1514 (para</w:t>
      </w:r>
      <w:r w:rsidR="008464A6" w:rsidRPr="00503463">
        <w:rPr>
          <w:lang w:val="en-US"/>
        </w:rPr>
        <w:t>s</w:t>
      </w:r>
      <w:r w:rsidRPr="00503463">
        <w:rPr>
          <w:lang w:val="en-US"/>
        </w:rPr>
        <w:t xml:space="preserve"> 33ff.) – </w:t>
      </w:r>
      <w:r w:rsidRPr="00503463">
        <w:rPr>
          <w:i/>
          <w:lang w:val="en-US"/>
        </w:rPr>
        <w:t>BKN</w:t>
      </w:r>
      <w:r w:rsidRPr="00503463">
        <w:rPr>
          <w:lang w:val="en-US"/>
        </w:rPr>
        <w:t>.</w:t>
      </w:r>
    </w:p>
  </w:footnote>
  <w:footnote w:id="440">
    <w:p w14:paraId="170B02BB" w14:textId="51477123" w:rsidR="002C65DB" w:rsidRPr="00DC365D" w:rsidRDefault="002C65DB">
      <w:pPr>
        <w:pStyle w:val="Funotentext"/>
        <w:rPr>
          <w:lang w:val="pt-BR"/>
        </w:rPr>
      </w:pPr>
      <w:r>
        <w:rPr>
          <w:rStyle w:val="Funotenzeichen"/>
        </w:rPr>
        <w:footnoteRef/>
      </w:r>
      <w:r w:rsidRPr="00A455EA">
        <w:rPr>
          <w:lang w:val="pt-BR"/>
        </w:rPr>
        <w:t xml:space="preserve"> </w:t>
      </w:r>
      <w:r w:rsidR="009E362B">
        <w:rPr>
          <w:lang w:val="pt-BR"/>
        </w:rPr>
        <w:t xml:space="preserve">BGH, 7 </w:t>
      </w:r>
      <w:r w:rsidR="009E362B">
        <w:rPr>
          <w:lang w:val="pt-BR"/>
        </w:rPr>
        <w:t xml:space="preserve">November 2017 – II ZR 37/16, </w:t>
      </w:r>
      <w:r w:rsidRPr="00A455EA">
        <w:rPr>
          <w:lang w:val="pt-BR"/>
        </w:rPr>
        <w:t>WM 2018, 18, 20 (para. </w:t>
      </w:r>
      <w:r w:rsidRPr="00DC365D">
        <w:rPr>
          <w:lang w:val="pt-BR"/>
        </w:rPr>
        <w:t>23)</w:t>
      </w:r>
      <w:r w:rsidR="002A3FC7" w:rsidRPr="00DC365D">
        <w:rPr>
          <w:lang w:val="pt-BR"/>
        </w:rPr>
        <w:t xml:space="preserve"> – </w:t>
      </w:r>
      <w:r w:rsidR="002A3FC7" w:rsidRPr="00DC365D">
        <w:rPr>
          <w:i/>
          <w:lang w:val="pt-BR"/>
        </w:rPr>
        <w:t>Celesio I</w:t>
      </w:r>
      <w:r w:rsidRPr="00DC365D">
        <w:rPr>
          <w:lang w:val="pt-BR"/>
        </w:rPr>
        <w:t>.</w:t>
      </w:r>
    </w:p>
  </w:footnote>
  <w:footnote w:id="441">
    <w:p w14:paraId="7F556859" w14:textId="205254DC" w:rsidR="002C65DB" w:rsidRPr="002A3FC7" w:rsidRDefault="002C65DB">
      <w:pPr>
        <w:pStyle w:val="Funotentext"/>
        <w:rPr>
          <w:lang w:val="pt-BR"/>
        </w:rPr>
      </w:pPr>
      <w:r>
        <w:rPr>
          <w:rStyle w:val="Funotenzeichen"/>
        </w:rPr>
        <w:footnoteRef/>
      </w:r>
      <w:r w:rsidRPr="002A3FC7">
        <w:rPr>
          <w:lang w:val="pt-BR"/>
        </w:rPr>
        <w:t xml:space="preserve"> </w:t>
      </w:r>
      <w:r w:rsidR="009E362B">
        <w:rPr>
          <w:lang w:val="pt-BR"/>
        </w:rPr>
        <w:t xml:space="preserve">BGH, 7 </w:t>
      </w:r>
      <w:r w:rsidR="009E362B">
        <w:rPr>
          <w:lang w:val="pt-BR"/>
        </w:rPr>
        <w:t xml:space="preserve">November 2017 – II ZR 37/16, </w:t>
      </w:r>
      <w:r w:rsidRPr="002A3FC7">
        <w:rPr>
          <w:lang w:val="pt-BR"/>
        </w:rPr>
        <w:t>WM 2018, 18, 22 (para. 34)</w:t>
      </w:r>
      <w:r w:rsidR="002A3FC7">
        <w:rPr>
          <w:lang w:val="pt-BR"/>
        </w:rPr>
        <w:t xml:space="preserve"> </w:t>
      </w:r>
      <w:r w:rsidR="002A3FC7" w:rsidRPr="00DC365D">
        <w:rPr>
          <w:lang w:val="pt-BR"/>
        </w:rPr>
        <w:t xml:space="preserve">– </w:t>
      </w:r>
      <w:r w:rsidR="002A3FC7" w:rsidRPr="00DC365D">
        <w:rPr>
          <w:i/>
          <w:lang w:val="pt-BR"/>
        </w:rPr>
        <w:t>Celesio I</w:t>
      </w:r>
      <w:r w:rsidRPr="002A3FC7">
        <w:rPr>
          <w:lang w:val="pt-BR"/>
        </w:rPr>
        <w:t>.</w:t>
      </w:r>
    </w:p>
  </w:footnote>
  <w:footnote w:id="442">
    <w:p w14:paraId="13A361AC" w14:textId="7ED502F8" w:rsidR="002A3FC7" w:rsidRPr="00DC365D" w:rsidRDefault="002A3FC7">
      <w:pPr>
        <w:pStyle w:val="Funotentex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18 (paras 21ff.) </w:t>
      </w:r>
      <w:r w:rsidRPr="00DC365D">
        <w:rPr>
          <w:i/>
          <w:lang w:val="pt-BR"/>
        </w:rPr>
        <w:t>– Celesio II</w:t>
      </w:r>
      <w:r w:rsidRPr="00DC365D">
        <w:rPr>
          <w:lang w:val="pt-BR"/>
        </w:rPr>
        <w:t>. </w:t>
      </w:r>
    </w:p>
  </w:footnote>
  <w:footnote w:id="443">
    <w:p w14:paraId="46536942" w14:textId="3A3E6E60" w:rsidR="00973D5D" w:rsidRPr="00DC365D" w:rsidRDefault="00973D5D">
      <w:pPr>
        <w:pStyle w:val="Funotentex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18 (para. 22) </w:t>
      </w:r>
      <w:r w:rsidRPr="00DC365D">
        <w:rPr>
          <w:i/>
          <w:lang w:val="pt-BR"/>
        </w:rPr>
        <w:t>– Celesio II</w:t>
      </w:r>
      <w:r w:rsidRPr="00DC365D">
        <w:rPr>
          <w:lang w:val="pt-BR"/>
        </w:rPr>
        <w:t>. </w:t>
      </w:r>
    </w:p>
  </w:footnote>
  <w:footnote w:id="444">
    <w:p w14:paraId="5DA19080" w14:textId="081D19FE" w:rsidR="00973D5D" w:rsidRPr="00DC365D" w:rsidRDefault="00973D5D">
      <w:pPr>
        <w:pStyle w:val="Funotentex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18 (para. 23) </w:t>
      </w:r>
      <w:r w:rsidRPr="00DC365D">
        <w:rPr>
          <w:i/>
          <w:lang w:val="pt-BR"/>
        </w:rPr>
        <w:t>– Celesio II</w:t>
      </w:r>
      <w:r w:rsidRPr="00DC365D">
        <w:rPr>
          <w:lang w:val="pt-BR"/>
        </w:rPr>
        <w:t>.</w:t>
      </w:r>
    </w:p>
  </w:footnote>
  <w:footnote w:id="445">
    <w:p w14:paraId="224CBD87" w14:textId="5F7AD2D4" w:rsidR="003879AC" w:rsidRPr="00DC365D" w:rsidRDefault="003879AC">
      <w:pPr>
        <w:pStyle w:val="Funotentex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18 (para. 24) </w:t>
      </w:r>
      <w:r w:rsidRPr="00DC365D">
        <w:rPr>
          <w:i/>
          <w:lang w:val="pt-BR"/>
        </w:rPr>
        <w:t>– Celesio II</w:t>
      </w:r>
      <w:r w:rsidRPr="00DC365D">
        <w:rPr>
          <w:lang w:val="pt-BR"/>
        </w:rPr>
        <w:t>.</w:t>
      </w:r>
    </w:p>
  </w:footnote>
  <w:footnote w:id="446">
    <w:p w14:paraId="0107DC42" w14:textId="05F6F9A4" w:rsidR="00596B46" w:rsidRPr="00DC365D" w:rsidRDefault="00596B46" w:rsidP="00596B46">
      <w:pPr>
        <w:pStyle w:val="Funotentext"/>
        <w:jc w:val="lef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19 (paras 29ff.) </w:t>
      </w:r>
      <w:r w:rsidRPr="00DC365D">
        <w:rPr>
          <w:i/>
          <w:lang w:val="pt-BR"/>
        </w:rPr>
        <w:t>– Celesio II</w:t>
      </w:r>
      <w:r w:rsidRPr="00DC365D">
        <w:rPr>
          <w:lang w:val="pt-BR"/>
        </w:rPr>
        <w:t>.</w:t>
      </w:r>
    </w:p>
  </w:footnote>
  <w:footnote w:id="447">
    <w:p w14:paraId="6941963B" w14:textId="6ED3CE42" w:rsidR="007B5DC1" w:rsidRPr="00DC365D" w:rsidRDefault="007B5DC1">
      <w:pPr>
        <w:pStyle w:val="Funotentex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19 (paras 40, 41) </w:t>
      </w:r>
      <w:r w:rsidRPr="00DC365D">
        <w:rPr>
          <w:i/>
          <w:lang w:val="pt-BR"/>
        </w:rPr>
        <w:t>– Celesio II</w:t>
      </w:r>
      <w:r w:rsidRPr="00DC365D">
        <w:rPr>
          <w:lang w:val="pt-BR"/>
        </w:rPr>
        <w:t>.</w:t>
      </w:r>
    </w:p>
  </w:footnote>
  <w:footnote w:id="448">
    <w:p w14:paraId="54493D7C" w14:textId="4E9CB755" w:rsidR="00BF3DDD" w:rsidRPr="00DC365D" w:rsidRDefault="00BF3DDD" w:rsidP="00BF3DDD">
      <w:pPr>
        <w:pStyle w:val="Funotentext"/>
        <w:rPr>
          <w:lang w:val="pt-BR"/>
        </w:rPr>
      </w:pPr>
      <w:r>
        <w:rPr>
          <w:rStyle w:val="Funotenzeichen"/>
        </w:rPr>
        <w:footnoteRef/>
      </w:r>
      <w:r w:rsidRPr="00DC365D">
        <w:rPr>
          <w:lang w:val="pt-BR"/>
        </w:rPr>
        <w:t xml:space="preserve"> </w:t>
      </w:r>
      <w:r w:rsidR="00822D80">
        <w:rPr>
          <w:lang w:val="pt-BR"/>
        </w:rPr>
        <w:t xml:space="preserve">BGH, 23 </w:t>
      </w:r>
      <w:r w:rsidR="00822D80">
        <w:rPr>
          <w:lang w:val="pt-BR"/>
        </w:rPr>
        <w:t xml:space="preserve">November 2021 – II ZR 315/19, </w:t>
      </w:r>
      <w:r w:rsidRPr="00DC365D">
        <w:rPr>
          <w:lang w:val="pt-BR"/>
        </w:rPr>
        <w:t xml:space="preserve">WM 2022, 16, 19 (paras 43, 44) </w:t>
      </w:r>
      <w:r w:rsidRPr="00DC365D">
        <w:rPr>
          <w:i/>
          <w:lang w:val="pt-BR"/>
        </w:rPr>
        <w:t>– Celesio II</w:t>
      </w:r>
      <w:r w:rsidRPr="00DC365D">
        <w:rPr>
          <w:lang w:val="pt-B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6599" w14:textId="401B771D" w:rsidR="00484CF2" w:rsidRPr="00B335AC" w:rsidRDefault="00A07CBB" w:rsidP="003236D8">
    <w:pPr>
      <w:pStyle w:val="Kopfzeile"/>
      <w:jc w:val="center"/>
      <w:rPr>
        <w:color w:val="A6A6A6" w:themeColor="background1" w:themeShade="A6"/>
        <w:sz w:val="16"/>
        <w:szCs w:val="16"/>
      </w:rPr>
    </w:pPr>
    <w:r>
      <w:rPr>
        <w:color w:val="A6A6A6" w:themeColor="background1" w:themeShade="A6"/>
        <w:sz w:val="16"/>
        <w:szCs w:val="16"/>
      </w:rPr>
      <w:t xml:space="preserve">Version </w:t>
    </w:r>
    <w:r w:rsidR="00EB2A07">
      <w:rPr>
        <w:color w:val="A6A6A6" w:themeColor="background1" w:themeShade="A6"/>
        <w:sz w:val="16"/>
        <w:szCs w:val="16"/>
      </w:rPr>
      <w:t>5</w:t>
    </w:r>
    <w:r w:rsidR="00602EBF">
      <w:rPr>
        <w:color w:val="A6A6A6" w:themeColor="background1" w:themeShade="A6"/>
        <w:sz w:val="16"/>
        <w:szCs w:val="16"/>
      </w:rPr>
      <w:t xml:space="preserve"> </w:t>
    </w:r>
    <w:r w:rsidR="009B1DAD">
      <w:rPr>
        <w:color w:val="A6A6A6" w:themeColor="background1" w:themeShade="A6"/>
        <w:sz w:val="16"/>
        <w:szCs w:val="16"/>
      </w:rPr>
      <w:t>June</w:t>
    </w:r>
    <w:r w:rsidR="00931040">
      <w:rPr>
        <w:color w:val="A6A6A6" w:themeColor="background1" w:themeShade="A6"/>
        <w:sz w:val="16"/>
        <w:szCs w:val="16"/>
      </w:rPr>
      <w:t xml:space="preserve"> </w:t>
    </w:r>
    <w:r w:rsidR="00602EBF">
      <w:rPr>
        <w:color w:val="A6A6A6" w:themeColor="background1" w:themeShade="A6"/>
        <w:sz w:val="16"/>
        <w:szCs w:val="16"/>
      </w:rPr>
      <w:t>202</w:t>
    </w:r>
    <w:r w:rsidR="00931040">
      <w:rPr>
        <w:color w:val="A6A6A6" w:themeColor="background1" w:themeShade="A6"/>
        <w:sz w:val="16"/>
        <w:szCs w:val="16"/>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C08F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65B79DD"/>
    <w:multiLevelType w:val="hybridMultilevel"/>
    <w:tmpl w:val="00589218"/>
    <w:lvl w:ilvl="0" w:tplc="5BD6BB4C">
      <w:numFmt w:val="bullet"/>
      <w:lvlText w:val=""/>
      <w:lvlJc w:val="left"/>
      <w:pPr>
        <w:ind w:left="284" w:hanging="284"/>
      </w:pPr>
      <w:rPr>
        <w:rFonts w:ascii="Wingdings" w:eastAsiaTheme="minorHAnsi" w:hAnsi="Wingdings" w:cs="Koki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221A4"/>
    <w:multiLevelType w:val="hybridMultilevel"/>
    <w:tmpl w:val="ABDEFA4E"/>
    <w:lvl w:ilvl="0" w:tplc="76007364">
      <w:start w:val="1"/>
      <w:numFmt w:val="decimal"/>
      <w:pStyle w:val="Standardwithparanumbering"/>
      <w:lvlText w:val="%1"/>
      <w:lvlJc w:val="left"/>
      <w:pPr>
        <w:ind w:left="0" w:hanging="425"/>
      </w:pPr>
      <w:rPr>
        <w:rFonts w:ascii="Times New Roman" w:hAnsi="Times New Roman" w:hint="default"/>
        <w:b/>
        <w:bCs/>
        <w:i w:val="0"/>
        <w:sz w:val="2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3A94B9E"/>
    <w:multiLevelType w:val="hybridMultilevel"/>
    <w:tmpl w:val="968288E2"/>
    <w:lvl w:ilvl="0" w:tplc="44DACD7C">
      <w:start w:val="1"/>
      <w:numFmt w:val="decimal"/>
      <w:lvlText w:val="(%1)"/>
      <w:lvlJc w:val="left"/>
      <w:pPr>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7A62E3"/>
    <w:multiLevelType w:val="hybridMultilevel"/>
    <w:tmpl w:val="3B267CDC"/>
    <w:lvl w:ilvl="0" w:tplc="31389342">
      <w:start w:val="1"/>
      <w:numFmt w:val="upperLetter"/>
      <w:lvlText w:val="%1."/>
      <w:lvlJc w:val="left"/>
      <w:pPr>
        <w:tabs>
          <w:tab w:val="num" w:pos="567"/>
        </w:tabs>
        <w:ind w:left="567" w:hanging="567"/>
      </w:pPr>
      <w:rPr>
        <w:rFonts w:hint="default"/>
        <w:lang w:val="fr-CA"/>
      </w:rPr>
    </w:lvl>
    <w:lvl w:ilvl="1" w:tplc="458C8572">
      <w:start w:val="1"/>
      <w:numFmt w:val="upperRoman"/>
      <w:lvlText w:val="%2."/>
      <w:lvlJc w:val="right"/>
      <w:pPr>
        <w:ind w:left="1134" w:hanging="454"/>
      </w:pPr>
      <w:rPr>
        <w:rFonts w:hint="default"/>
      </w:rPr>
    </w:lvl>
    <w:lvl w:ilvl="2" w:tplc="C9DA24D0">
      <w:start w:val="1"/>
      <w:numFmt w:val="decimal"/>
      <w:lvlText w:val="%3."/>
      <w:lvlJc w:val="left"/>
      <w:pPr>
        <w:ind w:left="1701" w:hanging="567"/>
      </w:pPr>
      <w:rPr>
        <w:rFonts w:hint="default"/>
      </w:rPr>
    </w:lvl>
    <w:lvl w:ilvl="3" w:tplc="35380F4C">
      <w:start w:val="1"/>
      <w:numFmt w:val="lowerLetter"/>
      <w:lvlText w:val="%4)"/>
      <w:lvlJc w:val="left"/>
      <w:pPr>
        <w:ind w:left="2268" w:hanging="567"/>
      </w:pPr>
      <w:rPr>
        <w:rFonts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319112C"/>
    <w:multiLevelType w:val="hybridMultilevel"/>
    <w:tmpl w:val="6F1A94BC"/>
    <w:lvl w:ilvl="0" w:tplc="15B66F4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A55CA"/>
    <w:multiLevelType w:val="hybridMultilevel"/>
    <w:tmpl w:val="E73CA96A"/>
    <w:lvl w:ilvl="0" w:tplc="B1C09B08">
      <w:numFmt w:val="bullet"/>
      <w:lvlText w:val="–"/>
      <w:lvlJc w:val="left"/>
      <w:pPr>
        <w:ind w:left="567" w:hanging="283"/>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9DB347D"/>
    <w:multiLevelType w:val="hybridMultilevel"/>
    <w:tmpl w:val="E59EA2B2"/>
    <w:lvl w:ilvl="0" w:tplc="C26640E4">
      <w:start w:val="1"/>
      <w:numFmt w:val="lowerRoman"/>
      <w:lvlText w:val="(%1)"/>
      <w:lvlJc w:val="lef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400A0CD4"/>
    <w:multiLevelType w:val="hybridMultilevel"/>
    <w:tmpl w:val="E2964A34"/>
    <w:lvl w:ilvl="0" w:tplc="FFFFFFFF">
      <w:start w:val="1"/>
      <w:numFmt w:val="upperLetter"/>
      <w:lvlText w:val="%1."/>
      <w:lvlJc w:val="left"/>
      <w:pPr>
        <w:tabs>
          <w:tab w:val="num" w:pos="567"/>
        </w:tabs>
        <w:ind w:left="567" w:hanging="567"/>
      </w:pPr>
      <w:rPr>
        <w:rFonts w:hint="default"/>
        <w:lang w:val="fr-CA"/>
      </w:rPr>
    </w:lvl>
    <w:lvl w:ilvl="1" w:tplc="FFFFFFFF">
      <w:start w:val="1"/>
      <w:numFmt w:val="upperRoman"/>
      <w:lvlText w:val="%2."/>
      <w:lvlJc w:val="right"/>
      <w:pPr>
        <w:ind w:left="1134" w:hanging="567"/>
      </w:pPr>
      <w:rPr>
        <w:rFonts w:hint="default"/>
      </w:rPr>
    </w:lvl>
    <w:lvl w:ilvl="2" w:tplc="FFFFFFFF">
      <w:start w:val="1"/>
      <w:numFmt w:val="decimal"/>
      <w:lvlText w:val="%3."/>
      <w:lvlJc w:val="left"/>
      <w:pPr>
        <w:ind w:left="1701" w:hanging="567"/>
      </w:pPr>
      <w:rPr>
        <w:rFonts w:hint="default"/>
      </w:rPr>
    </w:lvl>
    <w:lvl w:ilvl="3" w:tplc="FFFFFFFF">
      <w:start w:val="1"/>
      <w:numFmt w:val="lowerLetter"/>
      <w:lvlText w:val="%4)"/>
      <w:lvlJc w:val="left"/>
      <w:pPr>
        <w:ind w:left="2268" w:hanging="567"/>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4A49F6"/>
    <w:multiLevelType w:val="hybridMultilevel"/>
    <w:tmpl w:val="BB9CC952"/>
    <w:lvl w:ilvl="0" w:tplc="234A2D4A">
      <w:start w:val="1"/>
      <w:numFmt w:val="upperLetter"/>
      <w:lvlText w:val="%1."/>
      <w:lvlJc w:val="left"/>
      <w:pPr>
        <w:ind w:left="567" w:hanging="567"/>
      </w:pPr>
      <w:rPr>
        <w:rFonts w:hint="default"/>
      </w:rPr>
    </w:lvl>
    <w:lvl w:ilvl="1" w:tplc="A0846BC2">
      <w:start w:val="1"/>
      <w:numFmt w:val="upperRoman"/>
      <w:lvlText w:val="%2."/>
      <w:lvlJc w:val="center"/>
      <w:pPr>
        <w:ind w:left="1134" w:hanging="567"/>
      </w:pPr>
      <w:rPr>
        <w:rFonts w:hint="default"/>
      </w:rPr>
    </w:lvl>
    <w:lvl w:ilvl="2" w:tplc="EDBCE81A">
      <w:start w:val="1"/>
      <w:numFmt w:val="decimal"/>
      <w:lvlText w:val="%3."/>
      <w:lvlJc w:val="left"/>
      <w:pPr>
        <w:ind w:left="1701" w:hanging="567"/>
      </w:pPr>
      <w:rPr>
        <w:rFonts w:hint="default"/>
      </w:rPr>
    </w:lvl>
    <w:lvl w:ilvl="3" w:tplc="D7BCEECA">
      <w:start w:val="1"/>
      <w:numFmt w:val="lowerLetter"/>
      <w:lvlText w:val="%4)"/>
      <w:lvlJc w:val="left"/>
      <w:pPr>
        <w:ind w:left="1701" w:firstLine="0"/>
      </w:pPr>
      <w:rPr>
        <w:rFonts w:hint="default"/>
      </w:rPr>
    </w:lvl>
    <w:lvl w:ilvl="4" w:tplc="D0BC394E">
      <w:start w:val="1"/>
      <w:numFmt w:val="lowerLetter"/>
      <w:lvlText w:val="%5."/>
      <w:lvlJc w:val="left"/>
      <w:pPr>
        <w:ind w:left="2835" w:hanging="567"/>
      </w:pPr>
      <w:rPr>
        <w:rFonts w:hint="default"/>
      </w:r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A93CFF"/>
    <w:multiLevelType w:val="hybridMultilevel"/>
    <w:tmpl w:val="5A2A50FA"/>
    <w:lvl w:ilvl="0" w:tplc="FFFFFFFF">
      <w:start w:val="1"/>
      <w:numFmt w:val="decimal"/>
      <w:suff w:val="space"/>
      <w:lvlText w:val="Case Study %1."/>
      <w:lvlJc w:val="left"/>
      <w:pPr>
        <w:ind w:left="1494"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6528A3"/>
    <w:multiLevelType w:val="hybridMultilevel"/>
    <w:tmpl w:val="A9B4C768"/>
    <w:lvl w:ilvl="0" w:tplc="4CC8EB26">
      <w:numFmt w:val="bullet"/>
      <w:lvlText w:val="–"/>
      <w:lvlJc w:val="left"/>
      <w:pPr>
        <w:ind w:left="170" w:hanging="1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013E42"/>
    <w:multiLevelType w:val="hybridMultilevel"/>
    <w:tmpl w:val="6EB454F6"/>
    <w:lvl w:ilvl="0" w:tplc="5F166738">
      <w:numFmt w:val="bullet"/>
      <w:lvlText w:val=""/>
      <w:lvlJc w:val="left"/>
      <w:pPr>
        <w:ind w:left="720" w:hanging="360"/>
      </w:pPr>
      <w:rPr>
        <w:rFonts w:ascii="Wingdings" w:eastAsiaTheme="minorHAnsi" w:hAnsi="Wingdings" w:cs="Kokila"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D7B7116"/>
    <w:multiLevelType w:val="multilevel"/>
    <w:tmpl w:val="70840992"/>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67" w:hanging="567"/>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4" w15:restartNumberingAfterBreak="0">
    <w:nsid w:val="6986098F"/>
    <w:multiLevelType w:val="hybridMultilevel"/>
    <w:tmpl w:val="A6EE967E"/>
    <w:lvl w:ilvl="0" w:tplc="CFFA41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DF06044"/>
    <w:multiLevelType w:val="hybridMultilevel"/>
    <w:tmpl w:val="4082433E"/>
    <w:lvl w:ilvl="0" w:tplc="CE3EAB04">
      <w:numFmt w:val="bullet"/>
      <w:lvlText w:val="–"/>
      <w:lvlJc w:val="left"/>
      <w:pPr>
        <w:ind w:left="284" w:hanging="2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24D08"/>
    <w:multiLevelType w:val="hybridMultilevel"/>
    <w:tmpl w:val="696E06CA"/>
    <w:lvl w:ilvl="0" w:tplc="3490EC1A">
      <w:numFmt w:val="bullet"/>
      <w:lvlText w:val="–"/>
      <w:lvlJc w:val="left"/>
      <w:pPr>
        <w:ind w:left="284" w:hanging="2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131C8"/>
    <w:multiLevelType w:val="hybridMultilevel"/>
    <w:tmpl w:val="7AD0DC30"/>
    <w:lvl w:ilvl="0" w:tplc="F8B03F40">
      <w:start w:val="1"/>
      <w:numFmt w:val="upperRoman"/>
      <w:pStyle w:val="Listenabsatz"/>
      <w:lvlText w:val="%1."/>
      <w:lvlJc w:val="center"/>
      <w:pPr>
        <w:ind w:left="1287" w:hanging="360"/>
      </w:pPr>
      <w:rPr>
        <w:rFonts w:hint="default"/>
      </w:rPr>
    </w:lvl>
    <w:lvl w:ilvl="1" w:tplc="D2C8FFFA">
      <w:numFmt w:val="bullet"/>
      <w:lvlText w:val="-"/>
      <w:lvlJc w:val="left"/>
      <w:pPr>
        <w:ind w:left="2007" w:hanging="360"/>
      </w:pPr>
      <w:rPr>
        <w:rFonts w:ascii="Times New Roman" w:eastAsiaTheme="majorEastAsia" w:hAnsi="Times New Roman" w:cs="Times New Roman" w:hint="default"/>
      </w:rPr>
    </w:lvl>
    <w:lvl w:ilvl="2" w:tplc="0407001B" w:tentative="1">
      <w:start w:val="1"/>
      <w:numFmt w:val="lowerRoman"/>
      <w:lvlText w:val="%3."/>
      <w:lvlJc w:val="right"/>
      <w:pPr>
        <w:ind w:left="2727" w:hanging="180"/>
      </w:pPr>
    </w:lvl>
    <w:lvl w:ilvl="3" w:tplc="0407000F" w:tentative="1">
      <w:start w:val="1"/>
      <w:numFmt w:val="decimal"/>
      <w:lvlText w:val="%4."/>
      <w:lvlJc w:val="left"/>
      <w:pPr>
        <w:ind w:left="3447" w:hanging="360"/>
      </w:pPr>
    </w:lvl>
    <w:lvl w:ilvl="4" w:tplc="04070019" w:tentative="1">
      <w:start w:val="1"/>
      <w:numFmt w:val="lowerLetter"/>
      <w:lvlText w:val="%5."/>
      <w:lvlJc w:val="left"/>
      <w:pPr>
        <w:ind w:left="4167" w:hanging="360"/>
      </w:pPr>
    </w:lvl>
    <w:lvl w:ilvl="5" w:tplc="0407001B" w:tentative="1">
      <w:start w:val="1"/>
      <w:numFmt w:val="lowerRoman"/>
      <w:lvlText w:val="%6."/>
      <w:lvlJc w:val="right"/>
      <w:pPr>
        <w:ind w:left="4887" w:hanging="180"/>
      </w:pPr>
    </w:lvl>
    <w:lvl w:ilvl="6" w:tplc="0407000F" w:tentative="1">
      <w:start w:val="1"/>
      <w:numFmt w:val="decimal"/>
      <w:lvlText w:val="%7."/>
      <w:lvlJc w:val="left"/>
      <w:pPr>
        <w:ind w:left="5607" w:hanging="360"/>
      </w:pPr>
    </w:lvl>
    <w:lvl w:ilvl="7" w:tplc="04070019" w:tentative="1">
      <w:start w:val="1"/>
      <w:numFmt w:val="lowerLetter"/>
      <w:lvlText w:val="%8."/>
      <w:lvlJc w:val="left"/>
      <w:pPr>
        <w:ind w:left="6327" w:hanging="360"/>
      </w:pPr>
    </w:lvl>
    <w:lvl w:ilvl="8" w:tplc="0407001B" w:tentative="1">
      <w:start w:val="1"/>
      <w:numFmt w:val="lowerRoman"/>
      <w:lvlText w:val="%9."/>
      <w:lvlJc w:val="right"/>
      <w:pPr>
        <w:ind w:left="7047" w:hanging="180"/>
      </w:pPr>
    </w:lvl>
  </w:abstractNum>
  <w:abstractNum w:abstractNumId="18" w15:restartNumberingAfterBreak="0">
    <w:nsid w:val="7FB061E4"/>
    <w:multiLevelType w:val="hybridMultilevel"/>
    <w:tmpl w:val="5E380AD4"/>
    <w:lvl w:ilvl="0" w:tplc="80A4A43E">
      <w:start w:val="1"/>
      <w:numFmt w:val="lowerLetter"/>
      <w:lvlText w:val="(%1)"/>
      <w:lvlJc w:val="left"/>
      <w:pPr>
        <w:tabs>
          <w:tab w:val="num" w:pos="170"/>
        </w:tabs>
        <w:ind w:left="17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718966">
    <w:abstractNumId w:val="17"/>
  </w:num>
  <w:num w:numId="2" w16cid:durableId="1097555828">
    <w:abstractNumId w:val="9"/>
  </w:num>
  <w:num w:numId="3" w16cid:durableId="2137406703">
    <w:abstractNumId w:val="13"/>
  </w:num>
  <w:num w:numId="4" w16cid:durableId="751316983">
    <w:abstractNumId w:val="4"/>
  </w:num>
  <w:num w:numId="5" w16cid:durableId="1952081587">
    <w:abstractNumId w:val="12"/>
  </w:num>
  <w:num w:numId="6" w16cid:durableId="712579738">
    <w:abstractNumId w:val="2"/>
  </w:num>
  <w:num w:numId="7" w16cid:durableId="950554747">
    <w:abstractNumId w:val="0"/>
  </w:num>
  <w:num w:numId="8" w16cid:durableId="43258812">
    <w:abstractNumId w:val="3"/>
  </w:num>
  <w:num w:numId="9" w16cid:durableId="775255598">
    <w:abstractNumId w:val="8"/>
  </w:num>
  <w:num w:numId="10" w16cid:durableId="301353243">
    <w:abstractNumId w:val="6"/>
  </w:num>
  <w:num w:numId="11" w16cid:durableId="652955600">
    <w:abstractNumId w:val="5"/>
  </w:num>
  <w:num w:numId="12" w16cid:durableId="1707369278">
    <w:abstractNumId w:val="16"/>
  </w:num>
  <w:num w:numId="13" w16cid:durableId="486822893">
    <w:abstractNumId w:val="15"/>
  </w:num>
  <w:num w:numId="14" w16cid:durableId="1048996688">
    <w:abstractNumId w:val="10"/>
  </w:num>
  <w:num w:numId="15" w16cid:durableId="1868253313">
    <w:abstractNumId w:val="1"/>
  </w:num>
  <w:num w:numId="16" w16cid:durableId="494347929">
    <w:abstractNumId w:val="14"/>
  </w:num>
  <w:num w:numId="17" w16cid:durableId="1589729226">
    <w:abstractNumId w:val="11"/>
  </w:num>
  <w:num w:numId="18" w16cid:durableId="884484418">
    <w:abstractNumId w:val="18"/>
  </w:num>
  <w:num w:numId="19" w16cid:durableId="1820414046">
    <w:abstractNumId w:val="7"/>
  </w:num>
  <w:num w:numId="20" w16cid:durableId="1793284548">
    <w:abstractNumId w:val="17"/>
  </w:num>
  <w:num w:numId="21" w16cid:durableId="1219514031">
    <w:abstractNumId w:val="17"/>
  </w:num>
  <w:num w:numId="22" w16cid:durableId="612173316">
    <w:abstractNumId w:val="17"/>
  </w:num>
  <w:num w:numId="23" w16cid:durableId="889733843">
    <w:abstractNumId w:val="17"/>
  </w:num>
  <w:num w:numId="24" w16cid:durableId="1638879386">
    <w:abstractNumId w:val="17"/>
  </w:num>
  <w:num w:numId="25" w16cid:durableId="2037657516">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proofState w:spelling="clean"/>
  <w:defaultTabStop w:val="708"/>
  <w:autoHyphenation/>
  <w:hyphenationZone w:val="425"/>
  <w:characterSpacingControl w:val="doNotCompress"/>
  <w:hdrShapeDefaults>
    <o:shapedefaults v:ext="edit" spidmax="206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B3"/>
    <w:rsid w:val="00000080"/>
    <w:rsid w:val="0000015C"/>
    <w:rsid w:val="00000220"/>
    <w:rsid w:val="00000A69"/>
    <w:rsid w:val="00001731"/>
    <w:rsid w:val="000017A4"/>
    <w:rsid w:val="00002054"/>
    <w:rsid w:val="00002734"/>
    <w:rsid w:val="00003626"/>
    <w:rsid w:val="00003CC1"/>
    <w:rsid w:val="000046B0"/>
    <w:rsid w:val="00004D72"/>
    <w:rsid w:val="00004E9E"/>
    <w:rsid w:val="00005C85"/>
    <w:rsid w:val="00006ABD"/>
    <w:rsid w:val="00006D80"/>
    <w:rsid w:val="0000716E"/>
    <w:rsid w:val="0000763B"/>
    <w:rsid w:val="00010079"/>
    <w:rsid w:val="00010A8B"/>
    <w:rsid w:val="0001122E"/>
    <w:rsid w:val="00011A95"/>
    <w:rsid w:val="00011B45"/>
    <w:rsid w:val="00012485"/>
    <w:rsid w:val="00012CF0"/>
    <w:rsid w:val="00013FFE"/>
    <w:rsid w:val="00015108"/>
    <w:rsid w:val="00015171"/>
    <w:rsid w:val="000154B0"/>
    <w:rsid w:val="00015C24"/>
    <w:rsid w:val="00016028"/>
    <w:rsid w:val="0001615A"/>
    <w:rsid w:val="0001676E"/>
    <w:rsid w:val="00017B0E"/>
    <w:rsid w:val="000202CD"/>
    <w:rsid w:val="000207A6"/>
    <w:rsid w:val="0002109E"/>
    <w:rsid w:val="0002126C"/>
    <w:rsid w:val="00021331"/>
    <w:rsid w:val="00021508"/>
    <w:rsid w:val="00021A10"/>
    <w:rsid w:val="00022130"/>
    <w:rsid w:val="00022D5A"/>
    <w:rsid w:val="000233F2"/>
    <w:rsid w:val="00023462"/>
    <w:rsid w:val="00023B17"/>
    <w:rsid w:val="0002479F"/>
    <w:rsid w:val="00024977"/>
    <w:rsid w:val="00024CC6"/>
    <w:rsid w:val="00024D7C"/>
    <w:rsid w:val="000250AA"/>
    <w:rsid w:val="000257F9"/>
    <w:rsid w:val="000260D9"/>
    <w:rsid w:val="000262C6"/>
    <w:rsid w:val="000262FC"/>
    <w:rsid w:val="00026435"/>
    <w:rsid w:val="0002647A"/>
    <w:rsid w:val="00026DAB"/>
    <w:rsid w:val="000302EB"/>
    <w:rsid w:val="00030D25"/>
    <w:rsid w:val="00031A00"/>
    <w:rsid w:val="00031AD4"/>
    <w:rsid w:val="00031CBD"/>
    <w:rsid w:val="0003241C"/>
    <w:rsid w:val="0003297D"/>
    <w:rsid w:val="00033399"/>
    <w:rsid w:val="000333CC"/>
    <w:rsid w:val="00033A42"/>
    <w:rsid w:val="0003447F"/>
    <w:rsid w:val="00034CD5"/>
    <w:rsid w:val="000351AB"/>
    <w:rsid w:val="00035259"/>
    <w:rsid w:val="00035AB7"/>
    <w:rsid w:val="0003628A"/>
    <w:rsid w:val="000368C7"/>
    <w:rsid w:val="00037966"/>
    <w:rsid w:val="00037E58"/>
    <w:rsid w:val="000411EB"/>
    <w:rsid w:val="000418C4"/>
    <w:rsid w:val="000418E7"/>
    <w:rsid w:val="00042649"/>
    <w:rsid w:val="00042C35"/>
    <w:rsid w:val="00042CA1"/>
    <w:rsid w:val="00043755"/>
    <w:rsid w:val="00043909"/>
    <w:rsid w:val="000440EA"/>
    <w:rsid w:val="0004487F"/>
    <w:rsid w:val="00044BD7"/>
    <w:rsid w:val="00044D73"/>
    <w:rsid w:val="000457FB"/>
    <w:rsid w:val="00046091"/>
    <w:rsid w:val="000462FE"/>
    <w:rsid w:val="000463F9"/>
    <w:rsid w:val="00046763"/>
    <w:rsid w:val="00046C4A"/>
    <w:rsid w:val="00046CD3"/>
    <w:rsid w:val="00046FE9"/>
    <w:rsid w:val="0004734F"/>
    <w:rsid w:val="00047A4E"/>
    <w:rsid w:val="0005013F"/>
    <w:rsid w:val="0005066B"/>
    <w:rsid w:val="000506C2"/>
    <w:rsid w:val="00051084"/>
    <w:rsid w:val="000519A9"/>
    <w:rsid w:val="00051CCE"/>
    <w:rsid w:val="00052232"/>
    <w:rsid w:val="00052CF3"/>
    <w:rsid w:val="00052EFF"/>
    <w:rsid w:val="00053326"/>
    <w:rsid w:val="000539EC"/>
    <w:rsid w:val="00054154"/>
    <w:rsid w:val="00054D8D"/>
    <w:rsid w:val="000552CE"/>
    <w:rsid w:val="00056470"/>
    <w:rsid w:val="00057180"/>
    <w:rsid w:val="00057380"/>
    <w:rsid w:val="00060023"/>
    <w:rsid w:val="00060AE7"/>
    <w:rsid w:val="000625C8"/>
    <w:rsid w:val="00062D06"/>
    <w:rsid w:val="000633F4"/>
    <w:rsid w:val="00064182"/>
    <w:rsid w:val="00064208"/>
    <w:rsid w:val="000657F2"/>
    <w:rsid w:val="00065975"/>
    <w:rsid w:val="00065D5E"/>
    <w:rsid w:val="0006621E"/>
    <w:rsid w:val="000669E3"/>
    <w:rsid w:val="0006762F"/>
    <w:rsid w:val="00067BDB"/>
    <w:rsid w:val="0007067C"/>
    <w:rsid w:val="000708DC"/>
    <w:rsid w:val="00071451"/>
    <w:rsid w:val="0007147D"/>
    <w:rsid w:val="000716EF"/>
    <w:rsid w:val="000718F9"/>
    <w:rsid w:val="00071912"/>
    <w:rsid w:val="00071E5E"/>
    <w:rsid w:val="0007233F"/>
    <w:rsid w:val="00072E14"/>
    <w:rsid w:val="00072EE1"/>
    <w:rsid w:val="00073040"/>
    <w:rsid w:val="00073A8F"/>
    <w:rsid w:val="00073CF8"/>
    <w:rsid w:val="00074A16"/>
    <w:rsid w:val="00074CBC"/>
    <w:rsid w:val="000752EE"/>
    <w:rsid w:val="000756F6"/>
    <w:rsid w:val="000762FE"/>
    <w:rsid w:val="0007636F"/>
    <w:rsid w:val="0007670A"/>
    <w:rsid w:val="0007760B"/>
    <w:rsid w:val="0007799C"/>
    <w:rsid w:val="00077EA6"/>
    <w:rsid w:val="00080317"/>
    <w:rsid w:val="000806F3"/>
    <w:rsid w:val="00080E96"/>
    <w:rsid w:val="00080F04"/>
    <w:rsid w:val="00081223"/>
    <w:rsid w:val="000818F9"/>
    <w:rsid w:val="000823DB"/>
    <w:rsid w:val="000827AD"/>
    <w:rsid w:val="00082AFA"/>
    <w:rsid w:val="00083A80"/>
    <w:rsid w:val="00084093"/>
    <w:rsid w:val="00084470"/>
    <w:rsid w:val="000845E3"/>
    <w:rsid w:val="000858E2"/>
    <w:rsid w:val="00086A2F"/>
    <w:rsid w:val="00086C7C"/>
    <w:rsid w:val="000877DC"/>
    <w:rsid w:val="00087BE4"/>
    <w:rsid w:val="0009048B"/>
    <w:rsid w:val="000907B5"/>
    <w:rsid w:val="00090BBB"/>
    <w:rsid w:val="0009110B"/>
    <w:rsid w:val="0009195C"/>
    <w:rsid w:val="000921BF"/>
    <w:rsid w:val="00092316"/>
    <w:rsid w:val="000925B0"/>
    <w:rsid w:val="000939C7"/>
    <w:rsid w:val="0009453A"/>
    <w:rsid w:val="0009522E"/>
    <w:rsid w:val="000953F5"/>
    <w:rsid w:val="0009572E"/>
    <w:rsid w:val="00095DFC"/>
    <w:rsid w:val="00095F58"/>
    <w:rsid w:val="00096153"/>
    <w:rsid w:val="00096920"/>
    <w:rsid w:val="00096F6D"/>
    <w:rsid w:val="000972BA"/>
    <w:rsid w:val="000975D5"/>
    <w:rsid w:val="00097F8E"/>
    <w:rsid w:val="000A0E19"/>
    <w:rsid w:val="000A16F7"/>
    <w:rsid w:val="000A18EC"/>
    <w:rsid w:val="000A1B5E"/>
    <w:rsid w:val="000A1E68"/>
    <w:rsid w:val="000A274D"/>
    <w:rsid w:val="000A3A44"/>
    <w:rsid w:val="000A3C97"/>
    <w:rsid w:val="000A401A"/>
    <w:rsid w:val="000A40AA"/>
    <w:rsid w:val="000A4C6D"/>
    <w:rsid w:val="000A4CE4"/>
    <w:rsid w:val="000A5A6B"/>
    <w:rsid w:val="000A5B00"/>
    <w:rsid w:val="000A5E64"/>
    <w:rsid w:val="000A6105"/>
    <w:rsid w:val="000B1949"/>
    <w:rsid w:val="000B1F19"/>
    <w:rsid w:val="000B2F98"/>
    <w:rsid w:val="000B3562"/>
    <w:rsid w:val="000B3816"/>
    <w:rsid w:val="000B3840"/>
    <w:rsid w:val="000B3CE9"/>
    <w:rsid w:val="000B3DF1"/>
    <w:rsid w:val="000B3E97"/>
    <w:rsid w:val="000B6682"/>
    <w:rsid w:val="000B6AAF"/>
    <w:rsid w:val="000B7071"/>
    <w:rsid w:val="000B70BF"/>
    <w:rsid w:val="000B7188"/>
    <w:rsid w:val="000C00C7"/>
    <w:rsid w:val="000C03F5"/>
    <w:rsid w:val="000C0407"/>
    <w:rsid w:val="000C087F"/>
    <w:rsid w:val="000C09CB"/>
    <w:rsid w:val="000C1266"/>
    <w:rsid w:val="000C3103"/>
    <w:rsid w:val="000C3892"/>
    <w:rsid w:val="000C3DA8"/>
    <w:rsid w:val="000C4AD4"/>
    <w:rsid w:val="000C60EE"/>
    <w:rsid w:val="000C6118"/>
    <w:rsid w:val="000C61BE"/>
    <w:rsid w:val="000C68AF"/>
    <w:rsid w:val="000C691B"/>
    <w:rsid w:val="000C6D71"/>
    <w:rsid w:val="000C6F76"/>
    <w:rsid w:val="000C7915"/>
    <w:rsid w:val="000D07D1"/>
    <w:rsid w:val="000D1DEA"/>
    <w:rsid w:val="000D1ECC"/>
    <w:rsid w:val="000D2098"/>
    <w:rsid w:val="000D307E"/>
    <w:rsid w:val="000D37D5"/>
    <w:rsid w:val="000D38D0"/>
    <w:rsid w:val="000D3D4C"/>
    <w:rsid w:val="000D3D79"/>
    <w:rsid w:val="000D418E"/>
    <w:rsid w:val="000D45AE"/>
    <w:rsid w:val="000D4CB2"/>
    <w:rsid w:val="000D4EB0"/>
    <w:rsid w:val="000D5F25"/>
    <w:rsid w:val="000D5F60"/>
    <w:rsid w:val="000D6154"/>
    <w:rsid w:val="000D6524"/>
    <w:rsid w:val="000D6D5C"/>
    <w:rsid w:val="000D7596"/>
    <w:rsid w:val="000D7C99"/>
    <w:rsid w:val="000E04C9"/>
    <w:rsid w:val="000E07D2"/>
    <w:rsid w:val="000E091D"/>
    <w:rsid w:val="000E0E1C"/>
    <w:rsid w:val="000E15CA"/>
    <w:rsid w:val="000E1D4F"/>
    <w:rsid w:val="000E1D97"/>
    <w:rsid w:val="000E2F16"/>
    <w:rsid w:val="000E3293"/>
    <w:rsid w:val="000E4216"/>
    <w:rsid w:val="000E462A"/>
    <w:rsid w:val="000E5109"/>
    <w:rsid w:val="000E5EA9"/>
    <w:rsid w:val="000E6C1A"/>
    <w:rsid w:val="000E72E0"/>
    <w:rsid w:val="000E7885"/>
    <w:rsid w:val="000F056E"/>
    <w:rsid w:val="000F05D7"/>
    <w:rsid w:val="000F0631"/>
    <w:rsid w:val="000F09EE"/>
    <w:rsid w:val="000F14F1"/>
    <w:rsid w:val="000F1CA0"/>
    <w:rsid w:val="000F1E1E"/>
    <w:rsid w:val="000F20D9"/>
    <w:rsid w:val="000F32CB"/>
    <w:rsid w:val="000F35F2"/>
    <w:rsid w:val="000F3F03"/>
    <w:rsid w:val="000F3FF2"/>
    <w:rsid w:val="000F4342"/>
    <w:rsid w:val="000F47C4"/>
    <w:rsid w:val="000F47DE"/>
    <w:rsid w:val="000F4B2D"/>
    <w:rsid w:val="000F6133"/>
    <w:rsid w:val="000F62A3"/>
    <w:rsid w:val="000F6899"/>
    <w:rsid w:val="000F6CD5"/>
    <w:rsid w:val="000F76E7"/>
    <w:rsid w:val="001001BE"/>
    <w:rsid w:val="001008AC"/>
    <w:rsid w:val="00100EDA"/>
    <w:rsid w:val="00101342"/>
    <w:rsid w:val="00101DB7"/>
    <w:rsid w:val="00101FC9"/>
    <w:rsid w:val="00102596"/>
    <w:rsid w:val="001029AF"/>
    <w:rsid w:val="001031CE"/>
    <w:rsid w:val="00103707"/>
    <w:rsid w:val="00103FF8"/>
    <w:rsid w:val="001040A9"/>
    <w:rsid w:val="0010448A"/>
    <w:rsid w:val="00104D41"/>
    <w:rsid w:val="001050F7"/>
    <w:rsid w:val="00105390"/>
    <w:rsid w:val="00105C00"/>
    <w:rsid w:val="00105FAB"/>
    <w:rsid w:val="00106166"/>
    <w:rsid w:val="001063A7"/>
    <w:rsid w:val="0010779A"/>
    <w:rsid w:val="0010799A"/>
    <w:rsid w:val="00107ADA"/>
    <w:rsid w:val="001100BA"/>
    <w:rsid w:val="00110749"/>
    <w:rsid w:val="001112E8"/>
    <w:rsid w:val="00111392"/>
    <w:rsid w:val="00111BD5"/>
    <w:rsid w:val="001124E5"/>
    <w:rsid w:val="00112609"/>
    <w:rsid w:val="00112A08"/>
    <w:rsid w:val="00112D82"/>
    <w:rsid w:val="00113956"/>
    <w:rsid w:val="00113BE5"/>
    <w:rsid w:val="001149F3"/>
    <w:rsid w:val="00114EA1"/>
    <w:rsid w:val="001150E0"/>
    <w:rsid w:val="00115224"/>
    <w:rsid w:val="001153C8"/>
    <w:rsid w:val="0011596C"/>
    <w:rsid w:val="0011598D"/>
    <w:rsid w:val="0011651E"/>
    <w:rsid w:val="001166CA"/>
    <w:rsid w:val="0011693B"/>
    <w:rsid w:val="00116D73"/>
    <w:rsid w:val="00117A3A"/>
    <w:rsid w:val="00120727"/>
    <w:rsid w:val="00120DB1"/>
    <w:rsid w:val="00121160"/>
    <w:rsid w:val="0012150B"/>
    <w:rsid w:val="00121AB3"/>
    <w:rsid w:val="0012269B"/>
    <w:rsid w:val="001241E7"/>
    <w:rsid w:val="001242E4"/>
    <w:rsid w:val="00124762"/>
    <w:rsid w:val="0012490C"/>
    <w:rsid w:val="001251BD"/>
    <w:rsid w:val="00125285"/>
    <w:rsid w:val="00125A5E"/>
    <w:rsid w:val="00125DB9"/>
    <w:rsid w:val="00126A63"/>
    <w:rsid w:val="00126A97"/>
    <w:rsid w:val="0012730F"/>
    <w:rsid w:val="00127761"/>
    <w:rsid w:val="00127DD5"/>
    <w:rsid w:val="00130076"/>
    <w:rsid w:val="00130388"/>
    <w:rsid w:val="00131529"/>
    <w:rsid w:val="001324F9"/>
    <w:rsid w:val="001339DE"/>
    <w:rsid w:val="0013403F"/>
    <w:rsid w:val="00134EF9"/>
    <w:rsid w:val="00135909"/>
    <w:rsid w:val="001359FA"/>
    <w:rsid w:val="00135AB2"/>
    <w:rsid w:val="00135CC1"/>
    <w:rsid w:val="00136661"/>
    <w:rsid w:val="00136E9E"/>
    <w:rsid w:val="001406E8"/>
    <w:rsid w:val="00140877"/>
    <w:rsid w:val="00140D4A"/>
    <w:rsid w:val="00140FBC"/>
    <w:rsid w:val="0014218F"/>
    <w:rsid w:val="001424AA"/>
    <w:rsid w:val="001428A8"/>
    <w:rsid w:val="00142F55"/>
    <w:rsid w:val="001431F2"/>
    <w:rsid w:val="00143856"/>
    <w:rsid w:val="0014483E"/>
    <w:rsid w:val="00145641"/>
    <w:rsid w:val="0014567D"/>
    <w:rsid w:val="001457DF"/>
    <w:rsid w:val="00145A77"/>
    <w:rsid w:val="00145F7F"/>
    <w:rsid w:val="00146323"/>
    <w:rsid w:val="00146469"/>
    <w:rsid w:val="00146A97"/>
    <w:rsid w:val="00150008"/>
    <w:rsid w:val="0015029C"/>
    <w:rsid w:val="001518F3"/>
    <w:rsid w:val="001519AD"/>
    <w:rsid w:val="001520A2"/>
    <w:rsid w:val="00152442"/>
    <w:rsid w:val="0015271E"/>
    <w:rsid w:val="00153C41"/>
    <w:rsid w:val="00153E82"/>
    <w:rsid w:val="00154440"/>
    <w:rsid w:val="0015458C"/>
    <w:rsid w:val="0015521D"/>
    <w:rsid w:val="0015567B"/>
    <w:rsid w:val="00155A6B"/>
    <w:rsid w:val="00156087"/>
    <w:rsid w:val="0015622B"/>
    <w:rsid w:val="001565D0"/>
    <w:rsid w:val="00157A20"/>
    <w:rsid w:val="00157CCA"/>
    <w:rsid w:val="001604ED"/>
    <w:rsid w:val="0016069A"/>
    <w:rsid w:val="00160DD4"/>
    <w:rsid w:val="001611D3"/>
    <w:rsid w:val="00161736"/>
    <w:rsid w:val="00161AF3"/>
    <w:rsid w:val="00162ACB"/>
    <w:rsid w:val="00162BB1"/>
    <w:rsid w:val="00163BDC"/>
    <w:rsid w:val="00163E3D"/>
    <w:rsid w:val="00163FBE"/>
    <w:rsid w:val="001643CE"/>
    <w:rsid w:val="001654E6"/>
    <w:rsid w:val="00165597"/>
    <w:rsid w:val="00165C0C"/>
    <w:rsid w:val="00166B31"/>
    <w:rsid w:val="0016758F"/>
    <w:rsid w:val="00167E96"/>
    <w:rsid w:val="00170045"/>
    <w:rsid w:val="00170603"/>
    <w:rsid w:val="001707CD"/>
    <w:rsid w:val="00170A2D"/>
    <w:rsid w:val="00170B05"/>
    <w:rsid w:val="00171179"/>
    <w:rsid w:val="001714D1"/>
    <w:rsid w:val="00171572"/>
    <w:rsid w:val="00171AD8"/>
    <w:rsid w:val="00171B4C"/>
    <w:rsid w:val="00173572"/>
    <w:rsid w:val="001736D6"/>
    <w:rsid w:val="001739C7"/>
    <w:rsid w:val="00173A21"/>
    <w:rsid w:val="00174163"/>
    <w:rsid w:val="00175226"/>
    <w:rsid w:val="00176AF0"/>
    <w:rsid w:val="00176EAB"/>
    <w:rsid w:val="00177262"/>
    <w:rsid w:val="0017778B"/>
    <w:rsid w:val="00177A6C"/>
    <w:rsid w:val="001809C8"/>
    <w:rsid w:val="001811AD"/>
    <w:rsid w:val="00181D34"/>
    <w:rsid w:val="00181E01"/>
    <w:rsid w:val="00182081"/>
    <w:rsid w:val="00182C94"/>
    <w:rsid w:val="001830E1"/>
    <w:rsid w:val="0018325A"/>
    <w:rsid w:val="00185543"/>
    <w:rsid w:val="00185F4C"/>
    <w:rsid w:val="0018654C"/>
    <w:rsid w:val="00186C7F"/>
    <w:rsid w:val="001870C0"/>
    <w:rsid w:val="00187A9F"/>
    <w:rsid w:val="001906FC"/>
    <w:rsid w:val="00190D2E"/>
    <w:rsid w:val="00191042"/>
    <w:rsid w:val="00191355"/>
    <w:rsid w:val="001913B5"/>
    <w:rsid w:val="00191982"/>
    <w:rsid w:val="00191C99"/>
    <w:rsid w:val="00192B04"/>
    <w:rsid w:val="00192D27"/>
    <w:rsid w:val="00192E54"/>
    <w:rsid w:val="0019367E"/>
    <w:rsid w:val="00194A31"/>
    <w:rsid w:val="00194A6B"/>
    <w:rsid w:val="00195074"/>
    <w:rsid w:val="00195C22"/>
    <w:rsid w:val="00195DD1"/>
    <w:rsid w:val="001969BC"/>
    <w:rsid w:val="001970A5"/>
    <w:rsid w:val="00197713"/>
    <w:rsid w:val="00197714"/>
    <w:rsid w:val="0019794B"/>
    <w:rsid w:val="001A06A0"/>
    <w:rsid w:val="001A1FA4"/>
    <w:rsid w:val="001A227B"/>
    <w:rsid w:val="001A244D"/>
    <w:rsid w:val="001A2D6A"/>
    <w:rsid w:val="001A3F53"/>
    <w:rsid w:val="001A40A6"/>
    <w:rsid w:val="001A461E"/>
    <w:rsid w:val="001A4F65"/>
    <w:rsid w:val="001A55E3"/>
    <w:rsid w:val="001A616B"/>
    <w:rsid w:val="001A6199"/>
    <w:rsid w:val="001B0AC6"/>
    <w:rsid w:val="001B0DA2"/>
    <w:rsid w:val="001B13FC"/>
    <w:rsid w:val="001B142E"/>
    <w:rsid w:val="001B2582"/>
    <w:rsid w:val="001B2F99"/>
    <w:rsid w:val="001B368F"/>
    <w:rsid w:val="001B3AD4"/>
    <w:rsid w:val="001B40F3"/>
    <w:rsid w:val="001B5322"/>
    <w:rsid w:val="001B7923"/>
    <w:rsid w:val="001B7D65"/>
    <w:rsid w:val="001C052C"/>
    <w:rsid w:val="001C0C21"/>
    <w:rsid w:val="001C14F5"/>
    <w:rsid w:val="001C1C61"/>
    <w:rsid w:val="001C253B"/>
    <w:rsid w:val="001C2C1F"/>
    <w:rsid w:val="001C3D8A"/>
    <w:rsid w:val="001C400D"/>
    <w:rsid w:val="001C4278"/>
    <w:rsid w:val="001C42B3"/>
    <w:rsid w:val="001C4A47"/>
    <w:rsid w:val="001C5CB6"/>
    <w:rsid w:val="001C5EAA"/>
    <w:rsid w:val="001C65D2"/>
    <w:rsid w:val="001C65ED"/>
    <w:rsid w:val="001C673C"/>
    <w:rsid w:val="001C6900"/>
    <w:rsid w:val="001C6E94"/>
    <w:rsid w:val="001C6FF3"/>
    <w:rsid w:val="001C746D"/>
    <w:rsid w:val="001C7504"/>
    <w:rsid w:val="001C76BA"/>
    <w:rsid w:val="001C77A9"/>
    <w:rsid w:val="001C7CE7"/>
    <w:rsid w:val="001C7D66"/>
    <w:rsid w:val="001D0E4D"/>
    <w:rsid w:val="001D116D"/>
    <w:rsid w:val="001D1662"/>
    <w:rsid w:val="001D1792"/>
    <w:rsid w:val="001D1C66"/>
    <w:rsid w:val="001D1F09"/>
    <w:rsid w:val="001D2451"/>
    <w:rsid w:val="001D282F"/>
    <w:rsid w:val="001D2C01"/>
    <w:rsid w:val="001D31E7"/>
    <w:rsid w:val="001D338A"/>
    <w:rsid w:val="001D3768"/>
    <w:rsid w:val="001D3A4D"/>
    <w:rsid w:val="001D4096"/>
    <w:rsid w:val="001D41EC"/>
    <w:rsid w:val="001D51C0"/>
    <w:rsid w:val="001D5620"/>
    <w:rsid w:val="001D5858"/>
    <w:rsid w:val="001D60A1"/>
    <w:rsid w:val="001D696B"/>
    <w:rsid w:val="001D69ED"/>
    <w:rsid w:val="001D73E5"/>
    <w:rsid w:val="001D752C"/>
    <w:rsid w:val="001D7700"/>
    <w:rsid w:val="001E0FAB"/>
    <w:rsid w:val="001E1279"/>
    <w:rsid w:val="001E1886"/>
    <w:rsid w:val="001E1F50"/>
    <w:rsid w:val="001E1FE1"/>
    <w:rsid w:val="001E2236"/>
    <w:rsid w:val="001E28C6"/>
    <w:rsid w:val="001E2E7F"/>
    <w:rsid w:val="001E2F95"/>
    <w:rsid w:val="001E3C2C"/>
    <w:rsid w:val="001E43EB"/>
    <w:rsid w:val="001E5301"/>
    <w:rsid w:val="001E5644"/>
    <w:rsid w:val="001E59EE"/>
    <w:rsid w:val="001E71C3"/>
    <w:rsid w:val="001E7422"/>
    <w:rsid w:val="001E78B8"/>
    <w:rsid w:val="001E7E59"/>
    <w:rsid w:val="001F076C"/>
    <w:rsid w:val="001F0879"/>
    <w:rsid w:val="001F0B2B"/>
    <w:rsid w:val="001F1062"/>
    <w:rsid w:val="001F199F"/>
    <w:rsid w:val="001F1B78"/>
    <w:rsid w:val="001F21B3"/>
    <w:rsid w:val="001F241E"/>
    <w:rsid w:val="001F2802"/>
    <w:rsid w:val="001F3F0E"/>
    <w:rsid w:val="001F4A3C"/>
    <w:rsid w:val="001F4F58"/>
    <w:rsid w:val="001F557A"/>
    <w:rsid w:val="001F5879"/>
    <w:rsid w:val="001F6768"/>
    <w:rsid w:val="001F6D6B"/>
    <w:rsid w:val="001F7D19"/>
    <w:rsid w:val="0020014B"/>
    <w:rsid w:val="00200409"/>
    <w:rsid w:val="00200512"/>
    <w:rsid w:val="00200CD8"/>
    <w:rsid w:val="00201B13"/>
    <w:rsid w:val="002020A3"/>
    <w:rsid w:val="00202347"/>
    <w:rsid w:val="00202ED9"/>
    <w:rsid w:val="00203161"/>
    <w:rsid w:val="0020335B"/>
    <w:rsid w:val="00204B62"/>
    <w:rsid w:val="0020512C"/>
    <w:rsid w:val="0020548E"/>
    <w:rsid w:val="00205BAA"/>
    <w:rsid w:val="00205D2A"/>
    <w:rsid w:val="00206FB0"/>
    <w:rsid w:val="0020725C"/>
    <w:rsid w:val="002072FB"/>
    <w:rsid w:val="00207AB4"/>
    <w:rsid w:val="00210625"/>
    <w:rsid w:val="00210627"/>
    <w:rsid w:val="00210B35"/>
    <w:rsid w:val="00210CFA"/>
    <w:rsid w:val="00210EF1"/>
    <w:rsid w:val="00211838"/>
    <w:rsid w:val="002119C2"/>
    <w:rsid w:val="00211D8A"/>
    <w:rsid w:val="002121A4"/>
    <w:rsid w:val="00212588"/>
    <w:rsid w:val="00213D14"/>
    <w:rsid w:val="00213F32"/>
    <w:rsid w:val="0021408E"/>
    <w:rsid w:val="002144DB"/>
    <w:rsid w:val="00214B44"/>
    <w:rsid w:val="00215B18"/>
    <w:rsid w:val="00215B48"/>
    <w:rsid w:val="00215B8D"/>
    <w:rsid w:val="00215BDA"/>
    <w:rsid w:val="00215E67"/>
    <w:rsid w:val="00216368"/>
    <w:rsid w:val="0021696D"/>
    <w:rsid w:val="00216E91"/>
    <w:rsid w:val="0021713E"/>
    <w:rsid w:val="00217AD0"/>
    <w:rsid w:val="00217E58"/>
    <w:rsid w:val="00220728"/>
    <w:rsid w:val="00220824"/>
    <w:rsid w:val="00221369"/>
    <w:rsid w:val="00221424"/>
    <w:rsid w:val="00221AA8"/>
    <w:rsid w:val="002220CE"/>
    <w:rsid w:val="00222CA3"/>
    <w:rsid w:val="00222FCB"/>
    <w:rsid w:val="002230AA"/>
    <w:rsid w:val="00223422"/>
    <w:rsid w:val="00223BAB"/>
    <w:rsid w:val="002252D5"/>
    <w:rsid w:val="00225A7E"/>
    <w:rsid w:val="00225B9D"/>
    <w:rsid w:val="00225CB3"/>
    <w:rsid w:val="00226456"/>
    <w:rsid w:val="00226DD7"/>
    <w:rsid w:val="00226F98"/>
    <w:rsid w:val="002273A7"/>
    <w:rsid w:val="0022755F"/>
    <w:rsid w:val="0022757E"/>
    <w:rsid w:val="00227B5C"/>
    <w:rsid w:val="00227D50"/>
    <w:rsid w:val="002307F7"/>
    <w:rsid w:val="00230818"/>
    <w:rsid w:val="00230F19"/>
    <w:rsid w:val="00231F80"/>
    <w:rsid w:val="00232C2C"/>
    <w:rsid w:val="00233294"/>
    <w:rsid w:val="002337A7"/>
    <w:rsid w:val="0023410D"/>
    <w:rsid w:val="00234853"/>
    <w:rsid w:val="0023514E"/>
    <w:rsid w:val="00235C94"/>
    <w:rsid w:val="00236213"/>
    <w:rsid w:val="002366B9"/>
    <w:rsid w:val="002370BF"/>
    <w:rsid w:val="002372EB"/>
    <w:rsid w:val="00237343"/>
    <w:rsid w:val="00237620"/>
    <w:rsid w:val="002377AF"/>
    <w:rsid w:val="00237E5F"/>
    <w:rsid w:val="00240432"/>
    <w:rsid w:val="00240F07"/>
    <w:rsid w:val="00240FE0"/>
    <w:rsid w:val="0024187A"/>
    <w:rsid w:val="00241C7F"/>
    <w:rsid w:val="002423DA"/>
    <w:rsid w:val="00242FF7"/>
    <w:rsid w:val="002433FA"/>
    <w:rsid w:val="00243D45"/>
    <w:rsid w:val="00243DF9"/>
    <w:rsid w:val="0024402C"/>
    <w:rsid w:val="002441B4"/>
    <w:rsid w:val="00244593"/>
    <w:rsid w:val="002445A5"/>
    <w:rsid w:val="002451E6"/>
    <w:rsid w:val="00246257"/>
    <w:rsid w:val="00246431"/>
    <w:rsid w:val="0024664C"/>
    <w:rsid w:val="00246686"/>
    <w:rsid w:val="00246F1B"/>
    <w:rsid w:val="00247441"/>
    <w:rsid w:val="00247D13"/>
    <w:rsid w:val="00250A16"/>
    <w:rsid w:val="00250B10"/>
    <w:rsid w:val="00250F91"/>
    <w:rsid w:val="00251613"/>
    <w:rsid w:val="002519A4"/>
    <w:rsid w:val="00252669"/>
    <w:rsid w:val="00252E21"/>
    <w:rsid w:val="00254488"/>
    <w:rsid w:val="00255326"/>
    <w:rsid w:val="00256102"/>
    <w:rsid w:val="00256618"/>
    <w:rsid w:val="0025664A"/>
    <w:rsid w:val="00256835"/>
    <w:rsid w:val="00256D17"/>
    <w:rsid w:val="002570E9"/>
    <w:rsid w:val="002571BF"/>
    <w:rsid w:val="00257748"/>
    <w:rsid w:val="002578F1"/>
    <w:rsid w:val="00257C22"/>
    <w:rsid w:val="0026020C"/>
    <w:rsid w:val="002608A7"/>
    <w:rsid w:val="00261C04"/>
    <w:rsid w:val="002630E3"/>
    <w:rsid w:val="00263815"/>
    <w:rsid w:val="0026399B"/>
    <w:rsid w:val="0026495B"/>
    <w:rsid w:val="002663E4"/>
    <w:rsid w:val="00267B1C"/>
    <w:rsid w:val="00267F78"/>
    <w:rsid w:val="00270434"/>
    <w:rsid w:val="00271163"/>
    <w:rsid w:val="00271583"/>
    <w:rsid w:val="00272055"/>
    <w:rsid w:val="002730C0"/>
    <w:rsid w:val="00273132"/>
    <w:rsid w:val="002737BE"/>
    <w:rsid w:val="002742EE"/>
    <w:rsid w:val="00274CFC"/>
    <w:rsid w:val="002756CC"/>
    <w:rsid w:val="002768BC"/>
    <w:rsid w:val="00277883"/>
    <w:rsid w:val="00277F36"/>
    <w:rsid w:val="0028034D"/>
    <w:rsid w:val="002805DA"/>
    <w:rsid w:val="0028087A"/>
    <w:rsid w:val="00281493"/>
    <w:rsid w:val="0028287E"/>
    <w:rsid w:val="00283523"/>
    <w:rsid w:val="002835D6"/>
    <w:rsid w:val="002843DF"/>
    <w:rsid w:val="00284893"/>
    <w:rsid w:val="00284C2E"/>
    <w:rsid w:val="00284DC0"/>
    <w:rsid w:val="00285507"/>
    <w:rsid w:val="002857E8"/>
    <w:rsid w:val="0028586D"/>
    <w:rsid w:val="00285DFC"/>
    <w:rsid w:val="0028615F"/>
    <w:rsid w:val="00286182"/>
    <w:rsid w:val="00286480"/>
    <w:rsid w:val="00286B11"/>
    <w:rsid w:val="00286EE9"/>
    <w:rsid w:val="0028700D"/>
    <w:rsid w:val="0028717A"/>
    <w:rsid w:val="002877BC"/>
    <w:rsid w:val="00287C5A"/>
    <w:rsid w:val="002911F9"/>
    <w:rsid w:val="0029137E"/>
    <w:rsid w:val="00292118"/>
    <w:rsid w:val="0029226D"/>
    <w:rsid w:val="002923B3"/>
    <w:rsid w:val="00292537"/>
    <w:rsid w:val="0029359A"/>
    <w:rsid w:val="0029368C"/>
    <w:rsid w:val="00293FF7"/>
    <w:rsid w:val="00294D95"/>
    <w:rsid w:val="00294DF0"/>
    <w:rsid w:val="002952B6"/>
    <w:rsid w:val="00295593"/>
    <w:rsid w:val="00296047"/>
    <w:rsid w:val="002962ED"/>
    <w:rsid w:val="00296C83"/>
    <w:rsid w:val="00296F7E"/>
    <w:rsid w:val="00297396"/>
    <w:rsid w:val="00297428"/>
    <w:rsid w:val="002975D2"/>
    <w:rsid w:val="002A0684"/>
    <w:rsid w:val="002A071B"/>
    <w:rsid w:val="002A0B7F"/>
    <w:rsid w:val="002A1784"/>
    <w:rsid w:val="002A1E3A"/>
    <w:rsid w:val="002A1F09"/>
    <w:rsid w:val="002A25C5"/>
    <w:rsid w:val="002A2EF5"/>
    <w:rsid w:val="002A3AC4"/>
    <w:rsid w:val="002A3C1E"/>
    <w:rsid w:val="002A3D60"/>
    <w:rsid w:val="002A3FC7"/>
    <w:rsid w:val="002A4522"/>
    <w:rsid w:val="002A4787"/>
    <w:rsid w:val="002A49DA"/>
    <w:rsid w:val="002A4A98"/>
    <w:rsid w:val="002A549D"/>
    <w:rsid w:val="002A57D1"/>
    <w:rsid w:val="002A586A"/>
    <w:rsid w:val="002A65FA"/>
    <w:rsid w:val="002B08F2"/>
    <w:rsid w:val="002B0DA9"/>
    <w:rsid w:val="002B1236"/>
    <w:rsid w:val="002B197F"/>
    <w:rsid w:val="002B1AFF"/>
    <w:rsid w:val="002B2F03"/>
    <w:rsid w:val="002B347F"/>
    <w:rsid w:val="002B3628"/>
    <w:rsid w:val="002B3CD2"/>
    <w:rsid w:val="002B46B9"/>
    <w:rsid w:val="002B4A50"/>
    <w:rsid w:val="002B54C5"/>
    <w:rsid w:val="002B5805"/>
    <w:rsid w:val="002B6DE2"/>
    <w:rsid w:val="002B798F"/>
    <w:rsid w:val="002C0D73"/>
    <w:rsid w:val="002C1090"/>
    <w:rsid w:val="002C1305"/>
    <w:rsid w:val="002C13A6"/>
    <w:rsid w:val="002C1C24"/>
    <w:rsid w:val="002C2028"/>
    <w:rsid w:val="002C229B"/>
    <w:rsid w:val="002C229E"/>
    <w:rsid w:val="002C22B4"/>
    <w:rsid w:val="002C242A"/>
    <w:rsid w:val="002C2D13"/>
    <w:rsid w:val="002C3058"/>
    <w:rsid w:val="002C30A8"/>
    <w:rsid w:val="002C3146"/>
    <w:rsid w:val="002C323F"/>
    <w:rsid w:val="002C32B5"/>
    <w:rsid w:val="002C36C1"/>
    <w:rsid w:val="002C385A"/>
    <w:rsid w:val="002C3D2E"/>
    <w:rsid w:val="002C467D"/>
    <w:rsid w:val="002C480F"/>
    <w:rsid w:val="002C4B22"/>
    <w:rsid w:val="002C4C9F"/>
    <w:rsid w:val="002C5E56"/>
    <w:rsid w:val="002C61CF"/>
    <w:rsid w:val="002C648D"/>
    <w:rsid w:val="002C65DB"/>
    <w:rsid w:val="002C6845"/>
    <w:rsid w:val="002C742D"/>
    <w:rsid w:val="002C7724"/>
    <w:rsid w:val="002C7AE5"/>
    <w:rsid w:val="002C7EFE"/>
    <w:rsid w:val="002D0C0F"/>
    <w:rsid w:val="002D172F"/>
    <w:rsid w:val="002D2E29"/>
    <w:rsid w:val="002D3865"/>
    <w:rsid w:val="002D41BB"/>
    <w:rsid w:val="002D4BA7"/>
    <w:rsid w:val="002D4C02"/>
    <w:rsid w:val="002D4CBA"/>
    <w:rsid w:val="002D4FBA"/>
    <w:rsid w:val="002D57D7"/>
    <w:rsid w:val="002D586E"/>
    <w:rsid w:val="002D5DA3"/>
    <w:rsid w:val="002D60F5"/>
    <w:rsid w:val="002D6D0A"/>
    <w:rsid w:val="002D7714"/>
    <w:rsid w:val="002E0833"/>
    <w:rsid w:val="002E0D73"/>
    <w:rsid w:val="002E11AB"/>
    <w:rsid w:val="002E19DA"/>
    <w:rsid w:val="002E1BA0"/>
    <w:rsid w:val="002E29B6"/>
    <w:rsid w:val="002E2E4C"/>
    <w:rsid w:val="002E3001"/>
    <w:rsid w:val="002E3285"/>
    <w:rsid w:val="002E3A7C"/>
    <w:rsid w:val="002E3F97"/>
    <w:rsid w:val="002E4B65"/>
    <w:rsid w:val="002E4BBE"/>
    <w:rsid w:val="002E4E80"/>
    <w:rsid w:val="002E5545"/>
    <w:rsid w:val="002E57A3"/>
    <w:rsid w:val="002E58B7"/>
    <w:rsid w:val="002E5DD2"/>
    <w:rsid w:val="002E6D14"/>
    <w:rsid w:val="002E6D31"/>
    <w:rsid w:val="002E7508"/>
    <w:rsid w:val="002E7D1A"/>
    <w:rsid w:val="002F0279"/>
    <w:rsid w:val="002F0C40"/>
    <w:rsid w:val="002F0E86"/>
    <w:rsid w:val="002F126A"/>
    <w:rsid w:val="002F21EC"/>
    <w:rsid w:val="002F22DB"/>
    <w:rsid w:val="002F2ADF"/>
    <w:rsid w:val="002F2C1D"/>
    <w:rsid w:val="002F46C6"/>
    <w:rsid w:val="002F4C56"/>
    <w:rsid w:val="002F5360"/>
    <w:rsid w:val="002F540D"/>
    <w:rsid w:val="002F548F"/>
    <w:rsid w:val="002F5908"/>
    <w:rsid w:val="002F5EAE"/>
    <w:rsid w:val="002F7477"/>
    <w:rsid w:val="0030028F"/>
    <w:rsid w:val="0030042D"/>
    <w:rsid w:val="00300AE0"/>
    <w:rsid w:val="00300BA7"/>
    <w:rsid w:val="00301130"/>
    <w:rsid w:val="0030170B"/>
    <w:rsid w:val="00301DA4"/>
    <w:rsid w:val="003029FD"/>
    <w:rsid w:val="00302AC6"/>
    <w:rsid w:val="00302B41"/>
    <w:rsid w:val="00302F38"/>
    <w:rsid w:val="00303312"/>
    <w:rsid w:val="00303457"/>
    <w:rsid w:val="00304176"/>
    <w:rsid w:val="00304502"/>
    <w:rsid w:val="00304F34"/>
    <w:rsid w:val="0030614F"/>
    <w:rsid w:val="00306B61"/>
    <w:rsid w:val="00307424"/>
    <w:rsid w:val="00307C38"/>
    <w:rsid w:val="0031049E"/>
    <w:rsid w:val="003105CE"/>
    <w:rsid w:val="00310800"/>
    <w:rsid w:val="00310BB8"/>
    <w:rsid w:val="00310E07"/>
    <w:rsid w:val="00310F20"/>
    <w:rsid w:val="00311698"/>
    <w:rsid w:val="003118C6"/>
    <w:rsid w:val="00312201"/>
    <w:rsid w:val="00313A77"/>
    <w:rsid w:val="00313D86"/>
    <w:rsid w:val="00315012"/>
    <w:rsid w:val="00315AC8"/>
    <w:rsid w:val="00315D85"/>
    <w:rsid w:val="003169FB"/>
    <w:rsid w:val="00316AB4"/>
    <w:rsid w:val="00316E6B"/>
    <w:rsid w:val="00317211"/>
    <w:rsid w:val="0031727D"/>
    <w:rsid w:val="00317660"/>
    <w:rsid w:val="003176AF"/>
    <w:rsid w:val="00321C58"/>
    <w:rsid w:val="0032266D"/>
    <w:rsid w:val="003227F0"/>
    <w:rsid w:val="00323296"/>
    <w:rsid w:val="00323375"/>
    <w:rsid w:val="003236D8"/>
    <w:rsid w:val="00323BA4"/>
    <w:rsid w:val="003244AA"/>
    <w:rsid w:val="003245CF"/>
    <w:rsid w:val="003252D0"/>
    <w:rsid w:val="00325447"/>
    <w:rsid w:val="00325911"/>
    <w:rsid w:val="00325CDF"/>
    <w:rsid w:val="00325DFD"/>
    <w:rsid w:val="00325FB1"/>
    <w:rsid w:val="00325FBD"/>
    <w:rsid w:val="00327179"/>
    <w:rsid w:val="00330E84"/>
    <w:rsid w:val="00331C6A"/>
    <w:rsid w:val="00331FB7"/>
    <w:rsid w:val="003323A5"/>
    <w:rsid w:val="003330E2"/>
    <w:rsid w:val="0033492A"/>
    <w:rsid w:val="0033495E"/>
    <w:rsid w:val="0033505A"/>
    <w:rsid w:val="0033563A"/>
    <w:rsid w:val="00335640"/>
    <w:rsid w:val="0033589F"/>
    <w:rsid w:val="00336966"/>
    <w:rsid w:val="00336C5B"/>
    <w:rsid w:val="0033795F"/>
    <w:rsid w:val="00340A50"/>
    <w:rsid w:val="00341691"/>
    <w:rsid w:val="00341902"/>
    <w:rsid w:val="00341EA1"/>
    <w:rsid w:val="00342185"/>
    <w:rsid w:val="00342BE6"/>
    <w:rsid w:val="00342D8D"/>
    <w:rsid w:val="003430D4"/>
    <w:rsid w:val="003435B0"/>
    <w:rsid w:val="00343DDA"/>
    <w:rsid w:val="003442C0"/>
    <w:rsid w:val="0034439A"/>
    <w:rsid w:val="00344F98"/>
    <w:rsid w:val="003452C2"/>
    <w:rsid w:val="003453A8"/>
    <w:rsid w:val="0034540C"/>
    <w:rsid w:val="00345A0C"/>
    <w:rsid w:val="003467BE"/>
    <w:rsid w:val="00346B83"/>
    <w:rsid w:val="003474BD"/>
    <w:rsid w:val="00351691"/>
    <w:rsid w:val="00351DD6"/>
    <w:rsid w:val="00352CD1"/>
    <w:rsid w:val="003532F3"/>
    <w:rsid w:val="003559E6"/>
    <w:rsid w:val="00355E7D"/>
    <w:rsid w:val="003560D9"/>
    <w:rsid w:val="00356245"/>
    <w:rsid w:val="003568E8"/>
    <w:rsid w:val="00356F6A"/>
    <w:rsid w:val="003572F5"/>
    <w:rsid w:val="003577BA"/>
    <w:rsid w:val="00357B5E"/>
    <w:rsid w:val="00360D05"/>
    <w:rsid w:val="0036137E"/>
    <w:rsid w:val="003614E4"/>
    <w:rsid w:val="00362422"/>
    <w:rsid w:val="00362734"/>
    <w:rsid w:val="00362764"/>
    <w:rsid w:val="00362969"/>
    <w:rsid w:val="00362E8D"/>
    <w:rsid w:val="00363368"/>
    <w:rsid w:val="003636AB"/>
    <w:rsid w:val="00363E6F"/>
    <w:rsid w:val="00365847"/>
    <w:rsid w:val="00365E42"/>
    <w:rsid w:val="00366660"/>
    <w:rsid w:val="00366683"/>
    <w:rsid w:val="00366A5D"/>
    <w:rsid w:val="0036732D"/>
    <w:rsid w:val="003705A5"/>
    <w:rsid w:val="003710FE"/>
    <w:rsid w:val="00371702"/>
    <w:rsid w:val="003725E2"/>
    <w:rsid w:val="00372A49"/>
    <w:rsid w:val="00372C06"/>
    <w:rsid w:val="00373BA8"/>
    <w:rsid w:val="00374E00"/>
    <w:rsid w:val="0037673A"/>
    <w:rsid w:val="00376A66"/>
    <w:rsid w:val="003774B7"/>
    <w:rsid w:val="00377D98"/>
    <w:rsid w:val="00377DD1"/>
    <w:rsid w:val="00380342"/>
    <w:rsid w:val="00380A6C"/>
    <w:rsid w:val="00382074"/>
    <w:rsid w:val="00382294"/>
    <w:rsid w:val="003834AE"/>
    <w:rsid w:val="003842A0"/>
    <w:rsid w:val="003844D8"/>
    <w:rsid w:val="0038499B"/>
    <w:rsid w:val="00384EE7"/>
    <w:rsid w:val="0038532D"/>
    <w:rsid w:val="00385501"/>
    <w:rsid w:val="003859A2"/>
    <w:rsid w:val="00385A76"/>
    <w:rsid w:val="00385FFE"/>
    <w:rsid w:val="00386472"/>
    <w:rsid w:val="00386BE0"/>
    <w:rsid w:val="003873D4"/>
    <w:rsid w:val="003879AC"/>
    <w:rsid w:val="00387A40"/>
    <w:rsid w:val="00387A94"/>
    <w:rsid w:val="003901DE"/>
    <w:rsid w:val="003901EC"/>
    <w:rsid w:val="003903F0"/>
    <w:rsid w:val="00391AEF"/>
    <w:rsid w:val="003930FD"/>
    <w:rsid w:val="0039352C"/>
    <w:rsid w:val="003935CC"/>
    <w:rsid w:val="003944C7"/>
    <w:rsid w:val="00394A54"/>
    <w:rsid w:val="0039561D"/>
    <w:rsid w:val="00396426"/>
    <w:rsid w:val="00396919"/>
    <w:rsid w:val="003977F7"/>
    <w:rsid w:val="003A0868"/>
    <w:rsid w:val="003A0F8A"/>
    <w:rsid w:val="003A1514"/>
    <w:rsid w:val="003A26CE"/>
    <w:rsid w:val="003A2ADF"/>
    <w:rsid w:val="003A41EC"/>
    <w:rsid w:val="003A4417"/>
    <w:rsid w:val="003A447F"/>
    <w:rsid w:val="003A51F9"/>
    <w:rsid w:val="003A5442"/>
    <w:rsid w:val="003A5A01"/>
    <w:rsid w:val="003A6205"/>
    <w:rsid w:val="003A6929"/>
    <w:rsid w:val="003A7179"/>
    <w:rsid w:val="003A720A"/>
    <w:rsid w:val="003B01BC"/>
    <w:rsid w:val="003B0331"/>
    <w:rsid w:val="003B0C87"/>
    <w:rsid w:val="003B0DB6"/>
    <w:rsid w:val="003B195A"/>
    <w:rsid w:val="003B1E89"/>
    <w:rsid w:val="003B1EAE"/>
    <w:rsid w:val="003B226C"/>
    <w:rsid w:val="003B22F1"/>
    <w:rsid w:val="003B2336"/>
    <w:rsid w:val="003B2654"/>
    <w:rsid w:val="003B3B54"/>
    <w:rsid w:val="003B3E8B"/>
    <w:rsid w:val="003B41AF"/>
    <w:rsid w:val="003B43B9"/>
    <w:rsid w:val="003B469B"/>
    <w:rsid w:val="003B4D78"/>
    <w:rsid w:val="003B56F6"/>
    <w:rsid w:val="003B62CB"/>
    <w:rsid w:val="003B6472"/>
    <w:rsid w:val="003B6B31"/>
    <w:rsid w:val="003B6BDB"/>
    <w:rsid w:val="003B710E"/>
    <w:rsid w:val="003B79E5"/>
    <w:rsid w:val="003C06DA"/>
    <w:rsid w:val="003C07BD"/>
    <w:rsid w:val="003C0AF7"/>
    <w:rsid w:val="003C250D"/>
    <w:rsid w:val="003C2D71"/>
    <w:rsid w:val="003C4D58"/>
    <w:rsid w:val="003C5268"/>
    <w:rsid w:val="003C5356"/>
    <w:rsid w:val="003C5614"/>
    <w:rsid w:val="003C679A"/>
    <w:rsid w:val="003C7532"/>
    <w:rsid w:val="003D019B"/>
    <w:rsid w:val="003D1768"/>
    <w:rsid w:val="003D17B0"/>
    <w:rsid w:val="003D19D5"/>
    <w:rsid w:val="003D1B31"/>
    <w:rsid w:val="003D2D43"/>
    <w:rsid w:val="003D3369"/>
    <w:rsid w:val="003D38C9"/>
    <w:rsid w:val="003D3BC8"/>
    <w:rsid w:val="003D3D06"/>
    <w:rsid w:val="003D4344"/>
    <w:rsid w:val="003D4425"/>
    <w:rsid w:val="003D47B9"/>
    <w:rsid w:val="003D49C4"/>
    <w:rsid w:val="003D4D23"/>
    <w:rsid w:val="003D4F08"/>
    <w:rsid w:val="003D610C"/>
    <w:rsid w:val="003D635B"/>
    <w:rsid w:val="003D6800"/>
    <w:rsid w:val="003E044E"/>
    <w:rsid w:val="003E05C8"/>
    <w:rsid w:val="003E0FC0"/>
    <w:rsid w:val="003E14B6"/>
    <w:rsid w:val="003E1DB6"/>
    <w:rsid w:val="003E267A"/>
    <w:rsid w:val="003E273E"/>
    <w:rsid w:val="003E2AE9"/>
    <w:rsid w:val="003E3BB6"/>
    <w:rsid w:val="003E3E36"/>
    <w:rsid w:val="003E4025"/>
    <w:rsid w:val="003E4A66"/>
    <w:rsid w:val="003E4F0B"/>
    <w:rsid w:val="003E62EA"/>
    <w:rsid w:val="003E6765"/>
    <w:rsid w:val="003E7160"/>
    <w:rsid w:val="003E7EB7"/>
    <w:rsid w:val="003F0164"/>
    <w:rsid w:val="003F079D"/>
    <w:rsid w:val="003F1C2F"/>
    <w:rsid w:val="003F1C47"/>
    <w:rsid w:val="003F4D39"/>
    <w:rsid w:val="003F6264"/>
    <w:rsid w:val="003F69E6"/>
    <w:rsid w:val="003F6E2B"/>
    <w:rsid w:val="003F6EFA"/>
    <w:rsid w:val="003F7117"/>
    <w:rsid w:val="003F7471"/>
    <w:rsid w:val="003F74D9"/>
    <w:rsid w:val="003F7861"/>
    <w:rsid w:val="003F7F44"/>
    <w:rsid w:val="00400B81"/>
    <w:rsid w:val="00401335"/>
    <w:rsid w:val="00401A07"/>
    <w:rsid w:val="00401A70"/>
    <w:rsid w:val="0040203D"/>
    <w:rsid w:val="00402784"/>
    <w:rsid w:val="0040343A"/>
    <w:rsid w:val="00404448"/>
    <w:rsid w:val="004049B6"/>
    <w:rsid w:val="00404C1C"/>
    <w:rsid w:val="0040548D"/>
    <w:rsid w:val="004057CA"/>
    <w:rsid w:val="00405D83"/>
    <w:rsid w:val="004065F0"/>
    <w:rsid w:val="00406F1A"/>
    <w:rsid w:val="0040715E"/>
    <w:rsid w:val="004079ED"/>
    <w:rsid w:val="00410098"/>
    <w:rsid w:val="004111CC"/>
    <w:rsid w:val="00411B50"/>
    <w:rsid w:val="00411EA0"/>
    <w:rsid w:val="00411FC1"/>
    <w:rsid w:val="004124E4"/>
    <w:rsid w:val="00413554"/>
    <w:rsid w:val="004142F2"/>
    <w:rsid w:val="00414CC2"/>
    <w:rsid w:val="00416278"/>
    <w:rsid w:val="0041695C"/>
    <w:rsid w:val="0041711B"/>
    <w:rsid w:val="0041789F"/>
    <w:rsid w:val="00417B0E"/>
    <w:rsid w:val="00417B8E"/>
    <w:rsid w:val="00420288"/>
    <w:rsid w:val="004208C1"/>
    <w:rsid w:val="00420CC3"/>
    <w:rsid w:val="00421543"/>
    <w:rsid w:val="00421C2C"/>
    <w:rsid w:val="004222A4"/>
    <w:rsid w:val="0042253C"/>
    <w:rsid w:val="00422B5F"/>
    <w:rsid w:val="004244D0"/>
    <w:rsid w:val="004245A1"/>
    <w:rsid w:val="00425485"/>
    <w:rsid w:val="00427604"/>
    <w:rsid w:val="00427AE4"/>
    <w:rsid w:val="00430733"/>
    <w:rsid w:val="00430814"/>
    <w:rsid w:val="00430988"/>
    <w:rsid w:val="00430AEF"/>
    <w:rsid w:val="00430C6C"/>
    <w:rsid w:val="004313BD"/>
    <w:rsid w:val="00431DE1"/>
    <w:rsid w:val="00432364"/>
    <w:rsid w:val="00432FD4"/>
    <w:rsid w:val="004336A5"/>
    <w:rsid w:val="00433DD2"/>
    <w:rsid w:val="00434299"/>
    <w:rsid w:val="004344A7"/>
    <w:rsid w:val="00434E96"/>
    <w:rsid w:val="0043540F"/>
    <w:rsid w:val="004355D6"/>
    <w:rsid w:val="00435BE5"/>
    <w:rsid w:val="00435FE7"/>
    <w:rsid w:val="004372F6"/>
    <w:rsid w:val="0043789B"/>
    <w:rsid w:val="00437E41"/>
    <w:rsid w:val="00440296"/>
    <w:rsid w:val="00440483"/>
    <w:rsid w:val="00440C2D"/>
    <w:rsid w:val="00441398"/>
    <w:rsid w:val="00441F70"/>
    <w:rsid w:val="00442572"/>
    <w:rsid w:val="0044344A"/>
    <w:rsid w:val="004439A6"/>
    <w:rsid w:val="00444DFA"/>
    <w:rsid w:val="004450B0"/>
    <w:rsid w:val="00445B8B"/>
    <w:rsid w:val="0044605A"/>
    <w:rsid w:val="004461DE"/>
    <w:rsid w:val="00446231"/>
    <w:rsid w:val="004469C8"/>
    <w:rsid w:val="00446B53"/>
    <w:rsid w:val="0044757B"/>
    <w:rsid w:val="004477C7"/>
    <w:rsid w:val="004479F9"/>
    <w:rsid w:val="00450E5B"/>
    <w:rsid w:val="00451218"/>
    <w:rsid w:val="00451477"/>
    <w:rsid w:val="00451503"/>
    <w:rsid w:val="00452494"/>
    <w:rsid w:val="00452716"/>
    <w:rsid w:val="00452B6F"/>
    <w:rsid w:val="00453048"/>
    <w:rsid w:val="004530A9"/>
    <w:rsid w:val="004535CB"/>
    <w:rsid w:val="0045393A"/>
    <w:rsid w:val="00453E99"/>
    <w:rsid w:val="00455B53"/>
    <w:rsid w:val="0045607E"/>
    <w:rsid w:val="004567C5"/>
    <w:rsid w:val="00457130"/>
    <w:rsid w:val="00457465"/>
    <w:rsid w:val="00457D2C"/>
    <w:rsid w:val="00457FDF"/>
    <w:rsid w:val="004605A0"/>
    <w:rsid w:val="00460CA9"/>
    <w:rsid w:val="00461273"/>
    <w:rsid w:val="00461643"/>
    <w:rsid w:val="00461B9E"/>
    <w:rsid w:val="0046350B"/>
    <w:rsid w:val="00463F7D"/>
    <w:rsid w:val="004641DA"/>
    <w:rsid w:val="004641F3"/>
    <w:rsid w:val="00464203"/>
    <w:rsid w:val="004646FE"/>
    <w:rsid w:val="00465799"/>
    <w:rsid w:val="00466865"/>
    <w:rsid w:val="00467395"/>
    <w:rsid w:val="004674D1"/>
    <w:rsid w:val="00467726"/>
    <w:rsid w:val="0047068A"/>
    <w:rsid w:val="00474744"/>
    <w:rsid w:val="00474E33"/>
    <w:rsid w:val="00475546"/>
    <w:rsid w:val="0047558F"/>
    <w:rsid w:val="0047750E"/>
    <w:rsid w:val="00477587"/>
    <w:rsid w:val="004807FF"/>
    <w:rsid w:val="00480987"/>
    <w:rsid w:val="00480A0D"/>
    <w:rsid w:val="00480B58"/>
    <w:rsid w:val="00481461"/>
    <w:rsid w:val="0048260C"/>
    <w:rsid w:val="00482697"/>
    <w:rsid w:val="00482B28"/>
    <w:rsid w:val="0048330E"/>
    <w:rsid w:val="00483554"/>
    <w:rsid w:val="00483F34"/>
    <w:rsid w:val="00484089"/>
    <w:rsid w:val="0048433D"/>
    <w:rsid w:val="00484CF2"/>
    <w:rsid w:val="00484DBF"/>
    <w:rsid w:val="0048519F"/>
    <w:rsid w:val="0048536E"/>
    <w:rsid w:val="004854ED"/>
    <w:rsid w:val="00485650"/>
    <w:rsid w:val="0048655F"/>
    <w:rsid w:val="00486738"/>
    <w:rsid w:val="00486A39"/>
    <w:rsid w:val="00487446"/>
    <w:rsid w:val="00487BFC"/>
    <w:rsid w:val="00487DB7"/>
    <w:rsid w:val="00490581"/>
    <w:rsid w:val="004913D4"/>
    <w:rsid w:val="00493470"/>
    <w:rsid w:val="00493869"/>
    <w:rsid w:val="00494411"/>
    <w:rsid w:val="004955C6"/>
    <w:rsid w:val="0049581C"/>
    <w:rsid w:val="00495820"/>
    <w:rsid w:val="00495F46"/>
    <w:rsid w:val="00496E0D"/>
    <w:rsid w:val="00496EF0"/>
    <w:rsid w:val="0049763D"/>
    <w:rsid w:val="00497641"/>
    <w:rsid w:val="004A0016"/>
    <w:rsid w:val="004A0049"/>
    <w:rsid w:val="004A025C"/>
    <w:rsid w:val="004A09FA"/>
    <w:rsid w:val="004A0D46"/>
    <w:rsid w:val="004A0FF9"/>
    <w:rsid w:val="004A1B09"/>
    <w:rsid w:val="004A1BDB"/>
    <w:rsid w:val="004A1F1B"/>
    <w:rsid w:val="004A1FE5"/>
    <w:rsid w:val="004A2CF9"/>
    <w:rsid w:val="004A303B"/>
    <w:rsid w:val="004A3589"/>
    <w:rsid w:val="004A4BE4"/>
    <w:rsid w:val="004A5497"/>
    <w:rsid w:val="004A621A"/>
    <w:rsid w:val="004A62FD"/>
    <w:rsid w:val="004A633C"/>
    <w:rsid w:val="004A6E96"/>
    <w:rsid w:val="004A7070"/>
    <w:rsid w:val="004A7D6C"/>
    <w:rsid w:val="004B09EB"/>
    <w:rsid w:val="004B0D56"/>
    <w:rsid w:val="004B18A2"/>
    <w:rsid w:val="004B196A"/>
    <w:rsid w:val="004B2025"/>
    <w:rsid w:val="004B2B9F"/>
    <w:rsid w:val="004B51C4"/>
    <w:rsid w:val="004B6BB3"/>
    <w:rsid w:val="004B7F5E"/>
    <w:rsid w:val="004C01F9"/>
    <w:rsid w:val="004C0B7D"/>
    <w:rsid w:val="004C0C29"/>
    <w:rsid w:val="004C11C3"/>
    <w:rsid w:val="004C1C19"/>
    <w:rsid w:val="004C23C3"/>
    <w:rsid w:val="004C3366"/>
    <w:rsid w:val="004C4DF5"/>
    <w:rsid w:val="004C56AE"/>
    <w:rsid w:val="004C56FE"/>
    <w:rsid w:val="004C6066"/>
    <w:rsid w:val="004C67EF"/>
    <w:rsid w:val="004C7284"/>
    <w:rsid w:val="004D02DC"/>
    <w:rsid w:val="004D1916"/>
    <w:rsid w:val="004D2812"/>
    <w:rsid w:val="004D4E8E"/>
    <w:rsid w:val="004D70C5"/>
    <w:rsid w:val="004D7E38"/>
    <w:rsid w:val="004D7FA6"/>
    <w:rsid w:val="004E046E"/>
    <w:rsid w:val="004E0B22"/>
    <w:rsid w:val="004E100E"/>
    <w:rsid w:val="004E1D77"/>
    <w:rsid w:val="004E1EB9"/>
    <w:rsid w:val="004E20BA"/>
    <w:rsid w:val="004E2B64"/>
    <w:rsid w:val="004E3130"/>
    <w:rsid w:val="004E31F7"/>
    <w:rsid w:val="004E3398"/>
    <w:rsid w:val="004E33B1"/>
    <w:rsid w:val="004E38E7"/>
    <w:rsid w:val="004E3B1F"/>
    <w:rsid w:val="004E3D0B"/>
    <w:rsid w:val="004E42F1"/>
    <w:rsid w:val="004E4655"/>
    <w:rsid w:val="004E4AAA"/>
    <w:rsid w:val="004E4B72"/>
    <w:rsid w:val="004E4C45"/>
    <w:rsid w:val="004E5672"/>
    <w:rsid w:val="004E5710"/>
    <w:rsid w:val="004E621F"/>
    <w:rsid w:val="004E67CE"/>
    <w:rsid w:val="004E6CF0"/>
    <w:rsid w:val="004E73AB"/>
    <w:rsid w:val="004E7505"/>
    <w:rsid w:val="004E794F"/>
    <w:rsid w:val="004E7EC3"/>
    <w:rsid w:val="004F0083"/>
    <w:rsid w:val="004F01B8"/>
    <w:rsid w:val="004F09C1"/>
    <w:rsid w:val="004F1B86"/>
    <w:rsid w:val="004F1C8E"/>
    <w:rsid w:val="004F215C"/>
    <w:rsid w:val="004F245B"/>
    <w:rsid w:val="004F25EA"/>
    <w:rsid w:val="004F30DC"/>
    <w:rsid w:val="004F3A1D"/>
    <w:rsid w:val="004F3E63"/>
    <w:rsid w:val="004F413F"/>
    <w:rsid w:val="004F4A6B"/>
    <w:rsid w:val="004F5258"/>
    <w:rsid w:val="004F551E"/>
    <w:rsid w:val="004F55DA"/>
    <w:rsid w:val="004F5624"/>
    <w:rsid w:val="004F573D"/>
    <w:rsid w:val="004F5782"/>
    <w:rsid w:val="004F5811"/>
    <w:rsid w:val="004F5BD5"/>
    <w:rsid w:val="004F61F7"/>
    <w:rsid w:val="004F637C"/>
    <w:rsid w:val="004F642C"/>
    <w:rsid w:val="004F6809"/>
    <w:rsid w:val="004F698F"/>
    <w:rsid w:val="004F734F"/>
    <w:rsid w:val="004F75CF"/>
    <w:rsid w:val="004F77A1"/>
    <w:rsid w:val="004F77F7"/>
    <w:rsid w:val="004F7DA6"/>
    <w:rsid w:val="005000F1"/>
    <w:rsid w:val="00500304"/>
    <w:rsid w:val="00500E23"/>
    <w:rsid w:val="005010E4"/>
    <w:rsid w:val="0050129F"/>
    <w:rsid w:val="00501D04"/>
    <w:rsid w:val="0050206D"/>
    <w:rsid w:val="0050289E"/>
    <w:rsid w:val="005030A9"/>
    <w:rsid w:val="005031F8"/>
    <w:rsid w:val="0050336D"/>
    <w:rsid w:val="00503463"/>
    <w:rsid w:val="0050362E"/>
    <w:rsid w:val="005037C2"/>
    <w:rsid w:val="005039DE"/>
    <w:rsid w:val="00503E6F"/>
    <w:rsid w:val="00504B36"/>
    <w:rsid w:val="00504C73"/>
    <w:rsid w:val="00504D99"/>
    <w:rsid w:val="00505265"/>
    <w:rsid w:val="00505FBD"/>
    <w:rsid w:val="00506C96"/>
    <w:rsid w:val="00506EE0"/>
    <w:rsid w:val="005072DE"/>
    <w:rsid w:val="00507604"/>
    <w:rsid w:val="00507AD1"/>
    <w:rsid w:val="00510472"/>
    <w:rsid w:val="0051059C"/>
    <w:rsid w:val="00510968"/>
    <w:rsid w:val="00510BD1"/>
    <w:rsid w:val="00510CED"/>
    <w:rsid w:val="00511386"/>
    <w:rsid w:val="00511957"/>
    <w:rsid w:val="00511F3F"/>
    <w:rsid w:val="00512F53"/>
    <w:rsid w:val="0051362C"/>
    <w:rsid w:val="00513EAE"/>
    <w:rsid w:val="005145FD"/>
    <w:rsid w:val="00514979"/>
    <w:rsid w:val="00514D10"/>
    <w:rsid w:val="005152F4"/>
    <w:rsid w:val="005157D2"/>
    <w:rsid w:val="00515D9D"/>
    <w:rsid w:val="005161F0"/>
    <w:rsid w:val="00517014"/>
    <w:rsid w:val="00520709"/>
    <w:rsid w:val="005222B4"/>
    <w:rsid w:val="005227EC"/>
    <w:rsid w:val="00522CDA"/>
    <w:rsid w:val="00523216"/>
    <w:rsid w:val="00523A7B"/>
    <w:rsid w:val="00523B20"/>
    <w:rsid w:val="00523F96"/>
    <w:rsid w:val="00524245"/>
    <w:rsid w:val="00524AB0"/>
    <w:rsid w:val="00524C56"/>
    <w:rsid w:val="00524C65"/>
    <w:rsid w:val="00525B1C"/>
    <w:rsid w:val="00525C0A"/>
    <w:rsid w:val="00526030"/>
    <w:rsid w:val="00526315"/>
    <w:rsid w:val="0052657D"/>
    <w:rsid w:val="00526B35"/>
    <w:rsid w:val="005271EF"/>
    <w:rsid w:val="0053034C"/>
    <w:rsid w:val="0053080E"/>
    <w:rsid w:val="00530F6A"/>
    <w:rsid w:val="005315C8"/>
    <w:rsid w:val="0053199A"/>
    <w:rsid w:val="00531E86"/>
    <w:rsid w:val="00532730"/>
    <w:rsid w:val="00532D8A"/>
    <w:rsid w:val="0053351D"/>
    <w:rsid w:val="00533739"/>
    <w:rsid w:val="005337D4"/>
    <w:rsid w:val="00533A98"/>
    <w:rsid w:val="00533ECE"/>
    <w:rsid w:val="0053445D"/>
    <w:rsid w:val="00534A61"/>
    <w:rsid w:val="00534DA1"/>
    <w:rsid w:val="0053528F"/>
    <w:rsid w:val="0053614A"/>
    <w:rsid w:val="005364D3"/>
    <w:rsid w:val="005364F3"/>
    <w:rsid w:val="0053719B"/>
    <w:rsid w:val="005376A8"/>
    <w:rsid w:val="00537A13"/>
    <w:rsid w:val="00537BBC"/>
    <w:rsid w:val="00540459"/>
    <w:rsid w:val="0054053E"/>
    <w:rsid w:val="0054069F"/>
    <w:rsid w:val="0054139B"/>
    <w:rsid w:val="0054183F"/>
    <w:rsid w:val="00541C66"/>
    <w:rsid w:val="0054250B"/>
    <w:rsid w:val="00542C2B"/>
    <w:rsid w:val="0054390A"/>
    <w:rsid w:val="00544ECA"/>
    <w:rsid w:val="0054595D"/>
    <w:rsid w:val="005462C9"/>
    <w:rsid w:val="00547F0C"/>
    <w:rsid w:val="00551BF7"/>
    <w:rsid w:val="005523DB"/>
    <w:rsid w:val="005524BC"/>
    <w:rsid w:val="00552564"/>
    <w:rsid w:val="005544E9"/>
    <w:rsid w:val="00554553"/>
    <w:rsid w:val="00554D5A"/>
    <w:rsid w:val="0055571E"/>
    <w:rsid w:val="00555CEE"/>
    <w:rsid w:val="005560BF"/>
    <w:rsid w:val="00556CD2"/>
    <w:rsid w:val="005573AD"/>
    <w:rsid w:val="00560981"/>
    <w:rsid w:val="00560D8E"/>
    <w:rsid w:val="00561C0F"/>
    <w:rsid w:val="00562DB3"/>
    <w:rsid w:val="00563230"/>
    <w:rsid w:val="005632A5"/>
    <w:rsid w:val="005641B9"/>
    <w:rsid w:val="0056463B"/>
    <w:rsid w:val="00564CC2"/>
    <w:rsid w:val="00564E43"/>
    <w:rsid w:val="0056507B"/>
    <w:rsid w:val="0056589E"/>
    <w:rsid w:val="00566033"/>
    <w:rsid w:val="0056702B"/>
    <w:rsid w:val="00567150"/>
    <w:rsid w:val="005704CD"/>
    <w:rsid w:val="00570BBB"/>
    <w:rsid w:val="00570D82"/>
    <w:rsid w:val="005719D9"/>
    <w:rsid w:val="00572339"/>
    <w:rsid w:val="00572727"/>
    <w:rsid w:val="0057283B"/>
    <w:rsid w:val="00572F33"/>
    <w:rsid w:val="00573A12"/>
    <w:rsid w:val="005753E5"/>
    <w:rsid w:val="0057593F"/>
    <w:rsid w:val="00575EB1"/>
    <w:rsid w:val="00576727"/>
    <w:rsid w:val="0057722C"/>
    <w:rsid w:val="00577670"/>
    <w:rsid w:val="00577CFD"/>
    <w:rsid w:val="00577F87"/>
    <w:rsid w:val="00580384"/>
    <w:rsid w:val="00580B5B"/>
    <w:rsid w:val="0058132D"/>
    <w:rsid w:val="00581CF1"/>
    <w:rsid w:val="005820DA"/>
    <w:rsid w:val="00582FCA"/>
    <w:rsid w:val="0058317B"/>
    <w:rsid w:val="00583998"/>
    <w:rsid w:val="00584E81"/>
    <w:rsid w:val="00584F2B"/>
    <w:rsid w:val="005853F1"/>
    <w:rsid w:val="00586B3A"/>
    <w:rsid w:val="00587E90"/>
    <w:rsid w:val="00587F63"/>
    <w:rsid w:val="00590007"/>
    <w:rsid w:val="0059076D"/>
    <w:rsid w:val="00590C39"/>
    <w:rsid w:val="00591277"/>
    <w:rsid w:val="0059152C"/>
    <w:rsid w:val="0059159B"/>
    <w:rsid w:val="00591F35"/>
    <w:rsid w:val="0059200D"/>
    <w:rsid w:val="005931F4"/>
    <w:rsid w:val="00593212"/>
    <w:rsid w:val="005933E5"/>
    <w:rsid w:val="00593593"/>
    <w:rsid w:val="00593B93"/>
    <w:rsid w:val="00593E7A"/>
    <w:rsid w:val="00594D7E"/>
    <w:rsid w:val="00595367"/>
    <w:rsid w:val="005958BD"/>
    <w:rsid w:val="00595EFD"/>
    <w:rsid w:val="00596304"/>
    <w:rsid w:val="00596B46"/>
    <w:rsid w:val="00596BA0"/>
    <w:rsid w:val="00596F43"/>
    <w:rsid w:val="00597458"/>
    <w:rsid w:val="005975C9"/>
    <w:rsid w:val="00597E35"/>
    <w:rsid w:val="005A057D"/>
    <w:rsid w:val="005A0B07"/>
    <w:rsid w:val="005A10D2"/>
    <w:rsid w:val="005A1FA1"/>
    <w:rsid w:val="005A2142"/>
    <w:rsid w:val="005A2166"/>
    <w:rsid w:val="005A2C32"/>
    <w:rsid w:val="005A2DE5"/>
    <w:rsid w:val="005A3367"/>
    <w:rsid w:val="005A3CF6"/>
    <w:rsid w:val="005A42DE"/>
    <w:rsid w:val="005A4AAA"/>
    <w:rsid w:val="005A4E95"/>
    <w:rsid w:val="005A4EB1"/>
    <w:rsid w:val="005A564D"/>
    <w:rsid w:val="005A5F1C"/>
    <w:rsid w:val="005A62D8"/>
    <w:rsid w:val="005A6792"/>
    <w:rsid w:val="005A6879"/>
    <w:rsid w:val="005A7B72"/>
    <w:rsid w:val="005A7B90"/>
    <w:rsid w:val="005B1F82"/>
    <w:rsid w:val="005B2492"/>
    <w:rsid w:val="005B27F0"/>
    <w:rsid w:val="005B3A6A"/>
    <w:rsid w:val="005B45C4"/>
    <w:rsid w:val="005B48BB"/>
    <w:rsid w:val="005B4AAB"/>
    <w:rsid w:val="005B505F"/>
    <w:rsid w:val="005B5207"/>
    <w:rsid w:val="005B52CB"/>
    <w:rsid w:val="005B5805"/>
    <w:rsid w:val="005B5F52"/>
    <w:rsid w:val="005C0100"/>
    <w:rsid w:val="005C0511"/>
    <w:rsid w:val="005C05C0"/>
    <w:rsid w:val="005C06CC"/>
    <w:rsid w:val="005C0CD6"/>
    <w:rsid w:val="005C1CA3"/>
    <w:rsid w:val="005C1E3A"/>
    <w:rsid w:val="005C2701"/>
    <w:rsid w:val="005C28BF"/>
    <w:rsid w:val="005C2C1B"/>
    <w:rsid w:val="005C2C48"/>
    <w:rsid w:val="005C3403"/>
    <w:rsid w:val="005C361F"/>
    <w:rsid w:val="005C4058"/>
    <w:rsid w:val="005C4474"/>
    <w:rsid w:val="005C4675"/>
    <w:rsid w:val="005C4F0A"/>
    <w:rsid w:val="005C50F6"/>
    <w:rsid w:val="005C510C"/>
    <w:rsid w:val="005C6615"/>
    <w:rsid w:val="005C680C"/>
    <w:rsid w:val="005C6ADE"/>
    <w:rsid w:val="005C6E47"/>
    <w:rsid w:val="005C6E75"/>
    <w:rsid w:val="005C7153"/>
    <w:rsid w:val="005C72E9"/>
    <w:rsid w:val="005C741F"/>
    <w:rsid w:val="005C765C"/>
    <w:rsid w:val="005D05ED"/>
    <w:rsid w:val="005D0D9B"/>
    <w:rsid w:val="005D1184"/>
    <w:rsid w:val="005D14AB"/>
    <w:rsid w:val="005D1D33"/>
    <w:rsid w:val="005D1D7D"/>
    <w:rsid w:val="005D2A45"/>
    <w:rsid w:val="005D2B46"/>
    <w:rsid w:val="005D2E56"/>
    <w:rsid w:val="005D2E6E"/>
    <w:rsid w:val="005D4B5A"/>
    <w:rsid w:val="005D5A79"/>
    <w:rsid w:val="005D6FFF"/>
    <w:rsid w:val="005D79CE"/>
    <w:rsid w:val="005E0090"/>
    <w:rsid w:val="005E108C"/>
    <w:rsid w:val="005E1AF8"/>
    <w:rsid w:val="005E1C90"/>
    <w:rsid w:val="005E251E"/>
    <w:rsid w:val="005E2809"/>
    <w:rsid w:val="005E2833"/>
    <w:rsid w:val="005E2847"/>
    <w:rsid w:val="005E2AF4"/>
    <w:rsid w:val="005E3059"/>
    <w:rsid w:val="005E3726"/>
    <w:rsid w:val="005E43B3"/>
    <w:rsid w:val="005E4833"/>
    <w:rsid w:val="005E50D6"/>
    <w:rsid w:val="005E5124"/>
    <w:rsid w:val="005E59D9"/>
    <w:rsid w:val="005E6895"/>
    <w:rsid w:val="005E6C6A"/>
    <w:rsid w:val="005E6C83"/>
    <w:rsid w:val="005E6FCB"/>
    <w:rsid w:val="005E765A"/>
    <w:rsid w:val="005F062D"/>
    <w:rsid w:val="005F0664"/>
    <w:rsid w:val="005F126D"/>
    <w:rsid w:val="005F1360"/>
    <w:rsid w:val="005F1A75"/>
    <w:rsid w:val="005F2A12"/>
    <w:rsid w:val="005F2E30"/>
    <w:rsid w:val="005F306B"/>
    <w:rsid w:val="005F5701"/>
    <w:rsid w:val="005F62D7"/>
    <w:rsid w:val="005F7809"/>
    <w:rsid w:val="005F7C99"/>
    <w:rsid w:val="005F7FD4"/>
    <w:rsid w:val="00600237"/>
    <w:rsid w:val="006005BF"/>
    <w:rsid w:val="006007F7"/>
    <w:rsid w:val="00601A31"/>
    <w:rsid w:val="00602095"/>
    <w:rsid w:val="0060242C"/>
    <w:rsid w:val="00602819"/>
    <w:rsid w:val="00602EBF"/>
    <w:rsid w:val="00603706"/>
    <w:rsid w:val="006037F3"/>
    <w:rsid w:val="00603990"/>
    <w:rsid w:val="00603B98"/>
    <w:rsid w:val="00604A6F"/>
    <w:rsid w:val="00606521"/>
    <w:rsid w:val="006069B4"/>
    <w:rsid w:val="0060771B"/>
    <w:rsid w:val="00607CC6"/>
    <w:rsid w:val="006101B4"/>
    <w:rsid w:val="00610473"/>
    <w:rsid w:val="006104B1"/>
    <w:rsid w:val="006108E4"/>
    <w:rsid w:val="00610BFB"/>
    <w:rsid w:val="006118A2"/>
    <w:rsid w:val="00612164"/>
    <w:rsid w:val="0061217D"/>
    <w:rsid w:val="00612D18"/>
    <w:rsid w:val="00613985"/>
    <w:rsid w:val="006159F5"/>
    <w:rsid w:val="00617271"/>
    <w:rsid w:val="00617A92"/>
    <w:rsid w:val="00620342"/>
    <w:rsid w:val="00620431"/>
    <w:rsid w:val="006204D7"/>
    <w:rsid w:val="00620633"/>
    <w:rsid w:val="006207E6"/>
    <w:rsid w:val="00620FB0"/>
    <w:rsid w:val="0062225A"/>
    <w:rsid w:val="006223FE"/>
    <w:rsid w:val="00622578"/>
    <w:rsid w:val="006226AA"/>
    <w:rsid w:val="00622A91"/>
    <w:rsid w:val="0062342A"/>
    <w:rsid w:val="00623AC2"/>
    <w:rsid w:val="00623F9D"/>
    <w:rsid w:val="00624D16"/>
    <w:rsid w:val="006250B2"/>
    <w:rsid w:val="00625414"/>
    <w:rsid w:val="0062581F"/>
    <w:rsid w:val="006261A9"/>
    <w:rsid w:val="00626779"/>
    <w:rsid w:val="006275B1"/>
    <w:rsid w:val="00627BC9"/>
    <w:rsid w:val="00627C8A"/>
    <w:rsid w:val="0063027B"/>
    <w:rsid w:val="006303D4"/>
    <w:rsid w:val="00630B8E"/>
    <w:rsid w:val="00630D30"/>
    <w:rsid w:val="00630DF0"/>
    <w:rsid w:val="006318EE"/>
    <w:rsid w:val="006328F5"/>
    <w:rsid w:val="00632A2F"/>
    <w:rsid w:val="00633B5E"/>
    <w:rsid w:val="00634C97"/>
    <w:rsid w:val="00634D84"/>
    <w:rsid w:val="0063528D"/>
    <w:rsid w:val="0063538A"/>
    <w:rsid w:val="006358CE"/>
    <w:rsid w:val="0063677F"/>
    <w:rsid w:val="006368FE"/>
    <w:rsid w:val="006404FD"/>
    <w:rsid w:val="00641420"/>
    <w:rsid w:val="006421EE"/>
    <w:rsid w:val="006445C9"/>
    <w:rsid w:val="00645CF7"/>
    <w:rsid w:val="006475B1"/>
    <w:rsid w:val="0065066A"/>
    <w:rsid w:val="00650873"/>
    <w:rsid w:val="0065187B"/>
    <w:rsid w:val="00651A4A"/>
    <w:rsid w:val="00651CB2"/>
    <w:rsid w:val="0065302A"/>
    <w:rsid w:val="006549AA"/>
    <w:rsid w:val="00654A19"/>
    <w:rsid w:val="006558CC"/>
    <w:rsid w:val="0065665C"/>
    <w:rsid w:val="0065682A"/>
    <w:rsid w:val="00656FF6"/>
    <w:rsid w:val="00657079"/>
    <w:rsid w:val="0065723F"/>
    <w:rsid w:val="00657BD0"/>
    <w:rsid w:val="006608E2"/>
    <w:rsid w:val="00661090"/>
    <w:rsid w:val="00661C2A"/>
    <w:rsid w:val="00661D21"/>
    <w:rsid w:val="00662B9E"/>
    <w:rsid w:val="00662F6B"/>
    <w:rsid w:val="00663212"/>
    <w:rsid w:val="006632ED"/>
    <w:rsid w:val="00663AC7"/>
    <w:rsid w:val="00663B71"/>
    <w:rsid w:val="00664472"/>
    <w:rsid w:val="00664857"/>
    <w:rsid w:val="0066490D"/>
    <w:rsid w:val="00664A66"/>
    <w:rsid w:val="00665970"/>
    <w:rsid w:val="00666E6D"/>
    <w:rsid w:val="0066720D"/>
    <w:rsid w:val="0066766A"/>
    <w:rsid w:val="006679DA"/>
    <w:rsid w:val="00667CCA"/>
    <w:rsid w:val="006701BD"/>
    <w:rsid w:val="006706F2"/>
    <w:rsid w:val="006707BB"/>
    <w:rsid w:val="00670CB0"/>
    <w:rsid w:val="0067118C"/>
    <w:rsid w:val="00671D26"/>
    <w:rsid w:val="00672347"/>
    <w:rsid w:val="00672379"/>
    <w:rsid w:val="00672CB2"/>
    <w:rsid w:val="006736F0"/>
    <w:rsid w:val="00674186"/>
    <w:rsid w:val="00674B94"/>
    <w:rsid w:val="00674C61"/>
    <w:rsid w:val="00675039"/>
    <w:rsid w:val="006753E5"/>
    <w:rsid w:val="00676157"/>
    <w:rsid w:val="00676486"/>
    <w:rsid w:val="0067658E"/>
    <w:rsid w:val="00676E51"/>
    <w:rsid w:val="00676F0A"/>
    <w:rsid w:val="006770DB"/>
    <w:rsid w:val="006770EC"/>
    <w:rsid w:val="00677139"/>
    <w:rsid w:val="00677356"/>
    <w:rsid w:val="00677758"/>
    <w:rsid w:val="0067793D"/>
    <w:rsid w:val="006807BE"/>
    <w:rsid w:val="00681448"/>
    <w:rsid w:val="006817C4"/>
    <w:rsid w:val="00682F9B"/>
    <w:rsid w:val="00683148"/>
    <w:rsid w:val="0068363D"/>
    <w:rsid w:val="0068386D"/>
    <w:rsid w:val="00683FF0"/>
    <w:rsid w:val="00684065"/>
    <w:rsid w:val="006848F9"/>
    <w:rsid w:val="006850DD"/>
    <w:rsid w:val="006865D3"/>
    <w:rsid w:val="00687344"/>
    <w:rsid w:val="00687571"/>
    <w:rsid w:val="00687D2A"/>
    <w:rsid w:val="006902BD"/>
    <w:rsid w:val="00690373"/>
    <w:rsid w:val="00690708"/>
    <w:rsid w:val="00691A23"/>
    <w:rsid w:val="0069292B"/>
    <w:rsid w:val="006930D1"/>
    <w:rsid w:val="00693472"/>
    <w:rsid w:val="006935B2"/>
    <w:rsid w:val="0069397B"/>
    <w:rsid w:val="00693B3E"/>
    <w:rsid w:val="00693CF9"/>
    <w:rsid w:val="00694179"/>
    <w:rsid w:val="00695685"/>
    <w:rsid w:val="006977E4"/>
    <w:rsid w:val="00697A6A"/>
    <w:rsid w:val="00697E79"/>
    <w:rsid w:val="006A0251"/>
    <w:rsid w:val="006A0470"/>
    <w:rsid w:val="006A0527"/>
    <w:rsid w:val="006A083E"/>
    <w:rsid w:val="006A1429"/>
    <w:rsid w:val="006A1656"/>
    <w:rsid w:val="006A1B10"/>
    <w:rsid w:val="006A22C9"/>
    <w:rsid w:val="006A2C06"/>
    <w:rsid w:val="006A3798"/>
    <w:rsid w:val="006A3998"/>
    <w:rsid w:val="006A3E2B"/>
    <w:rsid w:val="006A3EB1"/>
    <w:rsid w:val="006A43B6"/>
    <w:rsid w:val="006A44A9"/>
    <w:rsid w:val="006A4C5C"/>
    <w:rsid w:val="006A50C7"/>
    <w:rsid w:val="006A5FE6"/>
    <w:rsid w:val="006A7181"/>
    <w:rsid w:val="006A727E"/>
    <w:rsid w:val="006B0E88"/>
    <w:rsid w:val="006B1574"/>
    <w:rsid w:val="006B2D9C"/>
    <w:rsid w:val="006B2DA9"/>
    <w:rsid w:val="006B320F"/>
    <w:rsid w:val="006B397F"/>
    <w:rsid w:val="006B43B1"/>
    <w:rsid w:val="006B4821"/>
    <w:rsid w:val="006B4F8C"/>
    <w:rsid w:val="006B5181"/>
    <w:rsid w:val="006B56D3"/>
    <w:rsid w:val="006B6606"/>
    <w:rsid w:val="006B6F2B"/>
    <w:rsid w:val="006B7179"/>
    <w:rsid w:val="006B7483"/>
    <w:rsid w:val="006B78F4"/>
    <w:rsid w:val="006C01FD"/>
    <w:rsid w:val="006C08DE"/>
    <w:rsid w:val="006C0EEB"/>
    <w:rsid w:val="006C2493"/>
    <w:rsid w:val="006C327A"/>
    <w:rsid w:val="006C345C"/>
    <w:rsid w:val="006C350A"/>
    <w:rsid w:val="006C39E7"/>
    <w:rsid w:val="006C3C09"/>
    <w:rsid w:val="006C4000"/>
    <w:rsid w:val="006C4FA1"/>
    <w:rsid w:val="006C56DF"/>
    <w:rsid w:val="006C65D3"/>
    <w:rsid w:val="006C670D"/>
    <w:rsid w:val="006C6872"/>
    <w:rsid w:val="006C7BD2"/>
    <w:rsid w:val="006C7F53"/>
    <w:rsid w:val="006C7F69"/>
    <w:rsid w:val="006D0281"/>
    <w:rsid w:val="006D0AB4"/>
    <w:rsid w:val="006D23B5"/>
    <w:rsid w:val="006D2954"/>
    <w:rsid w:val="006D370F"/>
    <w:rsid w:val="006D3759"/>
    <w:rsid w:val="006D3801"/>
    <w:rsid w:val="006D3A57"/>
    <w:rsid w:val="006D3AF3"/>
    <w:rsid w:val="006D65FB"/>
    <w:rsid w:val="006D6784"/>
    <w:rsid w:val="006D7380"/>
    <w:rsid w:val="006D748B"/>
    <w:rsid w:val="006D7F8C"/>
    <w:rsid w:val="006E03FB"/>
    <w:rsid w:val="006E061F"/>
    <w:rsid w:val="006E0668"/>
    <w:rsid w:val="006E0E10"/>
    <w:rsid w:val="006E0F3E"/>
    <w:rsid w:val="006E16B5"/>
    <w:rsid w:val="006E262E"/>
    <w:rsid w:val="006E2EEB"/>
    <w:rsid w:val="006E3724"/>
    <w:rsid w:val="006E3D84"/>
    <w:rsid w:val="006E47F9"/>
    <w:rsid w:val="006E4F33"/>
    <w:rsid w:val="006E5E41"/>
    <w:rsid w:val="006E63AA"/>
    <w:rsid w:val="006E664C"/>
    <w:rsid w:val="006E73B5"/>
    <w:rsid w:val="006E7587"/>
    <w:rsid w:val="006F05CA"/>
    <w:rsid w:val="006F0F5A"/>
    <w:rsid w:val="006F1999"/>
    <w:rsid w:val="006F2399"/>
    <w:rsid w:val="006F279B"/>
    <w:rsid w:val="006F3413"/>
    <w:rsid w:val="006F4B92"/>
    <w:rsid w:val="006F4F60"/>
    <w:rsid w:val="006F537F"/>
    <w:rsid w:val="006F54A5"/>
    <w:rsid w:val="006F5A9B"/>
    <w:rsid w:val="006F634A"/>
    <w:rsid w:val="006F64E8"/>
    <w:rsid w:val="006F6C6E"/>
    <w:rsid w:val="006F6CA4"/>
    <w:rsid w:val="006F6D3D"/>
    <w:rsid w:val="006F6D51"/>
    <w:rsid w:val="006F77D1"/>
    <w:rsid w:val="006F7F85"/>
    <w:rsid w:val="00700E5D"/>
    <w:rsid w:val="007017B6"/>
    <w:rsid w:val="007024CA"/>
    <w:rsid w:val="00702699"/>
    <w:rsid w:val="00702EA9"/>
    <w:rsid w:val="00703945"/>
    <w:rsid w:val="00703ABA"/>
    <w:rsid w:val="00703C07"/>
    <w:rsid w:val="00703E33"/>
    <w:rsid w:val="0070499A"/>
    <w:rsid w:val="0070500F"/>
    <w:rsid w:val="007058DE"/>
    <w:rsid w:val="00705D7F"/>
    <w:rsid w:val="00705E60"/>
    <w:rsid w:val="007069A8"/>
    <w:rsid w:val="00706C9A"/>
    <w:rsid w:val="00706D6F"/>
    <w:rsid w:val="00707120"/>
    <w:rsid w:val="0070731B"/>
    <w:rsid w:val="00707696"/>
    <w:rsid w:val="0070780D"/>
    <w:rsid w:val="007106D9"/>
    <w:rsid w:val="007107DB"/>
    <w:rsid w:val="00710867"/>
    <w:rsid w:val="00710A8F"/>
    <w:rsid w:val="00710B4A"/>
    <w:rsid w:val="0071190A"/>
    <w:rsid w:val="00711B74"/>
    <w:rsid w:val="00713405"/>
    <w:rsid w:val="00713A78"/>
    <w:rsid w:val="00714152"/>
    <w:rsid w:val="00714B94"/>
    <w:rsid w:val="0071553B"/>
    <w:rsid w:val="00715EBE"/>
    <w:rsid w:val="00717B3E"/>
    <w:rsid w:val="00717F59"/>
    <w:rsid w:val="00717FB9"/>
    <w:rsid w:val="00720A00"/>
    <w:rsid w:val="0072119C"/>
    <w:rsid w:val="00721B18"/>
    <w:rsid w:val="00722102"/>
    <w:rsid w:val="00723535"/>
    <w:rsid w:val="0072360F"/>
    <w:rsid w:val="007247DC"/>
    <w:rsid w:val="00724FE6"/>
    <w:rsid w:val="007256C8"/>
    <w:rsid w:val="00726256"/>
    <w:rsid w:val="00727944"/>
    <w:rsid w:val="00727E0A"/>
    <w:rsid w:val="00730CD6"/>
    <w:rsid w:val="007316D3"/>
    <w:rsid w:val="007337F4"/>
    <w:rsid w:val="00733E5C"/>
    <w:rsid w:val="00734B25"/>
    <w:rsid w:val="00735364"/>
    <w:rsid w:val="00736F24"/>
    <w:rsid w:val="00737F69"/>
    <w:rsid w:val="0074106F"/>
    <w:rsid w:val="00741224"/>
    <w:rsid w:val="007428B3"/>
    <w:rsid w:val="007429DD"/>
    <w:rsid w:val="00742CCF"/>
    <w:rsid w:val="00743203"/>
    <w:rsid w:val="0074427C"/>
    <w:rsid w:val="00744673"/>
    <w:rsid w:val="00745C24"/>
    <w:rsid w:val="007460AB"/>
    <w:rsid w:val="00746560"/>
    <w:rsid w:val="0074686C"/>
    <w:rsid w:val="00747507"/>
    <w:rsid w:val="00747B08"/>
    <w:rsid w:val="007502A8"/>
    <w:rsid w:val="0075050C"/>
    <w:rsid w:val="00751CF3"/>
    <w:rsid w:val="00752E1B"/>
    <w:rsid w:val="007536CD"/>
    <w:rsid w:val="00753738"/>
    <w:rsid w:val="00753E8F"/>
    <w:rsid w:val="00754629"/>
    <w:rsid w:val="0075486A"/>
    <w:rsid w:val="007548E1"/>
    <w:rsid w:val="00755CB1"/>
    <w:rsid w:val="0075681A"/>
    <w:rsid w:val="00756B1A"/>
    <w:rsid w:val="007570E6"/>
    <w:rsid w:val="007573E6"/>
    <w:rsid w:val="007576D8"/>
    <w:rsid w:val="0075785D"/>
    <w:rsid w:val="00757B07"/>
    <w:rsid w:val="00757DE8"/>
    <w:rsid w:val="00761438"/>
    <w:rsid w:val="007624AB"/>
    <w:rsid w:val="007627F8"/>
    <w:rsid w:val="00762C44"/>
    <w:rsid w:val="00762C53"/>
    <w:rsid w:val="007630A2"/>
    <w:rsid w:val="00764941"/>
    <w:rsid w:val="0076498F"/>
    <w:rsid w:val="007649BE"/>
    <w:rsid w:val="00764D61"/>
    <w:rsid w:val="0076535A"/>
    <w:rsid w:val="00765B4D"/>
    <w:rsid w:val="00766171"/>
    <w:rsid w:val="007661C3"/>
    <w:rsid w:val="00766809"/>
    <w:rsid w:val="00766891"/>
    <w:rsid w:val="00770A3C"/>
    <w:rsid w:val="00770B04"/>
    <w:rsid w:val="00770B3E"/>
    <w:rsid w:val="00770FCE"/>
    <w:rsid w:val="007719C9"/>
    <w:rsid w:val="00771BD5"/>
    <w:rsid w:val="007732D7"/>
    <w:rsid w:val="0077496D"/>
    <w:rsid w:val="00774D2A"/>
    <w:rsid w:val="00774D31"/>
    <w:rsid w:val="007769BA"/>
    <w:rsid w:val="00777269"/>
    <w:rsid w:val="00777422"/>
    <w:rsid w:val="007779F9"/>
    <w:rsid w:val="00780324"/>
    <w:rsid w:val="007813CE"/>
    <w:rsid w:val="00781445"/>
    <w:rsid w:val="00781AB3"/>
    <w:rsid w:val="00781C88"/>
    <w:rsid w:val="00782325"/>
    <w:rsid w:val="007826C7"/>
    <w:rsid w:val="00782A19"/>
    <w:rsid w:val="00783221"/>
    <w:rsid w:val="0078413A"/>
    <w:rsid w:val="00784DEA"/>
    <w:rsid w:val="00785018"/>
    <w:rsid w:val="007851F0"/>
    <w:rsid w:val="00785B16"/>
    <w:rsid w:val="00786A2E"/>
    <w:rsid w:val="00786B36"/>
    <w:rsid w:val="0079067A"/>
    <w:rsid w:val="007916E8"/>
    <w:rsid w:val="007918AA"/>
    <w:rsid w:val="007918BF"/>
    <w:rsid w:val="00791D44"/>
    <w:rsid w:val="00792CE2"/>
    <w:rsid w:val="00792DF7"/>
    <w:rsid w:val="00792FAE"/>
    <w:rsid w:val="007932BE"/>
    <w:rsid w:val="00793F3B"/>
    <w:rsid w:val="0079499C"/>
    <w:rsid w:val="007949C2"/>
    <w:rsid w:val="00794CD2"/>
    <w:rsid w:val="00795623"/>
    <w:rsid w:val="007957D5"/>
    <w:rsid w:val="00796335"/>
    <w:rsid w:val="007967AD"/>
    <w:rsid w:val="00796901"/>
    <w:rsid w:val="00796CFA"/>
    <w:rsid w:val="00796D96"/>
    <w:rsid w:val="007A0BCA"/>
    <w:rsid w:val="007A0F1F"/>
    <w:rsid w:val="007A184A"/>
    <w:rsid w:val="007A1A2B"/>
    <w:rsid w:val="007A21A0"/>
    <w:rsid w:val="007A2AD8"/>
    <w:rsid w:val="007A2E44"/>
    <w:rsid w:val="007A3A04"/>
    <w:rsid w:val="007A4005"/>
    <w:rsid w:val="007A4BF5"/>
    <w:rsid w:val="007A50E0"/>
    <w:rsid w:val="007A53E6"/>
    <w:rsid w:val="007A63D1"/>
    <w:rsid w:val="007B01D9"/>
    <w:rsid w:val="007B061C"/>
    <w:rsid w:val="007B1222"/>
    <w:rsid w:val="007B223C"/>
    <w:rsid w:val="007B26B4"/>
    <w:rsid w:val="007B4AD9"/>
    <w:rsid w:val="007B4C4D"/>
    <w:rsid w:val="007B56CA"/>
    <w:rsid w:val="007B5DC1"/>
    <w:rsid w:val="007B6039"/>
    <w:rsid w:val="007B6150"/>
    <w:rsid w:val="007B6A65"/>
    <w:rsid w:val="007B6AD9"/>
    <w:rsid w:val="007B6EA0"/>
    <w:rsid w:val="007B7778"/>
    <w:rsid w:val="007C0222"/>
    <w:rsid w:val="007C0344"/>
    <w:rsid w:val="007C06FF"/>
    <w:rsid w:val="007C0850"/>
    <w:rsid w:val="007C08C0"/>
    <w:rsid w:val="007C0FD8"/>
    <w:rsid w:val="007C198F"/>
    <w:rsid w:val="007C1D79"/>
    <w:rsid w:val="007C2F64"/>
    <w:rsid w:val="007C2FF6"/>
    <w:rsid w:val="007C3039"/>
    <w:rsid w:val="007C3091"/>
    <w:rsid w:val="007C4C22"/>
    <w:rsid w:val="007C5250"/>
    <w:rsid w:val="007C5541"/>
    <w:rsid w:val="007C5A13"/>
    <w:rsid w:val="007C6E8D"/>
    <w:rsid w:val="007C7119"/>
    <w:rsid w:val="007C7A6B"/>
    <w:rsid w:val="007D05A3"/>
    <w:rsid w:val="007D0F6A"/>
    <w:rsid w:val="007D1096"/>
    <w:rsid w:val="007D18E1"/>
    <w:rsid w:val="007D272A"/>
    <w:rsid w:val="007D27B8"/>
    <w:rsid w:val="007D2902"/>
    <w:rsid w:val="007D309B"/>
    <w:rsid w:val="007D367A"/>
    <w:rsid w:val="007D63A0"/>
    <w:rsid w:val="007D7DD4"/>
    <w:rsid w:val="007D7EC6"/>
    <w:rsid w:val="007E063D"/>
    <w:rsid w:val="007E0B5C"/>
    <w:rsid w:val="007E1210"/>
    <w:rsid w:val="007E1BB1"/>
    <w:rsid w:val="007E2003"/>
    <w:rsid w:val="007E22D8"/>
    <w:rsid w:val="007E2629"/>
    <w:rsid w:val="007E286E"/>
    <w:rsid w:val="007E2888"/>
    <w:rsid w:val="007E2904"/>
    <w:rsid w:val="007E2BEE"/>
    <w:rsid w:val="007E2CF0"/>
    <w:rsid w:val="007E4341"/>
    <w:rsid w:val="007E598E"/>
    <w:rsid w:val="007E5B8A"/>
    <w:rsid w:val="007E5F76"/>
    <w:rsid w:val="007E5F7A"/>
    <w:rsid w:val="007E62DB"/>
    <w:rsid w:val="007E669E"/>
    <w:rsid w:val="007E6A56"/>
    <w:rsid w:val="007E6F3B"/>
    <w:rsid w:val="007E71FC"/>
    <w:rsid w:val="007E75B0"/>
    <w:rsid w:val="007F0005"/>
    <w:rsid w:val="007F0498"/>
    <w:rsid w:val="007F055C"/>
    <w:rsid w:val="007F0D02"/>
    <w:rsid w:val="007F0E41"/>
    <w:rsid w:val="007F0EAB"/>
    <w:rsid w:val="007F175B"/>
    <w:rsid w:val="007F1C58"/>
    <w:rsid w:val="007F22F1"/>
    <w:rsid w:val="007F3254"/>
    <w:rsid w:val="007F32B0"/>
    <w:rsid w:val="007F3492"/>
    <w:rsid w:val="007F4B6E"/>
    <w:rsid w:val="007F5508"/>
    <w:rsid w:val="007F65A1"/>
    <w:rsid w:val="007F6CAB"/>
    <w:rsid w:val="007F74F9"/>
    <w:rsid w:val="007F76B3"/>
    <w:rsid w:val="00800734"/>
    <w:rsid w:val="00800A1F"/>
    <w:rsid w:val="00800AAB"/>
    <w:rsid w:val="008014D6"/>
    <w:rsid w:val="0080172E"/>
    <w:rsid w:val="0080354E"/>
    <w:rsid w:val="00803C34"/>
    <w:rsid w:val="00804840"/>
    <w:rsid w:val="008059F7"/>
    <w:rsid w:val="00805A46"/>
    <w:rsid w:val="00805DBD"/>
    <w:rsid w:val="00806191"/>
    <w:rsid w:val="00806367"/>
    <w:rsid w:val="008075DE"/>
    <w:rsid w:val="00807655"/>
    <w:rsid w:val="00807F85"/>
    <w:rsid w:val="008100E5"/>
    <w:rsid w:val="0081022D"/>
    <w:rsid w:val="008106E5"/>
    <w:rsid w:val="00810702"/>
    <w:rsid w:val="00810A84"/>
    <w:rsid w:val="00810CD5"/>
    <w:rsid w:val="008110AD"/>
    <w:rsid w:val="0081116E"/>
    <w:rsid w:val="008111D6"/>
    <w:rsid w:val="008113F4"/>
    <w:rsid w:val="00811C7D"/>
    <w:rsid w:val="00811CD0"/>
    <w:rsid w:val="00811F74"/>
    <w:rsid w:val="0081324C"/>
    <w:rsid w:val="008139F6"/>
    <w:rsid w:val="008140F7"/>
    <w:rsid w:val="0081492A"/>
    <w:rsid w:val="00816BDB"/>
    <w:rsid w:val="00816FCC"/>
    <w:rsid w:val="00817536"/>
    <w:rsid w:val="00817B3B"/>
    <w:rsid w:val="00820237"/>
    <w:rsid w:val="00820B56"/>
    <w:rsid w:val="00821128"/>
    <w:rsid w:val="00821129"/>
    <w:rsid w:val="00822260"/>
    <w:rsid w:val="008223A5"/>
    <w:rsid w:val="00822902"/>
    <w:rsid w:val="00822D80"/>
    <w:rsid w:val="00823354"/>
    <w:rsid w:val="00823ED6"/>
    <w:rsid w:val="00826495"/>
    <w:rsid w:val="00830CA4"/>
    <w:rsid w:val="00831406"/>
    <w:rsid w:val="00831678"/>
    <w:rsid w:val="00831963"/>
    <w:rsid w:val="00831A00"/>
    <w:rsid w:val="00831AA5"/>
    <w:rsid w:val="00831D32"/>
    <w:rsid w:val="0083208B"/>
    <w:rsid w:val="0083235E"/>
    <w:rsid w:val="0083369E"/>
    <w:rsid w:val="008337EB"/>
    <w:rsid w:val="00834D68"/>
    <w:rsid w:val="00834E31"/>
    <w:rsid w:val="00835B7B"/>
    <w:rsid w:val="00836231"/>
    <w:rsid w:val="00836C55"/>
    <w:rsid w:val="00836DB4"/>
    <w:rsid w:val="00836E71"/>
    <w:rsid w:val="008378F3"/>
    <w:rsid w:val="00837A2F"/>
    <w:rsid w:val="00837AF0"/>
    <w:rsid w:val="0084033A"/>
    <w:rsid w:val="00840522"/>
    <w:rsid w:val="00840539"/>
    <w:rsid w:val="0084081F"/>
    <w:rsid w:val="0084087F"/>
    <w:rsid w:val="00840B01"/>
    <w:rsid w:val="00841CD4"/>
    <w:rsid w:val="00842075"/>
    <w:rsid w:val="00842165"/>
    <w:rsid w:val="008423E1"/>
    <w:rsid w:val="00842A88"/>
    <w:rsid w:val="00842F23"/>
    <w:rsid w:val="00843052"/>
    <w:rsid w:val="00843375"/>
    <w:rsid w:val="008437F0"/>
    <w:rsid w:val="008446E1"/>
    <w:rsid w:val="00845427"/>
    <w:rsid w:val="0084559A"/>
    <w:rsid w:val="00845E0D"/>
    <w:rsid w:val="008464A6"/>
    <w:rsid w:val="00846CE7"/>
    <w:rsid w:val="00846EBC"/>
    <w:rsid w:val="00847275"/>
    <w:rsid w:val="008479AE"/>
    <w:rsid w:val="00847D81"/>
    <w:rsid w:val="008505B5"/>
    <w:rsid w:val="00850FB2"/>
    <w:rsid w:val="00851405"/>
    <w:rsid w:val="00851FA9"/>
    <w:rsid w:val="0085224F"/>
    <w:rsid w:val="00853431"/>
    <w:rsid w:val="00853A21"/>
    <w:rsid w:val="008547A6"/>
    <w:rsid w:val="00854C9D"/>
    <w:rsid w:val="00854E3E"/>
    <w:rsid w:val="00856C6E"/>
    <w:rsid w:val="00856D0F"/>
    <w:rsid w:val="0085766F"/>
    <w:rsid w:val="0085768D"/>
    <w:rsid w:val="00860813"/>
    <w:rsid w:val="008614A1"/>
    <w:rsid w:val="00861F20"/>
    <w:rsid w:val="00862102"/>
    <w:rsid w:val="00862685"/>
    <w:rsid w:val="00863AEF"/>
    <w:rsid w:val="008641C1"/>
    <w:rsid w:val="00864657"/>
    <w:rsid w:val="00864705"/>
    <w:rsid w:val="00864717"/>
    <w:rsid w:val="00867640"/>
    <w:rsid w:val="00871A4D"/>
    <w:rsid w:val="008721C4"/>
    <w:rsid w:val="00872312"/>
    <w:rsid w:val="00872782"/>
    <w:rsid w:val="008737C4"/>
    <w:rsid w:val="008739CC"/>
    <w:rsid w:val="008746ED"/>
    <w:rsid w:val="00874833"/>
    <w:rsid w:val="00874CC8"/>
    <w:rsid w:val="0087683B"/>
    <w:rsid w:val="00876E1C"/>
    <w:rsid w:val="00876E86"/>
    <w:rsid w:val="00876F56"/>
    <w:rsid w:val="0087730F"/>
    <w:rsid w:val="00877821"/>
    <w:rsid w:val="00877A33"/>
    <w:rsid w:val="0088053E"/>
    <w:rsid w:val="00881A48"/>
    <w:rsid w:val="00881EF0"/>
    <w:rsid w:val="00882349"/>
    <w:rsid w:val="00882359"/>
    <w:rsid w:val="00882B00"/>
    <w:rsid w:val="00882EF1"/>
    <w:rsid w:val="00883AAC"/>
    <w:rsid w:val="00883DB9"/>
    <w:rsid w:val="00883E67"/>
    <w:rsid w:val="00884286"/>
    <w:rsid w:val="00884860"/>
    <w:rsid w:val="00884C95"/>
    <w:rsid w:val="0088565E"/>
    <w:rsid w:val="00885AEA"/>
    <w:rsid w:val="008863B3"/>
    <w:rsid w:val="00886EFA"/>
    <w:rsid w:val="00887968"/>
    <w:rsid w:val="00887B91"/>
    <w:rsid w:val="00887E1D"/>
    <w:rsid w:val="00890062"/>
    <w:rsid w:val="00890B6B"/>
    <w:rsid w:val="008910A2"/>
    <w:rsid w:val="00892529"/>
    <w:rsid w:val="00892C35"/>
    <w:rsid w:val="00892CF0"/>
    <w:rsid w:val="00892E5F"/>
    <w:rsid w:val="00893180"/>
    <w:rsid w:val="008931A0"/>
    <w:rsid w:val="008933B1"/>
    <w:rsid w:val="00894214"/>
    <w:rsid w:val="00894D1E"/>
    <w:rsid w:val="00895067"/>
    <w:rsid w:val="00895344"/>
    <w:rsid w:val="008953E0"/>
    <w:rsid w:val="00895BA3"/>
    <w:rsid w:val="00895D80"/>
    <w:rsid w:val="008960B2"/>
    <w:rsid w:val="00896744"/>
    <w:rsid w:val="0089749A"/>
    <w:rsid w:val="00897713"/>
    <w:rsid w:val="008A0480"/>
    <w:rsid w:val="008A08CE"/>
    <w:rsid w:val="008A0984"/>
    <w:rsid w:val="008A12CF"/>
    <w:rsid w:val="008A162D"/>
    <w:rsid w:val="008A1A76"/>
    <w:rsid w:val="008A1E85"/>
    <w:rsid w:val="008A285E"/>
    <w:rsid w:val="008A29CD"/>
    <w:rsid w:val="008A43EA"/>
    <w:rsid w:val="008A47AB"/>
    <w:rsid w:val="008A49A2"/>
    <w:rsid w:val="008A581B"/>
    <w:rsid w:val="008A5A42"/>
    <w:rsid w:val="008A5CB2"/>
    <w:rsid w:val="008A6E70"/>
    <w:rsid w:val="008A719F"/>
    <w:rsid w:val="008A71AF"/>
    <w:rsid w:val="008A77DA"/>
    <w:rsid w:val="008A7857"/>
    <w:rsid w:val="008A7D83"/>
    <w:rsid w:val="008A7FE2"/>
    <w:rsid w:val="008B07A4"/>
    <w:rsid w:val="008B1196"/>
    <w:rsid w:val="008B1497"/>
    <w:rsid w:val="008B1743"/>
    <w:rsid w:val="008B1B1D"/>
    <w:rsid w:val="008B1C7D"/>
    <w:rsid w:val="008B2338"/>
    <w:rsid w:val="008B2652"/>
    <w:rsid w:val="008B28F6"/>
    <w:rsid w:val="008B44B0"/>
    <w:rsid w:val="008B47EE"/>
    <w:rsid w:val="008B4E74"/>
    <w:rsid w:val="008B5D8F"/>
    <w:rsid w:val="008B5F9F"/>
    <w:rsid w:val="008B66BB"/>
    <w:rsid w:val="008B6CC4"/>
    <w:rsid w:val="008B6DA5"/>
    <w:rsid w:val="008B6E16"/>
    <w:rsid w:val="008B74A7"/>
    <w:rsid w:val="008B76F3"/>
    <w:rsid w:val="008C05CF"/>
    <w:rsid w:val="008C1C60"/>
    <w:rsid w:val="008C347D"/>
    <w:rsid w:val="008C3B5D"/>
    <w:rsid w:val="008C40D9"/>
    <w:rsid w:val="008C4AFF"/>
    <w:rsid w:val="008C5A48"/>
    <w:rsid w:val="008C5CA2"/>
    <w:rsid w:val="008C5EAE"/>
    <w:rsid w:val="008C63B4"/>
    <w:rsid w:val="008C6BFD"/>
    <w:rsid w:val="008C776E"/>
    <w:rsid w:val="008C7E28"/>
    <w:rsid w:val="008C7E61"/>
    <w:rsid w:val="008D003A"/>
    <w:rsid w:val="008D016B"/>
    <w:rsid w:val="008D02D7"/>
    <w:rsid w:val="008D0D54"/>
    <w:rsid w:val="008D200F"/>
    <w:rsid w:val="008D213C"/>
    <w:rsid w:val="008D24EE"/>
    <w:rsid w:val="008D2C07"/>
    <w:rsid w:val="008D32E1"/>
    <w:rsid w:val="008D368D"/>
    <w:rsid w:val="008D398A"/>
    <w:rsid w:val="008D3AFF"/>
    <w:rsid w:val="008D4A0B"/>
    <w:rsid w:val="008D6308"/>
    <w:rsid w:val="008D69F8"/>
    <w:rsid w:val="008D7C65"/>
    <w:rsid w:val="008D7D8D"/>
    <w:rsid w:val="008E07E5"/>
    <w:rsid w:val="008E1E14"/>
    <w:rsid w:val="008E2371"/>
    <w:rsid w:val="008E296F"/>
    <w:rsid w:val="008E2E5E"/>
    <w:rsid w:val="008E3249"/>
    <w:rsid w:val="008E3815"/>
    <w:rsid w:val="008E49BC"/>
    <w:rsid w:val="008E5171"/>
    <w:rsid w:val="008E51B3"/>
    <w:rsid w:val="008E53BA"/>
    <w:rsid w:val="008E5F4F"/>
    <w:rsid w:val="008E6378"/>
    <w:rsid w:val="008E6721"/>
    <w:rsid w:val="008E6AC5"/>
    <w:rsid w:val="008E6EAB"/>
    <w:rsid w:val="008E7133"/>
    <w:rsid w:val="008E724E"/>
    <w:rsid w:val="008E73EE"/>
    <w:rsid w:val="008E7D37"/>
    <w:rsid w:val="008F0A47"/>
    <w:rsid w:val="008F1BF0"/>
    <w:rsid w:val="008F2105"/>
    <w:rsid w:val="008F236E"/>
    <w:rsid w:val="008F2CC1"/>
    <w:rsid w:val="008F3539"/>
    <w:rsid w:val="008F3883"/>
    <w:rsid w:val="008F3C63"/>
    <w:rsid w:val="008F3CD0"/>
    <w:rsid w:val="008F4045"/>
    <w:rsid w:val="008F46D5"/>
    <w:rsid w:val="008F4734"/>
    <w:rsid w:val="008F49FF"/>
    <w:rsid w:val="008F63E1"/>
    <w:rsid w:val="008F63EC"/>
    <w:rsid w:val="008F6545"/>
    <w:rsid w:val="008F77BC"/>
    <w:rsid w:val="008F7835"/>
    <w:rsid w:val="008F7B30"/>
    <w:rsid w:val="008F7EB7"/>
    <w:rsid w:val="00900DFB"/>
    <w:rsid w:val="00901011"/>
    <w:rsid w:val="00901332"/>
    <w:rsid w:val="00901643"/>
    <w:rsid w:val="00901922"/>
    <w:rsid w:val="00901B55"/>
    <w:rsid w:val="009024AC"/>
    <w:rsid w:val="0090355C"/>
    <w:rsid w:val="00904420"/>
    <w:rsid w:val="00904DCD"/>
    <w:rsid w:val="0090515F"/>
    <w:rsid w:val="00905894"/>
    <w:rsid w:val="00905B1E"/>
    <w:rsid w:val="00905BE2"/>
    <w:rsid w:val="00905DFD"/>
    <w:rsid w:val="009062F9"/>
    <w:rsid w:val="0090713A"/>
    <w:rsid w:val="00907964"/>
    <w:rsid w:val="00907E22"/>
    <w:rsid w:val="009100FD"/>
    <w:rsid w:val="009105A4"/>
    <w:rsid w:val="00910BA1"/>
    <w:rsid w:val="00910EA3"/>
    <w:rsid w:val="00910FD6"/>
    <w:rsid w:val="009114DE"/>
    <w:rsid w:val="00911C85"/>
    <w:rsid w:val="0091452C"/>
    <w:rsid w:val="00914F55"/>
    <w:rsid w:val="00915EDC"/>
    <w:rsid w:val="00916378"/>
    <w:rsid w:val="00916466"/>
    <w:rsid w:val="0091678E"/>
    <w:rsid w:val="00916A03"/>
    <w:rsid w:val="00916C88"/>
    <w:rsid w:val="00916C8A"/>
    <w:rsid w:val="00917AC7"/>
    <w:rsid w:val="009203B4"/>
    <w:rsid w:val="009206D8"/>
    <w:rsid w:val="00920F1E"/>
    <w:rsid w:val="00921462"/>
    <w:rsid w:val="0092262A"/>
    <w:rsid w:val="009227C9"/>
    <w:rsid w:val="0092287D"/>
    <w:rsid w:val="00922D25"/>
    <w:rsid w:val="0092315C"/>
    <w:rsid w:val="0092316C"/>
    <w:rsid w:val="0092398E"/>
    <w:rsid w:val="00923DEC"/>
    <w:rsid w:val="00924139"/>
    <w:rsid w:val="00924509"/>
    <w:rsid w:val="00924C4D"/>
    <w:rsid w:val="009251CB"/>
    <w:rsid w:val="0092537F"/>
    <w:rsid w:val="009254B1"/>
    <w:rsid w:val="00925782"/>
    <w:rsid w:val="009257CC"/>
    <w:rsid w:val="00926C39"/>
    <w:rsid w:val="00926F89"/>
    <w:rsid w:val="0093065E"/>
    <w:rsid w:val="00930D2D"/>
    <w:rsid w:val="00931040"/>
    <w:rsid w:val="009314C9"/>
    <w:rsid w:val="00931F4F"/>
    <w:rsid w:val="00934CEF"/>
    <w:rsid w:val="0093547B"/>
    <w:rsid w:val="00935A93"/>
    <w:rsid w:val="00936389"/>
    <w:rsid w:val="00937730"/>
    <w:rsid w:val="0093776C"/>
    <w:rsid w:val="009377B2"/>
    <w:rsid w:val="00940E8C"/>
    <w:rsid w:val="009411E8"/>
    <w:rsid w:val="00941560"/>
    <w:rsid w:val="00941F1F"/>
    <w:rsid w:val="00942612"/>
    <w:rsid w:val="00942906"/>
    <w:rsid w:val="00942BE6"/>
    <w:rsid w:val="009431E2"/>
    <w:rsid w:val="00943591"/>
    <w:rsid w:val="00943DC3"/>
    <w:rsid w:val="00944496"/>
    <w:rsid w:val="00944593"/>
    <w:rsid w:val="00944F44"/>
    <w:rsid w:val="00945786"/>
    <w:rsid w:val="00945E15"/>
    <w:rsid w:val="009462CE"/>
    <w:rsid w:val="009465F0"/>
    <w:rsid w:val="00946953"/>
    <w:rsid w:val="00946E23"/>
    <w:rsid w:val="0094722B"/>
    <w:rsid w:val="00947336"/>
    <w:rsid w:val="009478C1"/>
    <w:rsid w:val="0095080E"/>
    <w:rsid w:val="00950834"/>
    <w:rsid w:val="00950C7D"/>
    <w:rsid w:val="00951E37"/>
    <w:rsid w:val="00951E9C"/>
    <w:rsid w:val="0095240B"/>
    <w:rsid w:val="0095372D"/>
    <w:rsid w:val="009539B4"/>
    <w:rsid w:val="00953FFE"/>
    <w:rsid w:val="009540D7"/>
    <w:rsid w:val="0095426C"/>
    <w:rsid w:val="009544DE"/>
    <w:rsid w:val="0095490B"/>
    <w:rsid w:val="00954EAD"/>
    <w:rsid w:val="0095535A"/>
    <w:rsid w:val="0095551E"/>
    <w:rsid w:val="00955891"/>
    <w:rsid w:val="00956D38"/>
    <w:rsid w:val="00956EF4"/>
    <w:rsid w:val="0095729A"/>
    <w:rsid w:val="00957C37"/>
    <w:rsid w:val="009613B7"/>
    <w:rsid w:val="0096231F"/>
    <w:rsid w:val="009626B0"/>
    <w:rsid w:val="00962E42"/>
    <w:rsid w:val="00962F10"/>
    <w:rsid w:val="009633E1"/>
    <w:rsid w:val="00963554"/>
    <w:rsid w:val="00963696"/>
    <w:rsid w:val="00963D2D"/>
    <w:rsid w:val="00963FC7"/>
    <w:rsid w:val="009642B3"/>
    <w:rsid w:val="009643C3"/>
    <w:rsid w:val="00964464"/>
    <w:rsid w:val="009644B3"/>
    <w:rsid w:val="00964E73"/>
    <w:rsid w:val="009654F6"/>
    <w:rsid w:val="009655E8"/>
    <w:rsid w:val="00965A23"/>
    <w:rsid w:val="0096608E"/>
    <w:rsid w:val="0096629D"/>
    <w:rsid w:val="00966380"/>
    <w:rsid w:val="00966BDA"/>
    <w:rsid w:val="00966FB2"/>
    <w:rsid w:val="009672C7"/>
    <w:rsid w:val="00967B34"/>
    <w:rsid w:val="00970A72"/>
    <w:rsid w:val="00970A8B"/>
    <w:rsid w:val="00970B85"/>
    <w:rsid w:val="00970C75"/>
    <w:rsid w:val="009710C6"/>
    <w:rsid w:val="00972153"/>
    <w:rsid w:val="009726FD"/>
    <w:rsid w:val="00972D4F"/>
    <w:rsid w:val="00973D5D"/>
    <w:rsid w:val="009749E5"/>
    <w:rsid w:val="00974A2D"/>
    <w:rsid w:val="00974B9E"/>
    <w:rsid w:val="009759CA"/>
    <w:rsid w:val="009762A8"/>
    <w:rsid w:val="00976944"/>
    <w:rsid w:val="00977254"/>
    <w:rsid w:val="00977A5A"/>
    <w:rsid w:val="00977B3D"/>
    <w:rsid w:val="00980F04"/>
    <w:rsid w:val="009810A9"/>
    <w:rsid w:val="00981AFE"/>
    <w:rsid w:val="00982311"/>
    <w:rsid w:val="0098261F"/>
    <w:rsid w:val="00982EB6"/>
    <w:rsid w:val="00983073"/>
    <w:rsid w:val="0098314D"/>
    <w:rsid w:val="009839CB"/>
    <w:rsid w:val="00984D4D"/>
    <w:rsid w:val="009853E9"/>
    <w:rsid w:val="00985EEA"/>
    <w:rsid w:val="00986335"/>
    <w:rsid w:val="00986982"/>
    <w:rsid w:val="00986A8D"/>
    <w:rsid w:val="00986F18"/>
    <w:rsid w:val="0098773F"/>
    <w:rsid w:val="00987F3B"/>
    <w:rsid w:val="00990968"/>
    <w:rsid w:val="009917DA"/>
    <w:rsid w:val="00991907"/>
    <w:rsid w:val="00991D18"/>
    <w:rsid w:val="00992BB4"/>
    <w:rsid w:val="009938C1"/>
    <w:rsid w:val="00993A41"/>
    <w:rsid w:val="00993A9A"/>
    <w:rsid w:val="00993AA3"/>
    <w:rsid w:val="00993EB5"/>
    <w:rsid w:val="00994035"/>
    <w:rsid w:val="00994244"/>
    <w:rsid w:val="0099496E"/>
    <w:rsid w:val="009951F7"/>
    <w:rsid w:val="0099588F"/>
    <w:rsid w:val="00995B43"/>
    <w:rsid w:val="00996489"/>
    <w:rsid w:val="009971FB"/>
    <w:rsid w:val="0099728A"/>
    <w:rsid w:val="0099737C"/>
    <w:rsid w:val="0099743D"/>
    <w:rsid w:val="0099744C"/>
    <w:rsid w:val="009A0A73"/>
    <w:rsid w:val="009A0DC5"/>
    <w:rsid w:val="009A18B0"/>
    <w:rsid w:val="009A28E5"/>
    <w:rsid w:val="009A2EB0"/>
    <w:rsid w:val="009A3275"/>
    <w:rsid w:val="009A338F"/>
    <w:rsid w:val="009A3A82"/>
    <w:rsid w:val="009A3BED"/>
    <w:rsid w:val="009A3FD9"/>
    <w:rsid w:val="009A4105"/>
    <w:rsid w:val="009A42E7"/>
    <w:rsid w:val="009A430E"/>
    <w:rsid w:val="009A48DE"/>
    <w:rsid w:val="009A4EA4"/>
    <w:rsid w:val="009A5146"/>
    <w:rsid w:val="009A5D41"/>
    <w:rsid w:val="009A611B"/>
    <w:rsid w:val="009A6B75"/>
    <w:rsid w:val="009A755A"/>
    <w:rsid w:val="009A767C"/>
    <w:rsid w:val="009B07D8"/>
    <w:rsid w:val="009B0C79"/>
    <w:rsid w:val="009B1DAD"/>
    <w:rsid w:val="009B28C5"/>
    <w:rsid w:val="009B2B5E"/>
    <w:rsid w:val="009B365B"/>
    <w:rsid w:val="009B3AE6"/>
    <w:rsid w:val="009B4893"/>
    <w:rsid w:val="009B4B9F"/>
    <w:rsid w:val="009B5E7C"/>
    <w:rsid w:val="009B609F"/>
    <w:rsid w:val="009B61B3"/>
    <w:rsid w:val="009B625E"/>
    <w:rsid w:val="009B6433"/>
    <w:rsid w:val="009B6650"/>
    <w:rsid w:val="009B69B5"/>
    <w:rsid w:val="009B69BB"/>
    <w:rsid w:val="009B762B"/>
    <w:rsid w:val="009B7D9F"/>
    <w:rsid w:val="009C0AA3"/>
    <w:rsid w:val="009C117C"/>
    <w:rsid w:val="009C1E87"/>
    <w:rsid w:val="009C1ED5"/>
    <w:rsid w:val="009C21B8"/>
    <w:rsid w:val="009C2557"/>
    <w:rsid w:val="009C26C2"/>
    <w:rsid w:val="009C29BA"/>
    <w:rsid w:val="009C2A79"/>
    <w:rsid w:val="009C2D58"/>
    <w:rsid w:val="009C3D17"/>
    <w:rsid w:val="009C3D2A"/>
    <w:rsid w:val="009C4611"/>
    <w:rsid w:val="009C4679"/>
    <w:rsid w:val="009C48B2"/>
    <w:rsid w:val="009C4D2A"/>
    <w:rsid w:val="009C56DB"/>
    <w:rsid w:val="009C58B7"/>
    <w:rsid w:val="009C67B3"/>
    <w:rsid w:val="009C68EB"/>
    <w:rsid w:val="009C6CC5"/>
    <w:rsid w:val="009C7016"/>
    <w:rsid w:val="009C70F4"/>
    <w:rsid w:val="009C7106"/>
    <w:rsid w:val="009C7B8F"/>
    <w:rsid w:val="009C7D2D"/>
    <w:rsid w:val="009D012A"/>
    <w:rsid w:val="009D02A1"/>
    <w:rsid w:val="009D151C"/>
    <w:rsid w:val="009D1ADC"/>
    <w:rsid w:val="009D1B1F"/>
    <w:rsid w:val="009D2392"/>
    <w:rsid w:val="009D2550"/>
    <w:rsid w:val="009D3167"/>
    <w:rsid w:val="009D4390"/>
    <w:rsid w:val="009D50A2"/>
    <w:rsid w:val="009D5240"/>
    <w:rsid w:val="009D57B9"/>
    <w:rsid w:val="009D57E1"/>
    <w:rsid w:val="009D61B2"/>
    <w:rsid w:val="009D69A3"/>
    <w:rsid w:val="009D6F9A"/>
    <w:rsid w:val="009D783D"/>
    <w:rsid w:val="009D7C23"/>
    <w:rsid w:val="009D7D85"/>
    <w:rsid w:val="009E014F"/>
    <w:rsid w:val="009E09B5"/>
    <w:rsid w:val="009E0E27"/>
    <w:rsid w:val="009E0FBE"/>
    <w:rsid w:val="009E12BB"/>
    <w:rsid w:val="009E1508"/>
    <w:rsid w:val="009E1D54"/>
    <w:rsid w:val="009E24CD"/>
    <w:rsid w:val="009E2611"/>
    <w:rsid w:val="009E362B"/>
    <w:rsid w:val="009E3C26"/>
    <w:rsid w:val="009E3FF7"/>
    <w:rsid w:val="009E49D2"/>
    <w:rsid w:val="009E4B69"/>
    <w:rsid w:val="009E4E57"/>
    <w:rsid w:val="009E5734"/>
    <w:rsid w:val="009E630B"/>
    <w:rsid w:val="009E6336"/>
    <w:rsid w:val="009E6C57"/>
    <w:rsid w:val="009E74DC"/>
    <w:rsid w:val="009F008A"/>
    <w:rsid w:val="009F0AE1"/>
    <w:rsid w:val="009F11D0"/>
    <w:rsid w:val="009F15AB"/>
    <w:rsid w:val="009F1793"/>
    <w:rsid w:val="009F33AA"/>
    <w:rsid w:val="009F392D"/>
    <w:rsid w:val="009F3956"/>
    <w:rsid w:val="009F4004"/>
    <w:rsid w:val="009F4394"/>
    <w:rsid w:val="009F4471"/>
    <w:rsid w:val="009F586D"/>
    <w:rsid w:val="009F5A2D"/>
    <w:rsid w:val="009F5E26"/>
    <w:rsid w:val="009F5EED"/>
    <w:rsid w:val="009F6817"/>
    <w:rsid w:val="009F726A"/>
    <w:rsid w:val="009F77A0"/>
    <w:rsid w:val="009F77D3"/>
    <w:rsid w:val="009F77F2"/>
    <w:rsid w:val="009F7C52"/>
    <w:rsid w:val="00A001E9"/>
    <w:rsid w:val="00A01AF2"/>
    <w:rsid w:val="00A0264C"/>
    <w:rsid w:val="00A02B3A"/>
    <w:rsid w:val="00A02FE3"/>
    <w:rsid w:val="00A0302B"/>
    <w:rsid w:val="00A037DF"/>
    <w:rsid w:val="00A03B75"/>
    <w:rsid w:val="00A04044"/>
    <w:rsid w:val="00A0416F"/>
    <w:rsid w:val="00A049B5"/>
    <w:rsid w:val="00A049CA"/>
    <w:rsid w:val="00A04E90"/>
    <w:rsid w:val="00A05578"/>
    <w:rsid w:val="00A0584C"/>
    <w:rsid w:val="00A0597D"/>
    <w:rsid w:val="00A05AFD"/>
    <w:rsid w:val="00A05FF3"/>
    <w:rsid w:val="00A062ED"/>
    <w:rsid w:val="00A0630C"/>
    <w:rsid w:val="00A068AF"/>
    <w:rsid w:val="00A0697F"/>
    <w:rsid w:val="00A06D06"/>
    <w:rsid w:val="00A07361"/>
    <w:rsid w:val="00A07450"/>
    <w:rsid w:val="00A07CBB"/>
    <w:rsid w:val="00A07DA3"/>
    <w:rsid w:val="00A10D92"/>
    <w:rsid w:val="00A10FE8"/>
    <w:rsid w:val="00A113A7"/>
    <w:rsid w:val="00A1150B"/>
    <w:rsid w:val="00A11C4B"/>
    <w:rsid w:val="00A121F3"/>
    <w:rsid w:val="00A12F9D"/>
    <w:rsid w:val="00A131B8"/>
    <w:rsid w:val="00A1330C"/>
    <w:rsid w:val="00A1384F"/>
    <w:rsid w:val="00A13DDC"/>
    <w:rsid w:val="00A14116"/>
    <w:rsid w:val="00A14528"/>
    <w:rsid w:val="00A14568"/>
    <w:rsid w:val="00A15DCA"/>
    <w:rsid w:val="00A169BA"/>
    <w:rsid w:val="00A177E8"/>
    <w:rsid w:val="00A178B1"/>
    <w:rsid w:val="00A17C61"/>
    <w:rsid w:val="00A206CE"/>
    <w:rsid w:val="00A20931"/>
    <w:rsid w:val="00A21D5F"/>
    <w:rsid w:val="00A221E1"/>
    <w:rsid w:val="00A22964"/>
    <w:rsid w:val="00A234F0"/>
    <w:rsid w:val="00A23692"/>
    <w:rsid w:val="00A23F77"/>
    <w:rsid w:val="00A24171"/>
    <w:rsid w:val="00A241DE"/>
    <w:rsid w:val="00A24886"/>
    <w:rsid w:val="00A24973"/>
    <w:rsid w:val="00A24EA7"/>
    <w:rsid w:val="00A24EDA"/>
    <w:rsid w:val="00A24F76"/>
    <w:rsid w:val="00A2564D"/>
    <w:rsid w:val="00A26DDB"/>
    <w:rsid w:val="00A30966"/>
    <w:rsid w:val="00A31472"/>
    <w:rsid w:val="00A3170F"/>
    <w:rsid w:val="00A31C4C"/>
    <w:rsid w:val="00A32D3D"/>
    <w:rsid w:val="00A32F00"/>
    <w:rsid w:val="00A34E62"/>
    <w:rsid w:val="00A355E9"/>
    <w:rsid w:val="00A35C14"/>
    <w:rsid w:val="00A360AF"/>
    <w:rsid w:val="00A36387"/>
    <w:rsid w:val="00A36B52"/>
    <w:rsid w:val="00A37639"/>
    <w:rsid w:val="00A37858"/>
    <w:rsid w:val="00A40162"/>
    <w:rsid w:val="00A408D2"/>
    <w:rsid w:val="00A409A4"/>
    <w:rsid w:val="00A40D62"/>
    <w:rsid w:val="00A41C7A"/>
    <w:rsid w:val="00A420DD"/>
    <w:rsid w:val="00A42371"/>
    <w:rsid w:val="00A43242"/>
    <w:rsid w:val="00A43E4D"/>
    <w:rsid w:val="00A44252"/>
    <w:rsid w:val="00A4441E"/>
    <w:rsid w:val="00A4453C"/>
    <w:rsid w:val="00A4465E"/>
    <w:rsid w:val="00A44BDF"/>
    <w:rsid w:val="00A45287"/>
    <w:rsid w:val="00A45452"/>
    <w:rsid w:val="00A454ED"/>
    <w:rsid w:val="00A4552D"/>
    <w:rsid w:val="00A455EA"/>
    <w:rsid w:val="00A45DE7"/>
    <w:rsid w:val="00A4701B"/>
    <w:rsid w:val="00A47031"/>
    <w:rsid w:val="00A47644"/>
    <w:rsid w:val="00A50049"/>
    <w:rsid w:val="00A50296"/>
    <w:rsid w:val="00A50744"/>
    <w:rsid w:val="00A50D0A"/>
    <w:rsid w:val="00A51153"/>
    <w:rsid w:val="00A51A95"/>
    <w:rsid w:val="00A51E6A"/>
    <w:rsid w:val="00A520B2"/>
    <w:rsid w:val="00A52122"/>
    <w:rsid w:val="00A521DD"/>
    <w:rsid w:val="00A53B58"/>
    <w:rsid w:val="00A54514"/>
    <w:rsid w:val="00A54B99"/>
    <w:rsid w:val="00A55CF9"/>
    <w:rsid w:val="00A56105"/>
    <w:rsid w:val="00A57B6C"/>
    <w:rsid w:val="00A57FAA"/>
    <w:rsid w:val="00A6097B"/>
    <w:rsid w:val="00A61090"/>
    <w:rsid w:val="00A6203E"/>
    <w:rsid w:val="00A62764"/>
    <w:rsid w:val="00A62E8D"/>
    <w:rsid w:val="00A63070"/>
    <w:rsid w:val="00A63C5B"/>
    <w:rsid w:val="00A63F49"/>
    <w:rsid w:val="00A64CB0"/>
    <w:rsid w:val="00A64EEF"/>
    <w:rsid w:val="00A677B5"/>
    <w:rsid w:val="00A67E9A"/>
    <w:rsid w:val="00A71125"/>
    <w:rsid w:val="00A71267"/>
    <w:rsid w:val="00A7164B"/>
    <w:rsid w:val="00A7179E"/>
    <w:rsid w:val="00A725AC"/>
    <w:rsid w:val="00A728F4"/>
    <w:rsid w:val="00A72A23"/>
    <w:rsid w:val="00A72E5B"/>
    <w:rsid w:val="00A738AB"/>
    <w:rsid w:val="00A73C01"/>
    <w:rsid w:val="00A73C7B"/>
    <w:rsid w:val="00A7414B"/>
    <w:rsid w:val="00A74189"/>
    <w:rsid w:val="00A74C46"/>
    <w:rsid w:val="00A7526F"/>
    <w:rsid w:val="00A75B07"/>
    <w:rsid w:val="00A75B6A"/>
    <w:rsid w:val="00A75C02"/>
    <w:rsid w:val="00A763FF"/>
    <w:rsid w:val="00A76DF9"/>
    <w:rsid w:val="00A77FBB"/>
    <w:rsid w:val="00A8022F"/>
    <w:rsid w:val="00A8109B"/>
    <w:rsid w:val="00A81164"/>
    <w:rsid w:val="00A81187"/>
    <w:rsid w:val="00A811CA"/>
    <w:rsid w:val="00A81C86"/>
    <w:rsid w:val="00A823B3"/>
    <w:rsid w:val="00A82626"/>
    <w:rsid w:val="00A83093"/>
    <w:rsid w:val="00A83300"/>
    <w:rsid w:val="00A8345C"/>
    <w:rsid w:val="00A836E0"/>
    <w:rsid w:val="00A83984"/>
    <w:rsid w:val="00A83C78"/>
    <w:rsid w:val="00A84412"/>
    <w:rsid w:val="00A84819"/>
    <w:rsid w:val="00A84A1A"/>
    <w:rsid w:val="00A85006"/>
    <w:rsid w:val="00A854C7"/>
    <w:rsid w:val="00A85FF6"/>
    <w:rsid w:val="00A86A21"/>
    <w:rsid w:val="00A87694"/>
    <w:rsid w:val="00A87803"/>
    <w:rsid w:val="00A87C2F"/>
    <w:rsid w:val="00A90708"/>
    <w:rsid w:val="00A90D99"/>
    <w:rsid w:val="00A9117B"/>
    <w:rsid w:val="00A91879"/>
    <w:rsid w:val="00A91964"/>
    <w:rsid w:val="00A92225"/>
    <w:rsid w:val="00A9601E"/>
    <w:rsid w:val="00A962AC"/>
    <w:rsid w:val="00A96DD6"/>
    <w:rsid w:val="00A96E8B"/>
    <w:rsid w:val="00A96F0B"/>
    <w:rsid w:val="00A97139"/>
    <w:rsid w:val="00A97272"/>
    <w:rsid w:val="00A97993"/>
    <w:rsid w:val="00A97B65"/>
    <w:rsid w:val="00A97BB6"/>
    <w:rsid w:val="00AA1026"/>
    <w:rsid w:val="00AA12AC"/>
    <w:rsid w:val="00AA2315"/>
    <w:rsid w:val="00AA35A1"/>
    <w:rsid w:val="00AA46D7"/>
    <w:rsid w:val="00AA5034"/>
    <w:rsid w:val="00AA6024"/>
    <w:rsid w:val="00AA6224"/>
    <w:rsid w:val="00AA74E0"/>
    <w:rsid w:val="00AA7C4B"/>
    <w:rsid w:val="00AB0C83"/>
    <w:rsid w:val="00AB26AE"/>
    <w:rsid w:val="00AB298A"/>
    <w:rsid w:val="00AB2DD1"/>
    <w:rsid w:val="00AB31F8"/>
    <w:rsid w:val="00AB3504"/>
    <w:rsid w:val="00AB3542"/>
    <w:rsid w:val="00AB3E99"/>
    <w:rsid w:val="00AB3F87"/>
    <w:rsid w:val="00AB42AA"/>
    <w:rsid w:val="00AB46E7"/>
    <w:rsid w:val="00AB4F9F"/>
    <w:rsid w:val="00AB50A6"/>
    <w:rsid w:val="00AB5EAF"/>
    <w:rsid w:val="00AB6518"/>
    <w:rsid w:val="00AB6EA9"/>
    <w:rsid w:val="00AB6F7F"/>
    <w:rsid w:val="00AB74EB"/>
    <w:rsid w:val="00AB783E"/>
    <w:rsid w:val="00AB78DF"/>
    <w:rsid w:val="00AC0B4D"/>
    <w:rsid w:val="00AC1103"/>
    <w:rsid w:val="00AC1918"/>
    <w:rsid w:val="00AC19DF"/>
    <w:rsid w:val="00AC2DCA"/>
    <w:rsid w:val="00AC374C"/>
    <w:rsid w:val="00AC39BD"/>
    <w:rsid w:val="00AC4828"/>
    <w:rsid w:val="00AC4BBE"/>
    <w:rsid w:val="00AC54A9"/>
    <w:rsid w:val="00AC5635"/>
    <w:rsid w:val="00AC580C"/>
    <w:rsid w:val="00AC7C4E"/>
    <w:rsid w:val="00AC7F34"/>
    <w:rsid w:val="00AD028F"/>
    <w:rsid w:val="00AD0626"/>
    <w:rsid w:val="00AD0DA8"/>
    <w:rsid w:val="00AD17AB"/>
    <w:rsid w:val="00AD1958"/>
    <w:rsid w:val="00AD2223"/>
    <w:rsid w:val="00AD2712"/>
    <w:rsid w:val="00AD2D33"/>
    <w:rsid w:val="00AD41E3"/>
    <w:rsid w:val="00AD4324"/>
    <w:rsid w:val="00AD55A5"/>
    <w:rsid w:val="00AD5783"/>
    <w:rsid w:val="00AD5EF1"/>
    <w:rsid w:val="00AD66DF"/>
    <w:rsid w:val="00AD7422"/>
    <w:rsid w:val="00AD7EDE"/>
    <w:rsid w:val="00AE0165"/>
    <w:rsid w:val="00AE0183"/>
    <w:rsid w:val="00AE0903"/>
    <w:rsid w:val="00AE0B5D"/>
    <w:rsid w:val="00AE0C4A"/>
    <w:rsid w:val="00AE2D9F"/>
    <w:rsid w:val="00AE4078"/>
    <w:rsid w:val="00AE42F8"/>
    <w:rsid w:val="00AE50F9"/>
    <w:rsid w:val="00AE5C52"/>
    <w:rsid w:val="00AE63B1"/>
    <w:rsid w:val="00AE7402"/>
    <w:rsid w:val="00AE7BCD"/>
    <w:rsid w:val="00AF1669"/>
    <w:rsid w:val="00AF180E"/>
    <w:rsid w:val="00AF29DB"/>
    <w:rsid w:val="00AF3111"/>
    <w:rsid w:val="00AF3963"/>
    <w:rsid w:val="00AF47C2"/>
    <w:rsid w:val="00AF4C98"/>
    <w:rsid w:val="00AF5098"/>
    <w:rsid w:val="00AF572E"/>
    <w:rsid w:val="00AF5B3A"/>
    <w:rsid w:val="00AF5DCA"/>
    <w:rsid w:val="00AF6C77"/>
    <w:rsid w:val="00AF6D66"/>
    <w:rsid w:val="00AF72F5"/>
    <w:rsid w:val="00AF7821"/>
    <w:rsid w:val="00AF7FB2"/>
    <w:rsid w:val="00B00624"/>
    <w:rsid w:val="00B009A0"/>
    <w:rsid w:val="00B00E76"/>
    <w:rsid w:val="00B0131A"/>
    <w:rsid w:val="00B01813"/>
    <w:rsid w:val="00B020B1"/>
    <w:rsid w:val="00B022E7"/>
    <w:rsid w:val="00B03014"/>
    <w:rsid w:val="00B0304D"/>
    <w:rsid w:val="00B04CA6"/>
    <w:rsid w:val="00B04E8D"/>
    <w:rsid w:val="00B068FE"/>
    <w:rsid w:val="00B06B17"/>
    <w:rsid w:val="00B075B3"/>
    <w:rsid w:val="00B100F3"/>
    <w:rsid w:val="00B10396"/>
    <w:rsid w:val="00B1200D"/>
    <w:rsid w:val="00B12917"/>
    <w:rsid w:val="00B12CBC"/>
    <w:rsid w:val="00B137BC"/>
    <w:rsid w:val="00B137EB"/>
    <w:rsid w:val="00B13805"/>
    <w:rsid w:val="00B14155"/>
    <w:rsid w:val="00B141CF"/>
    <w:rsid w:val="00B14289"/>
    <w:rsid w:val="00B143C0"/>
    <w:rsid w:val="00B14B7B"/>
    <w:rsid w:val="00B14D18"/>
    <w:rsid w:val="00B15A5F"/>
    <w:rsid w:val="00B15A85"/>
    <w:rsid w:val="00B15EDD"/>
    <w:rsid w:val="00B17303"/>
    <w:rsid w:val="00B17947"/>
    <w:rsid w:val="00B17CFA"/>
    <w:rsid w:val="00B20032"/>
    <w:rsid w:val="00B20352"/>
    <w:rsid w:val="00B20566"/>
    <w:rsid w:val="00B218FC"/>
    <w:rsid w:val="00B2254C"/>
    <w:rsid w:val="00B2277A"/>
    <w:rsid w:val="00B22C4B"/>
    <w:rsid w:val="00B22FB1"/>
    <w:rsid w:val="00B2305B"/>
    <w:rsid w:val="00B23AA6"/>
    <w:rsid w:val="00B2415E"/>
    <w:rsid w:val="00B266F9"/>
    <w:rsid w:val="00B2796F"/>
    <w:rsid w:val="00B30776"/>
    <w:rsid w:val="00B30824"/>
    <w:rsid w:val="00B30B90"/>
    <w:rsid w:val="00B30D56"/>
    <w:rsid w:val="00B30F5C"/>
    <w:rsid w:val="00B313C7"/>
    <w:rsid w:val="00B31EF9"/>
    <w:rsid w:val="00B335AC"/>
    <w:rsid w:val="00B3382D"/>
    <w:rsid w:val="00B346EC"/>
    <w:rsid w:val="00B34AF6"/>
    <w:rsid w:val="00B34EFF"/>
    <w:rsid w:val="00B35094"/>
    <w:rsid w:val="00B35A6A"/>
    <w:rsid w:val="00B361D3"/>
    <w:rsid w:val="00B36BCF"/>
    <w:rsid w:val="00B36C93"/>
    <w:rsid w:val="00B36FCC"/>
    <w:rsid w:val="00B40059"/>
    <w:rsid w:val="00B40BC0"/>
    <w:rsid w:val="00B419D9"/>
    <w:rsid w:val="00B41CD7"/>
    <w:rsid w:val="00B42C86"/>
    <w:rsid w:val="00B43583"/>
    <w:rsid w:val="00B435F0"/>
    <w:rsid w:val="00B44941"/>
    <w:rsid w:val="00B461BA"/>
    <w:rsid w:val="00B461E0"/>
    <w:rsid w:val="00B468DE"/>
    <w:rsid w:val="00B46A52"/>
    <w:rsid w:val="00B4728C"/>
    <w:rsid w:val="00B47A1A"/>
    <w:rsid w:val="00B47C63"/>
    <w:rsid w:val="00B50F33"/>
    <w:rsid w:val="00B5248E"/>
    <w:rsid w:val="00B52A80"/>
    <w:rsid w:val="00B5302F"/>
    <w:rsid w:val="00B53054"/>
    <w:rsid w:val="00B53077"/>
    <w:rsid w:val="00B53224"/>
    <w:rsid w:val="00B5389B"/>
    <w:rsid w:val="00B53B13"/>
    <w:rsid w:val="00B542FF"/>
    <w:rsid w:val="00B54DFE"/>
    <w:rsid w:val="00B55EA7"/>
    <w:rsid w:val="00B560D0"/>
    <w:rsid w:val="00B569A3"/>
    <w:rsid w:val="00B56DC3"/>
    <w:rsid w:val="00B56FD1"/>
    <w:rsid w:val="00B606E5"/>
    <w:rsid w:val="00B61BC2"/>
    <w:rsid w:val="00B61D84"/>
    <w:rsid w:val="00B63545"/>
    <w:rsid w:val="00B63775"/>
    <w:rsid w:val="00B63EF2"/>
    <w:rsid w:val="00B64B87"/>
    <w:rsid w:val="00B64BF3"/>
    <w:rsid w:val="00B64D41"/>
    <w:rsid w:val="00B657A9"/>
    <w:rsid w:val="00B658A0"/>
    <w:rsid w:val="00B66187"/>
    <w:rsid w:val="00B66714"/>
    <w:rsid w:val="00B66719"/>
    <w:rsid w:val="00B66A89"/>
    <w:rsid w:val="00B67C3E"/>
    <w:rsid w:val="00B7029C"/>
    <w:rsid w:val="00B7064A"/>
    <w:rsid w:val="00B70D5D"/>
    <w:rsid w:val="00B714EE"/>
    <w:rsid w:val="00B71577"/>
    <w:rsid w:val="00B71715"/>
    <w:rsid w:val="00B72512"/>
    <w:rsid w:val="00B72841"/>
    <w:rsid w:val="00B72B79"/>
    <w:rsid w:val="00B73009"/>
    <w:rsid w:val="00B75118"/>
    <w:rsid w:val="00B7644E"/>
    <w:rsid w:val="00B76FFE"/>
    <w:rsid w:val="00B7794E"/>
    <w:rsid w:val="00B80A03"/>
    <w:rsid w:val="00B80D2E"/>
    <w:rsid w:val="00B8163E"/>
    <w:rsid w:val="00B817E8"/>
    <w:rsid w:val="00B81FD9"/>
    <w:rsid w:val="00B8252D"/>
    <w:rsid w:val="00B8261B"/>
    <w:rsid w:val="00B82CE9"/>
    <w:rsid w:val="00B83AAB"/>
    <w:rsid w:val="00B8450E"/>
    <w:rsid w:val="00B84A18"/>
    <w:rsid w:val="00B84C73"/>
    <w:rsid w:val="00B8556A"/>
    <w:rsid w:val="00B863A4"/>
    <w:rsid w:val="00B864D5"/>
    <w:rsid w:val="00B866CA"/>
    <w:rsid w:val="00B867F6"/>
    <w:rsid w:val="00B87272"/>
    <w:rsid w:val="00B87317"/>
    <w:rsid w:val="00B87420"/>
    <w:rsid w:val="00B87E96"/>
    <w:rsid w:val="00B9033E"/>
    <w:rsid w:val="00B90D99"/>
    <w:rsid w:val="00B93997"/>
    <w:rsid w:val="00B93D80"/>
    <w:rsid w:val="00B93E51"/>
    <w:rsid w:val="00B93FD9"/>
    <w:rsid w:val="00B94727"/>
    <w:rsid w:val="00B948E6"/>
    <w:rsid w:val="00B94A86"/>
    <w:rsid w:val="00B94BBE"/>
    <w:rsid w:val="00B950C8"/>
    <w:rsid w:val="00B954C9"/>
    <w:rsid w:val="00B95663"/>
    <w:rsid w:val="00B9611A"/>
    <w:rsid w:val="00B96691"/>
    <w:rsid w:val="00B96821"/>
    <w:rsid w:val="00B96A5A"/>
    <w:rsid w:val="00B96A65"/>
    <w:rsid w:val="00B9798E"/>
    <w:rsid w:val="00B979E7"/>
    <w:rsid w:val="00B97C0A"/>
    <w:rsid w:val="00BA039A"/>
    <w:rsid w:val="00BA05A1"/>
    <w:rsid w:val="00BA089B"/>
    <w:rsid w:val="00BA2122"/>
    <w:rsid w:val="00BA228F"/>
    <w:rsid w:val="00BA2A76"/>
    <w:rsid w:val="00BA2B03"/>
    <w:rsid w:val="00BA3099"/>
    <w:rsid w:val="00BA3AA1"/>
    <w:rsid w:val="00BA3E7F"/>
    <w:rsid w:val="00BA415F"/>
    <w:rsid w:val="00BA4703"/>
    <w:rsid w:val="00BA4D45"/>
    <w:rsid w:val="00BA561F"/>
    <w:rsid w:val="00BA66CD"/>
    <w:rsid w:val="00BA7ADB"/>
    <w:rsid w:val="00BB111E"/>
    <w:rsid w:val="00BB11C2"/>
    <w:rsid w:val="00BB1565"/>
    <w:rsid w:val="00BB1FF0"/>
    <w:rsid w:val="00BB2424"/>
    <w:rsid w:val="00BB2F92"/>
    <w:rsid w:val="00BB3003"/>
    <w:rsid w:val="00BB35BA"/>
    <w:rsid w:val="00BB3870"/>
    <w:rsid w:val="00BB3E7A"/>
    <w:rsid w:val="00BB5AC4"/>
    <w:rsid w:val="00BB7BEF"/>
    <w:rsid w:val="00BC10D3"/>
    <w:rsid w:val="00BC11A8"/>
    <w:rsid w:val="00BC1430"/>
    <w:rsid w:val="00BC16DA"/>
    <w:rsid w:val="00BC1B86"/>
    <w:rsid w:val="00BC3463"/>
    <w:rsid w:val="00BC4117"/>
    <w:rsid w:val="00BC4125"/>
    <w:rsid w:val="00BC43EF"/>
    <w:rsid w:val="00BC48C1"/>
    <w:rsid w:val="00BC4D1A"/>
    <w:rsid w:val="00BC5576"/>
    <w:rsid w:val="00BC5BE7"/>
    <w:rsid w:val="00BC62D1"/>
    <w:rsid w:val="00BC6812"/>
    <w:rsid w:val="00BC6A3E"/>
    <w:rsid w:val="00BC6AD9"/>
    <w:rsid w:val="00BC6D26"/>
    <w:rsid w:val="00BC6EB7"/>
    <w:rsid w:val="00BC77AC"/>
    <w:rsid w:val="00BC7A44"/>
    <w:rsid w:val="00BC7CF2"/>
    <w:rsid w:val="00BC7FB9"/>
    <w:rsid w:val="00BD14D0"/>
    <w:rsid w:val="00BD197B"/>
    <w:rsid w:val="00BD2057"/>
    <w:rsid w:val="00BD227E"/>
    <w:rsid w:val="00BD2F08"/>
    <w:rsid w:val="00BD3458"/>
    <w:rsid w:val="00BD3752"/>
    <w:rsid w:val="00BD3B1B"/>
    <w:rsid w:val="00BD4B9B"/>
    <w:rsid w:val="00BD51F2"/>
    <w:rsid w:val="00BD5206"/>
    <w:rsid w:val="00BD5459"/>
    <w:rsid w:val="00BD7570"/>
    <w:rsid w:val="00BD76F2"/>
    <w:rsid w:val="00BD78D4"/>
    <w:rsid w:val="00BE0A4A"/>
    <w:rsid w:val="00BE0B42"/>
    <w:rsid w:val="00BE228F"/>
    <w:rsid w:val="00BE23AB"/>
    <w:rsid w:val="00BE26E6"/>
    <w:rsid w:val="00BE2C84"/>
    <w:rsid w:val="00BE3EE6"/>
    <w:rsid w:val="00BE412B"/>
    <w:rsid w:val="00BE4BA4"/>
    <w:rsid w:val="00BE4FF4"/>
    <w:rsid w:val="00BE572F"/>
    <w:rsid w:val="00BE5C2F"/>
    <w:rsid w:val="00BE5C32"/>
    <w:rsid w:val="00BE60C4"/>
    <w:rsid w:val="00BE61BB"/>
    <w:rsid w:val="00BE7194"/>
    <w:rsid w:val="00BE742D"/>
    <w:rsid w:val="00BE7A7B"/>
    <w:rsid w:val="00BE7C9E"/>
    <w:rsid w:val="00BF127C"/>
    <w:rsid w:val="00BF31B5"/>
    <w:rsid w:val="00BF35A6"/>
    <w:rsid w:val="00BF3DDD"/>
    <w:rsid w:val="00BF3EC8"/>
    <w:rsid w:val="00BF48B5"/>
    <w:rsid w:val="00BF4D56"/>
    <w:rsid w:val="00BF4F58"/>
    <w:rsid w:val="00BF539D"/>
    <w:rsid w:val="00BF5CDE"/>
    <w:rsid w:val="00BF5E97"/>
    <w:rsid w:val="00BF62EC"/>
    <w:rsid w:val="00BF6797"/>
    <w:rsid w:val="00BF686F"/>
    <w:rsid w:val="00BF6CB3"/>
    <w:rsid w:val="00BF7F67"/>
    <w:rsid w:val="00C002B8"/>
    <w:rsid w:val="00C0145A"/>
    <w:rsid w:val="00C01F58"/>
    <w:rsid w:val="00C02A60"/>
    <w:rsid w:val="00C02B76"/>
    <w:rsid w:val="00C03246"/>
    <w:rsid w:val="00C03508"/>
    <w:rsid w:val="00C03F40"/>
    <w:rsid w:val="00C0573D"/>
    <w:rsid w:val="00C06F56"/>
    <w:rsid w:val="00C0708B"/>
    <w:rsid w:val="00C074A4"/>
    <w:rsid w:val="00C07743"/>
    <w:rsid w:val="00C07863"/>
    <w:rsid w:val="00C07864"/>
    <w:rsid w:val="00C10BDD"/>
    <w:rsid w:val="00C114BE"/>
    <w:rsid w:val="00C1189D"/>
    <w:rsid w:val="00C122DE"/>
    <w:rsid w:val="00C12800"/>
    <w:rsid w:val="00C12964"/>
    <w:rsid w:val="00C12E85"/>
    <w:rsid w:val="00C13A9B"/>
    <w:rsid w:val="00C13C11"/>
    <w:rsid w:val="00C14259"/>
    <w:rsid w:val="00C14932"/>
    <w:rsid w:val="00C1538F"/>
    <w:rsid w:val="00C16E01"/>
    <w:rsid w:val="00C17D53"/>
    <w:rsid w:val="00C201D1"/>
    <w:rsid w:val="00C20432"/>
    <w:rsid w:val="00C2085E"/>
    <w:rsid w:val="00C213DC"/>
    <w:rsid w:val="00C21DF7"/>
    <w:rsid w:val="00C23023"/>
    <w:rsid w:val="00C23931"/>
    <w:rsid w:val="00C23B8F"/>
    <w:rsid w:val="00C23C66"/>
    <w:rsid w:val="00C23FD7"/>
    <w:rsid w:val="00C24875"/>
    <w:rsid w:val="00C25389"/>
    <w:rsid w:val="00C25516"/>
    <w:rsid w:val="00C2559E"/>
    <w:rsid w:val="00C26114"/>
    <w:rsid w:val="00C261EE"/>
    <w:rsid w:val="00C266D4"/>
    <w:rsid w:val="00C27005"/>
    <w:rsid w:val="00C27CC3"/>
    <w:rsid w:val="00C27D8A"/>
    <w:rsid w:val="00C30599"/>
    <w:rsid w:val="00C306FC"/>
    <w:rsid w:val="00C3096B"/>
    <w:rsid w:val="00C30FA3"/>
    <w:rsid w:val="00C321F2"/>
    <w:rsid w:val="00C32D46"/>
    <w:rsid w:val="00C33C30"/>
    <w:rsid w:val="00C34121"/>
    <w:rsid w:val="00C342CF"/>
    <w:rsid w:val="00C34A58"/>
    <w:rsid w:val="00C3508C"/>
    <w:rsid w:val="00C350ED"/>
    <w:rsid w:val="00C41178"/>
    <w:rsid w:val="00C4167D"/>
    <w:rsid w:val="00C417A8"/>
    <w:rsid w:val="00C422B9"/>
    <w:rsid w:val="00C42C8D"/>
    <w:rsid w:val="00C43700"/>
    <w:rsid w:val="00C437BE"/>
    <w:rsid w:val="00C437FF"/>
    <w:rsid w:val="00C441C2"/>
    <w:rsid w:val="00C4436E"/>
    <w:rsid w:val="00C44F16"/>
    <w:rsid w:val="00C453B9"/>
    <w:rsid w:val="00C4579C"/>
    <w:rsid w:val="00C45850"/>
    <w:rsid w:val="00C45A86"/>
    <w:rsid w:val="00C45F5B"/>
    <w:rsid w:val="00C46F39"/>
    <w:rsid w:val="00C501BF"/>
    <w:rsid w:val="00C50541"/>
    <w:rsid w:val="00C51DC1"/>
    <w:rsid w:val="00C52AFC"/>
    <w:rsid w:val="00C52EA7"/>
    <w:rsid w:val="00C53878"/>
    <w:rsid w:val="00C53C45"/>
    <w:rsid w:val="00C53EA7"/>
    <w:rsid w:val="00C54607"/>
    <w:rsid w:val="00C54BEF"/>
    <w:rsid w:val="00C54ED6"/>
    <w:rsid w:val="00C56250"/>
    <w:rsid w:val="00C56332"/>
    <w:rsid w:val="00C56716"/>
    <w:rsid w:val="00C5673F"/>
    <w:rsid w:val="00C5711B"/>
    <w:rsid w:val="00C575F1"/>
    <w:rsid w:val="00C5775E"/>
    <w:rsid w:val="00C57760"/>
    <w:rsid w:val="00C57BA7"/>
    <w:rsid w:val="00C60A3F"/>
    <w:rsid w:val="00C60AF1"/>
    <w:rsid w:val="00C6317C"/>
    <w:rsid w:val="00C631B3"/>
    <w:rsid w:val="00C63425"/>
    <w:rsid w:val="00C63D3E"/>
    <w:rsid w:val="00C643D0"/>
    <w:rsid w:val="00C64C9C"/>
    <w:rsid w:val="00C64E84"/>
    <w:rsid w:val="00C654B1"/>
    <w:rsid w:val="00C65A11"/>
    <w:rsid w:val="00C65C57"/>
    <w:rsid w:val="00C6630F"/>
    <w:rsid w:val="00C67955"/>
    <w:rsid w:val="00C709A0"/>
    <w:rsid w:val="00C71420"/>
    <w:rsid w:val="00C714D5"/>
    <w:rsid w:val="00C71685"/>
    <w:rsid w:val="00C71C70"/>
    <w:rsid w:val="00C71CEA"/>
    <w:rsid w:val="00C71FA3"/>
    <w:rsid w:val="00C72117"/>
    <w:rsid w:val="00C7228E"/>
    <w:rsid w:val="00C723BE"/>
    <w:rsid w:val="00C7273B"/>
    <w:rsid w:val="00C732FD"/>
    <w:rsid w:val="00C733F0"/>
    <w:rsid w:val="00C738D2"/>
    <w:rsid w:val="00C73DE1"/>
    <w:rsid w:val="00C741EB"/>
    <w:rsid w:val="00C74751"/>
    <w:rsid w:val="00C74A47"/>
    <w:rsid w:val="00C74EE8"/>
    <w:rsid w:val="00C7518A"/>
    <w:rsid w:val="00C75264"/>
    <w:rsid w:val="00C764AF"/>
    <w:rsid w:val="00C765D9"/>
    <w:rsid w:val="00C76841"/>
    <w:rsid w:val="00C76EE0"/>
    <w:rsid w:val="00C771B6"/>
    <w:rsid w:val="00C77562"/>
    <w:rsid w:val="00C7794F"/>
    <w:rsid w:val="00C77A00"/>
    <w:rsid w:val="00C80210"/>
    <w:rsid w:val="00C80442"/>
    <w:rsid w:val="00C808D9"/>
    <w:rsid w:val="00C811B1"/>
    <w:rsid w:val="00C8167A"/>
    <w:rsid w:val="00C818E9"/>
    <w:rsid w:val="00C81A97"/>
    <w:rsid w:val="00C81F97"/>
    <w:rsid w:val="00C82087"/>
    <w:rsid w:val="00C82782"/>
    <w:rsid w:val="00C82BF5"/>
    <w:rsid w:val="00C83E11"/>
    <w:rsid w:val="00C8424F"/>
    <w:rsid w:val="00C84359"/>
    <w:rsid w:val="00C84730"/>
    <w:rsid w:val="00C84BF5"/>
    <w:rsid w:val="00C8513B"/>
    <w:rsid w:val="00C85599"/>
    <w:rsid w:val="00C86444"/>
    <w:rsid w:val="00C8730F"/>
    <w:rsid w:val="00C877EF"/>
    <w:rsid w:val="00C90CA0"/>
    <w:rsid w:val="00C911A6"/>
    <w:rsid w:val="00C919EC"/>
    <w:rsid w:val="00C91DF7"/>
    <w:rsid w:val="00C91F9E"/>
    <w:rsid w:val="00C920E1"/>
    <w:rsid w:val="00C93056"/>
    <w:rsid w:val="00C933BD"/>
    <w:rsid w:val="00C93BBE"/>
    <w:rsid w:val="00C93F01"/>
    <w:rsid w:val="00C94261"/>
    <w:rsid w:val="00C94C5B"/>
    <w:rsid w:val="00C94D85"/>
    <w:rsid w:val="00C95627"/>
    <w:rsid w:val="00C956E6"/>
    <w:rsid w:val="00C95EB8"/>
    <w:rsid w:val="00C964ED"/>
    <w:rsid w:val="00C96845"/>
    <w:rsid w:val="00C96B25"/>
    <w:rsid w:val="00C96F4A"/>
    <w:rsid w:val="00CA0555"/>
    <w:rsid w:val="00CA05A6"/>
    <w:rsid w:val="00CA1996"/>
    <w:rsid w:val="00CA210C"/>
    <w:rsid w:val="00CA224F"/>
    <w:rsid w:val="00CA23EC"/>
    <w:rsid w:val="00CA24CB"/>
    <w:rsid w:val="00CA28EB"/>
    <w:rsid w:val="00CA2CCD"/>
    <w:rsid w:val="00CA3F3D"/>
    <w:rsid w:val="00CA40DA"/>
    <w:rsid w:val="00CA4A32"/>
    <w:rsid w:val="00CA4A69"/>
    <w:rsid w:val="00CA5A6A"/>
    <w:rsid w:val="00CA6563"/>
    <w:rsid w:val="00CA6710"/>
    <w:rsid w:val="00CA6A84"/>
    <w:rsid w:val="00CA6A8C"/>
    <w:rsid w:val="00CA7566"/>
    <w:rsid w:val="00CA7B3D"/>
    <w:rsid w:val="00CB0275"/>
    <w:rsid w:val="00CB0288"/>
    <w:rsid w:val="00CB0451"/>
    <w:rsid w:val="00CB1C80"/>
    <w:rsid w:val="00CB2A02"/>
    <w:rsid w:val="00CB2BE3"/>
    <w:rsid w:val="00CB2C0F"/>
    <w:rsid w:val="00CB2F3D"/>
    <w:rsid w:val="00CB30A9"/>
    <w:rsid w:val="00CB415E"/>
    <w:rsid w:val="00CB417A"/>
    <w:rsid w:val="00CB42AB"/>
    <w:rsid w:val="00CB42D4"/>
    <w:rsid w:val="00CB4311"/>
    <w:rsid w:val="00CB43CE"/>
    <w:rsid w:val="00CB4946"/>
    <w:rsid w:val="00CB4C45"/>
    <w:rsid w:val="00CB4D1E"/>
    <w:rsid w:val="00CB521C"/>
    <w:rsid w:val="00CB5A12"/>
    <w:rsid w:val="00CB7117"/>
    <w:rsid w:val="00CB7180"/>
    <w:rsid w:val="00CB75CA"/>
    <w:rsid w:val="00CC01B3"/>
    <w:rsid w:val="00CC09C8"/>
    <w:rsid w:val="00CC0B4A"/>
    <w:rsid w:val="00CC0D5E"/>
    <w:rsid w:val="00CC0E36"/>
    <w:rsid w:val="00CC1138"/>
    <w:rsid w:val="00CC32D7"/>
    <w:rsid w:val="00CC3399"/>
    <w:rsid w:val="00CC3CA3"/>
    <w:rsid w:val="00CC3F0A"/>
    <w:rsid w:val="00CC445B"/>
    <w:rsid w:val="00CC4663"/>
    <w:rsid w:val="00CC4709"/>
    <w:rsid w:val="00CC4B36"/>
    <w:rsid w:val="00CC5D42"/>
    <w:rsid w:val="00CC69FB"/>
    <w:rsid w:val="00CC7920"/>
    <w:rsid w:val="00CD0160"/>
    <w:rsid w:val="00CD0278"/>
    <w:rsid w:val="00CD0672"/>
    <w:rsid w:val="00CD1422"/>
    <w:rsid w:val="00CD1B27"/>
    <w:rsid w:val="00CD1C3F"/>
    <w:rsid w:val="00CD2142"/>
    <w:rsid w:val="00CD2225"/>
    <w:rsid w:val="00CD275F"/>
    <w:rsid w:val="00CD27CC"/>
    <w:rsid w:val="00CD3064"/>
    <w:rsid w:val="00CD4169"/>
    <w:rsid w:val="00CD47B7"/>
    <w:rsid w:val="00CD4F5B"/>
    <w:rsid w:val="00CD55CC"/>
    <w:rsid w:val="00CD630D"/>
    <w:rsid w:val="00CD643C"/>
    <w:rsid w:val="00CD667C"/>
    <w:rsid w:val="00CD680E"/>
    <w:rsid w:val="00CD6EEE"/>
    <w:rsid w:val="00CD7079"/>
    <w:rsid w:val="00CD70A2"/>
    <w:rsid w:val="00CD7E1F"/>
    <w:rsid w:val="00CE012B"/>
    <w:rsid w:val="00CE10F5"/>
    <w:rsid w:val="00CE12D2"/>
    <w:rsid w:val="00CE16CC"/>
    <w:rsid w:val="00CE185E"/>
    <w:rsid w:val="00CE1AA2"/>
    <w:rsid w:val="00CE2102"/>
    <w:rsid w:val="00CE27A7"/>
    <w:rsid w:val="00CE30C3"/>
    <w:rsid w:val="00CE3E80"/>
    <w:rsid w:val="00CE40E2"/>
    <w:rsid w:val="00CE53FE"/>
    <w:rsid w:val="00CE56F0"/>
    <w:rsid w:val="00CE5EDA"/>
    <w:rsid w:val="00CE5F59"/>
    <w:rsid w:val="00CE62C1"/>
    <w:rsid w:val="00CE6847"/>
    <w:rsid w:val="00CE70FA"/>
    <w:rsid w:val="00CE7D26"/>
    <w:rsid w:val="00CE7D71"/>
    <w:rsid w:val="00CF04CC"/>
    <w:rsid w:val="00CF0AEC"/>
    <w:rsid w:val="00CF0FF9"/>
    <w:rsid w:val="00CF2B5F"/>
    <w:rsid w:val="00CF2D04"/>
    <w:rsid w:val="00CF2D57"/>
    <w:rsid w:val="00CF30FE"/>
    <w:rsid w:val="00CF5941"/>
    <w:rsid w:val="00CF63A1"/>
    <w:rsid w:val="00CF6D75"/>
    <w:rsid w:val="00CF6F90"/>
    <w:rsid w:val="00CF762B"/>
    <w:rsid w:val="00D004E1"/>
    <w:rsid w:val="00D01694"/>
    <w:rsid w:val="00D01899"/>
    <w:rsid w:val="00D02270"/>
    <w:rsid w:val="00D03840"/>
    <w:rsid w:val="00D0384C"/>
    <w:rsid w:val="00D04135"/>
    <w:rsid w:val="00D04B33"/>
    <w:rsid w:val="00D04BFD"/>
    <w:rsid w:val="00D05DCD"/>
    <w:rsid w:val="00D06660"/>
    <w:rsid w:val="00D10A20"/>
    <w:rsid w:val="00D10B3E"/>
    <w:rsid w:val="00D10FEF"/>
    <w:rsid w:val="00D1249C"/>
    <w:rsid w:val="00D12E2E"/>
    <w:rsid w:val="00D14CBA"/>
    <w:rsid w:val="00D15247"/>
    <w:rsid w:val="00D15953"/>
    <w:rsid w:val="00D17D04"/>
    <w:rsid w:val="00D2020D"/>
    <w:rsid w:val="00D2022C"/>
    <w:rsid w:val="00D20354"/>
    <w:rsid w:val="00D208C0"/>
    <w:rsid w:val="00D21092"/>
    <w:rsid w:val="00D22933"/>
    <w:rsid w:val="00D22B2E"/>
    <w:rsid w:val="00D22D04"/>
    <w:rsid w:val="00D22F3A"/>
    <w:rsid w:val="00D238D1"/>
    <w:rsid w:val="00D2415A"/>
    <w:rsid w:val="00D24633"/>
    <w:rsid w:val="00D24D25"/>
    <w:rsid w:val="00D24E13"/>
    <w:rsid w:val="00D24F20"/>
    <w:rsid w:val="00D25128"/>
    <w:rsid w:val="00D25781"/>
    <w:rsid w:val="00D264DD"/>
    <w:rsid w:val="00D2679C"/>
    <w:rsid w:val="00D26944"/>
    <w:rsid w:val="00D26B4D"/>
    <w:rsid w:val="00D26BCC"/>
    <w:rsid w:val="00D26CD4"/>
    <w:rsid w:val="00D271FA"/>
    <w:rsid w:val="00D272AE"/>
    <w:rsid w:val="00D277E4"/>
    <w:rsid w:val="00D30318"/>
    <w:rsid w:val="00D30D9D"/>
    <w:rsid w:val="00D311B8"/>
    <w:rsid w:val="00D31BC6"/>
    <w:rsid w:val="00D32577"/>
    <w:rsid w:val="00D32EE7"/>
    <w:rsid w:val="00D338C5"/>
    <w:rsid w:val="00D33AB9"/>
    <w:rsid w:val="00D33D66"/>
    <w:rsid w:val="00D34018"/>
    <w:rsid w:val="00D34F15"/>
    <w:rsid w:val="00D354D5"/>
    <w:rsid w:val="00D35903"/>
    <w:rsid w:val="00D35B5E"/>
    <w:rsid w:val="00D35BDE"/>
    <w:rsid w:val="00D36055"/>
    <w:rsid w:val="00D36A22"/>
    <w:rsid w:val="00D36D88"/>
    <w:rsid w:val="00D37B92"/>
    <w:rsid w:val="00D43DE2"/>
    <w:rsid w:val="00D44078"/>
    <w:rsid w:val="00D442AE"/>
    <w:rsid w:val="00D448C9"/>
    <w:rsid w:val="00D4509B"/>
    <w:rsid w:val="00D455E1"/>
    <w:rsid w:val="00D4606E"/>
    <w:rsid w:val="00D460AB"/>
    <w:rsid w:val="00D4668B"/>
    <w:rsid w:val="00D469C6"/>
    <w:rsid w:val="00D46B50"/>
    <w:rsid w:val="00D47727"/>
    <w:rsid w:val="00D477DA"/>
    <w:rsid w:val="00D50018"/>
    <w:rsid w:val="00D501D2"/>
    <w:rsid w:val="00D503A6"/>
    <w:rsid w:val="00D507A4"/>
    <w:rsid w:val="00D51318"/>
    <w:rsid w:val="00D52D2E"/>
    <w:rsid w:val="00D53007"/>
    <w:rsid w:val="00D5317A"/>
    <w:rsid w:val="00D53C2D"/>
    <w:rsid w:val="00D53DF3"/>
    <w:rsid w:val="00D54377"/>
    <w:rsid w:val="00D547E9"/>
    <w:rsid w:val="00D54CD2"/>
    <w:rsid w:val="00D54DE5"/>
    <w:rsid w:val="00D54E8F"/>
    <w:rsid w:val="00D55624"/>
    <w:rsid w:val="00D56145"/>
    <w:rsid w:val="00D56263"/>
    <w:rsid w:val="00D5665F"/>
    <w:rsid w:val="00D569D2"/>
    <w:rsid w:val="00D56BA2"/>
    <w:rsid w:val="00D57634"/>
    <w:rsid w:val="00D577B5"/>
    <w:rsid w:val="00D579DC"/>
    <w:rsid w:val="00D6064B"/>
    <w:rsid w:val="00D60C37"/>
    <w:rsid w:val="00D616C6"/>
    <w:rsid w:val="00D61C6A"/>
    <w:rsid w:val="00D623C2"/>
    <w:rsid w:val="00D62A47"/>
    <w:rsid w:val="00D62B82"/>
    <w:rsid w:val="00D62E41"/>
    <w:rsid w:val="00D631BB"/>
    <w:rsid w:val="00D6334F"/>
    <w:rsid w:val="00D63691"/>
    <w:rsid w:val="00D63AAA"/>
    <w:rsid w:val="00D644BC"/>
    <w:rsid w:val="00D64C03"/>
    <w:rsid w:val="00D64CEC"/>
    <w:rsid w:val="00D658CE"/>
    <w:rsid w:val="00D65F79"/>
    <w:rsid w:val="00D66211"/>
    <w:rsid w:val="00D665BA"/>
    <w:rsid w:val="00D665E4"/>
    <w:rsid w:val="00D66A13"/>
    <w:rsid w:val="00D66AAE"/>
    <w:rsid w:val="00D674BA"/>
    <w:rsid w:val="00D67FD6"/>
    <w:rsid w:val="00D71A2B"/>
    <w:rsid w:val="00D7241F"/>
    <w:rsid w:val="00D7245A"/>
    <w:rsid w:val="00D728E1"/>
    <w:rsid w:val="00D72D8D"/>
    <w:rsid w:val="00D73974"/>
    <w:rsid w:val="00D744A6"/>
    <w:rsid w:val="00D74FA7"/>
    <w:rsid w:val="00D75A1C"/>
    <w:rsid w:val="00D76B3A"/>
    <w:rsid w:val="00D76E25"/>
    <w:rsid w:val="00D771EF"/>
    <w:rsid w:val="00D77741"/>
    <w:rsid w:val="00D7794F"/>
    <w:rsid w:val="00D77AF9"/>
    <w:rsid w:val="00D80AA3"/>
    <w:rsid w:val="00D80E43"/>
    <w:rsid w:val="00D80ED8"/>
    <w:rsid w:val="00D818C3"/>
    <w:rsid w:val="00D82142"/>
    <w:rsid w:val="00D829BD"/>
    <w:rsid w:val="00D82DE1"/>
    <w:rsid w:val="00D83625"/>
    <w:rsid w:val="00D83C38"/>
    <w:rsid w:val="00D840A3"/>
    <w:rsid w:val="00D84285"/>
    <w:rsid w:val="00D84A8D"/>
    <w:rsid w:val="00D84BED"/>
    <w:rsid w:val="00D85544"/>
    <w:rsid w:val="00D85A90"/>
    <w:rsid w:val="00D85D91"/>
    <w:rsid w:val="00D85E70"/>
    <w:rsid w:val="00D85FC0"/>
    <w:rsid w:val="00D86B1A"/>
    <w:rsid w:val="00D86B82"/>
    <w:rsid w:val="00D86C6B"/>
    <w:rsid w:val="00D87631"/>
    <w:rsid w:val="00D87770"/>
    <w:rsid w:val="00D87FD1"/>
    <w:rsid w:val="00D90558"/>
    <w:rsid w:val="00D90A45"/>
    <w:rsid w:val="00D90CD9"/>
    <w:rsid w:val="00D91298"/>
    <w:rsid w:val="00D920DD"/>
    <w:rsid w:val="00D92899"/>
    <w:rsid w:val="00D92CCD"/>
    <w:rsid w:val="00D930A5"/>
    <w:rsid w:val="00D93684"/>
    <w:rsid w:val="00D93E74"/>
    <w:rsid w:val="00D9437F"/>
    <w:rsid w:val="00D94402"/>
    <w:rsid w:val="00D948E1"/>
    <w:rsid w:val="00D94AA2"/>
    <w:rsid w:val="00D94AFF"/>
    <w:rsid w:val="00D95230"/>
    <w:rsid w:val="00D9551D"/>
    <w:rsid w:val="00D96178"/>
    <w:rsid w:val="00D965F7"/>
    <w:rsid w:val="00D96B1B"/>
    <w:rsid w:val="00D97520"/>
    <w:rsid w:val="00D978DF"/>
    <w:rsid w:val="00D978F8"/>
    <w:rsid w:val="00DA07B8"/>
    <w:rsid w:val="00DA1313"/>
    <w:rsid w:val="00DA216B"/>
    <w:rsid w:val="00DA261A"/>
    <w:rsid w:val="00DA27A0"/>
    <w:rsid w:val="00DA2AAC"/>
    <w:rsid w:val="00DA3772"/>
    <w:rsid w:val="00DA399F"/>
    <w:rsid w:val="00DA3E27"/>
    <w:rsid w:val="00DA4439"/>
    <w:rsid w:val="00DA4777"/>
    <w:rsid w:val="00DA4CD2"/>
    <w:rsid w:val="00DA5371"/>
    <w:rsid w:val="00DA5D6D"/>
    <w:rsid w:val="00DA5DD1"/>
    <w:rsid w:val="00DA61A9"/>
    <w:rsid w:val="00DA652F"/>
    <w:rsid w:val="00DA681C"/>
    <w:rsid w:val="00DA6853"/>
    <w:rsid w:val="00DA6C35"/>
    <w:rsid w:val="00DA720F"/>
    <w:rsid w:val="00DA7FBA"/>
    <w:rsid w:val="00DB0C38"/>
    <w:rsid w:val="00DB0D74"/>
    <w:rsid w:val="00DB1B41"/>
    <w:rsid w:val="00DB291F"/>
    <w:rsid w:val="00DB370B"/>
    <w:rsid w:val="00DB3CFB"/>
    <w:rsid w:val="00DB427F"/>
    <w:rsid w:val="00DB43C4"/>
    <w:rsid w:val="00DB4CDA"/>
    <w:rsid w:val="00DB5402"/>
    <w:rsid w:val="00DB5707"/>
    <w:rsid w:val="00DB63BC"/>
    <w:rsid w:val="00DB63EB"/>
    <w:rsid w:val="00DC064B"/>
    <w:rsid w:val="00DC204D"/>
    <w:rsid w:val="00DC22E7"/>
    <w:rsid w:val="00DC2437"/>
    <w:rsid w:val="00DC2507"/>
    <w:rsid w:val="00DC34FD"/>
    <w:rsid w:val="00DC365D"/>
    <w:rsid w:val="00DC3724"/>
    <w:rsid w:val="00DC3789"/>
    <w:rsid w:val="00DC378B"/>
    <w:rsid w:val="00DC3C94"/>
    <w:rsid w:val="00DC4046"/>
    <w:rsid w:val="00DC4407"/>
    <w:rsid w:val="00DC4558"/>
    <w:rsid w:val="00DC60C4"/>
    <w:rsid w:val="00DC64BA"/>
    <w:rsid w:val="00DC70F7"/>
    <w:rsid w:val="00DC7824"/>
    <w:rsid w:val="00DD093F"/>
    <w:rsid w:val="00DD1086"/>
    <w:rsid w:val="00DD16D1"/>
    <w:rsid w:val="00DD2283"/>
    <w:rsid w:val="00DD2A48"/>
    <w:rsid w:val="00DD2ED3"/>
    <w:rsid w:val="00DD326B"/>
    <w:rsid w:val="00DD3496"/>
    <w:rsid w:val="00DD3608"/>
    <w:rsid w:val="00DD3E86"/>
    <w:rsid w:val="00DD3FF1"/>
    <w:rsid w:val="00DD4072"/>
    <w:rsid w:val="00DD425A"/>
    <w:rsid w:val="00DD42CC"/>
    <w:rsid w:val="00DD480B"/>
    <w:rsid w:val="00DD4E2B"/>
    <w:rsid w:val="00DD4E9D"/>
    <w:rsid w:val="00DD52FB"/>
    <w:rsid w:val="00DD6561"/>
    <w:rsid w:val="00DD7F6E"/>
    <w:rsid w:val="00DE001E"/>
    <w:rsid w:val="00DE00ED"/>
    <w:rsid w:val="00DE04D1"/>
    <w:rsid w:val="00DE14EE"/>
    <w:rsid w:val="00DE1885"/>
    <w:rsid w:val="00DE22E4"/>
    <w:rsid w:val="00DE29A7"/>
    <w:rsid w:val="00DE2E81"/>
    <w:rsid w:val="00DE438C"/>
    <w:rsid w:val="00DE44E3"/>
    <w:rsid w:val="00DE4E42"/>
    <w:rsid w:val="00DE4EDE"/>
    <w:rsid w:val="00DE50C5"/>
    <w:rsid w:val="00DE523D"/>
    <w:rsid w:val="00DE5A6A"/>
    <w:rsid w:val="00DE69AD"/>
    <w:rsid w:val="00DF17AD"/>
    <w:rsid w:val="00DF1D1B"/>
    <w:rsid w:val="00DF1E7F"/>
    <w:rsid w:val="00DF3E4C"/>
    <w:rsid w:val="00DF409E"/>
    <w:rsid w:val="00DF460F"/>
    <w:rsid w:val="00DF4865"/>
    <w:rsid w:val="00DF4D01"/>
    <w:rsid w:val="00DF50C8"/>
    <w:rsid w:val="00DF511C"/>
    <w:rsid w:val="00DF5819"/>
    <w:rsid w:val="00DF5D96"/>
    <w:rsid w:val="00DF5E32"/>
    <w:rsid w:val="00DF6521"/>
    <w:rsid w:val="00DF6D27"/>
    <w:rsid w:val="00DF72EF"/>
    <w:rsid w:val="00DF74BF"/>
    <w:rsid w:val="00DF7CE8"/>
    <w:rsid w:val="00DF7D68"/>
    <w:rsid w:val="00E00227"/>
    <w:rsid w:val="00E00391"/>
    <w:rsid w:val="00E00CDA"/>
    <w:rsid w:val="00E00D20"/>
    <w:rsid w:val="00E00E6B"/>
    <w:rsid w:val="00E01349"/>
    <w:rsid w:val="00E03182"/>
    <w:rsid w:val="00E03591"/>
    <w:rsid w:val="00E0397A"/>
    <w:rsid w:val="00E03F4B"/>
    <w:rsid w:val="00E0439F"/>
    <w:rsid w:val="00E0483D"/>
    <w:rsid w:val="00E051D5"/>
    <w:rsid w:val="00E05631"/>
    <w:rsid w:val="00E05DB0"/>
    <w:rsid w:val="00E1128D"/>
    <w:rsid w:val="00E112C7"/>
    <w:rsid w:val="00E12187"/>
    <w:rsid w:val="00E1258B"/>
    <w:rsid w:val="00E13313"/>
    <w:rsid w:val="00E136BD"/>
    <w:rsid w:val="00E13DD2"/>
    <w:rsid w:val="00E13EB9"/>
    <w:rsid w:val="00E142FD"/>
    <w:rsid w:val="00E147C2"/>
    <w:rsid w:val="00E15104"/>
    <w:rsid w:val="00E15494"/>
    <w:rsid w:val="00E15537"/>
    <w:rsid w:val="00E1564F"/>
    <w:rsid w:val="00E15A6C"/>
    <w:rsid w:val="00E1679E"/>
    <w:rsid w:val="00E16C19"/>
    <w:rsid w:val="00E201C5"/>
    <w:rsid w:val="00E21914"/>
    <w:rsid w:val="00E21C47"/>
    <w:rsid w:val="00E22691"/>
    <w:rsid w:val="00E22E54"/>
    <w:rsid w:val="00E2365E"/>
    <w:rsid w:val="00E237A3"/>
    <w:rsid w:val="00E23814"/>
    <w:rsid w:val="00E23A9B"/>
    <w:rsid w:val="00E23C46"/>
    <w:rsid w:val="00E244C5"/>
    <w:rsid w:val="00E24E5F"/>
    <w:rsid w:val="00E25304"/>
    <w:rsid w:val="00E25C0F"/>
    <w:rsid w:val="00E25DFF"/>
    <w:rsid w:val="00E2618E"/>
    <w:rsid w:val="00E26408"/>
    <w:rsid w:val="00E27205"/>
    <w:rsid w:val="00E275C1"/>
    <w:rsid w:val="00E27C7D"/>
    <w:rsid w:val="00E27CEC"/>
    <w:rsid w:val="00E308F6"/>
    <w:rsid w:val="00E30D60"/>
    <w:rsid w:val="00E30DBD"/>
    <w:rsid w:val="00E31C4C"/>
    <w:rsid w:val="00E3245B"/>
    <w:rsid w:val="00E32EB4"/>
    <w:rsid w:val="00E33954"/>
    <w:rsid w:val="00E34784"/>
    <w:rsid w:val="00E3565F"/>
    <w:rsid w:val="00E359BB"/>
    <w:rsid w:val="00E36367"/>
    <w:rsid w:val="00E36FE5"/>
    <w:rsid w:val="00E373DF"/>
    <w:rsid w:val="00E40FE7"/>
    <w:rsid w:val="00E42501"/>
    <w:rsid w:val="00E429BA"/>
    <w:rsid w:val="00E42C16"/>
    <w:rsid w:val="00E430CE"/>
    <w:rsid w:val="00E431B3"/>
    <w:rsid w:val="00E434C2"/>
    <w:rsid w:val="00E4383C"/>
    <w:rsid w:val="00E445A6"/>
    <w:rsid w:val="00E44EC2"/>
    <w:rsid w:val="00E454CA"/>
    <w:rsid w:val="00E46173"/>
    <w:rsid w:val="00E4728C"/>
    <w:rsid w:val="00E477D7"/>
    <w:rsid w:val="00E47A04"/>
    <w:rsid w:val="00E47BD7"/>
    <w:rsid w:val="00E47DE7"/>
    <w:rsid w:val="00E47E32"/>
    <w:rsid w:val="00E50571"/>
    <w:rsid w:val="00E50A0B"/>
    <w:rsid w:val="00E5142B"/>
    <w:rsid w:val="00E51CCF"/>
    <w:rsid w:val="00E52EF5"/>
    <w:rsid w:val="00E53F3E"/>
    <w:rsid w:val="00E54272"/>
    <w:rsid w:val="00E54525"/>
    <w:rsid w:val="00E5491E"/>
    <w:rsid w:val="00E54AC9"/>
    <w:rsid w:val="00E56EB5"/>
    <w:rsid w:val="00E56F11"/>
    <w:rsid w:val="00E577B8"/>
    <w:rsid w:val="00E609F9"/>
    <w:rsid w:val="00E616F4"/>
    <w:rsid w:val="00E62144"/>
    <w:rsid w:val="00E624A0"/>
    <w:rsid w:val="00E63123"/>
    <w:rsid w:val="00E6376D"/>
    <w:rsid w:val="00E653F1"/>
    <w:rsid w:val="00E65635"/>
    <w:rsid w:val="00E65BB9"/>
    <w:rsid w:val="00E65C78"/>
    <w:rsid w:val="00E65E5D"/>
    <w:rsid w:val="00E65F07"/>
    <w:rsid w:val="00E66946"/>
    <w:rsid w:val="00E66D58"/>
    <w:rsid w:val="00E67CE9"/>
    <w:rsid w:val="00E70504"/>
    <w:rsid w:val="00E705E5"/>
    <w:rsid w:val="00E70830"/>
    <w:rsid w:val="00E7095C"/>
    <w:rsid w:val="00E70FFC"/>
    <w:rsid w:val="00E71F23"/>
    <w:rsid w:val="00E7266D"/>
    <w:rsid w:val="00E7335F"/>
    <w:rsid w:val="00E73A22"/>
    <w:rsid w:val="00E73B29"/>
    <w:rsid w:val="00E742BE"/>
    <w:rsid w:val="00E74A54"/>
    <w:rsid w:val="00E7576D"/>
    <w:rsid w:val="00E75BCC"/>
    <w:rsid w:val="00E75CB5"/>
    <w:rsid w:val="00E75E31"/>
    <w:rsid w:val="00E769D9"/>
    <w:rsid w:val="00E80579"/>
    <w:rsid w:val="00E806B7"/>
    <w:rsid w:val="00E80CD3"/>
    <w:rsid w:val="00E81532"/>
    <w:rsid w:val="00E81AF1"/>
    <w:rsid w:val="00E826DB"/>
    <w:rsid w:val="00E82D04"/>
    <w:rsid w:val="00E8423E"/>
    <w:rsid w:val="00E84A27"/>
    <w:rsid w:val="00E8509A"/>
    <w:rsid w:val="00E85583"/>
    <w:rsid w:val="00E863B5"/>
    <w:rsid w:val="00E868BD"/>
    <w:rsid w:val="00E86BA0"/>
    <w:rsid w:val="00E86EB7"/>
    <w:rsid w:val="00E872A3"/>
    <w:rsid w:val="00E87D1B"/>
    <w:rsid w:val="00E901C6"/>
    <w:rsid w:val="00E911CD"/>
    <w:rsid w:val="00E9147E"/>
    <w:rsid w:val="00E91623"/>
    <w:rsid w:val="00E91B7E"/>
    <w:rsid w:val="00E92208"/>
    <w:rsid w:val="00E925D3"/>
    <w:rsid w:val="00E931CE"/>
    <w:rsid w:val="00E9370D"/>
    <w:rsid w:val="00E948B9"/>
    <w:rsid w:val="00E94C63"/>
    <w:rsid w:val="00E953D4"/>
    <w:rsid w:val="00E95521"/>
    <w:rsid w:val="00E955A8"/>
    <w:rsid w:val="00E956E1"/>
    <w:rsid w:val="00E96050"/>
    <w:rsid w:val="00E96BB4"/>
    <w:rsid w:val="00E9766B"/>
    <w:rsid w:val="00EA139C"/>
    <w:rsid w:val="00EA1D18"/>
    <w:rsid w:val="00EA1EE3"/>
    <w:rsid w:val="00EA3260"/>
    <w:rsid w:val="00EA32BD"/>
    <w:rsid w:val="00EA3691"/>
    <w:rsid w:val="00EA37F4"/>
    <w:rsid w:val="00EA40A5"/>
    <w:rsid w:val="00EA4476"/>
    <w:rsid w:val="00EA4D4A"/>
    <w:rsid w:val="00EA4E20"/>
    <w:rsid w:val="00EA5711"/>
    <w:rsid w:val="00EA5D8A"/>
    <w:rsid w:val="00EA7DE1"/>
    <w:rsid w:val="00EB0939"/>
    <w:rsid w:val="00EB0AA2"/>
    <w:rsid w:val="00EB118F"/>
    <w:rsid w:val="00EB15FB"/>
    <w:rsid w:val="00EB1742"/>
    <w:rsid w:val="00EB1F7C"/>
    <w:rsid w:val="00EB2355"/>
    <w:rsid w:val="00EB2A07"/>
    <w:rsid w:val="00EB3238"/>
    <w:rsid w:val="00EB32A1"/>
    <w:rsid w:val="00EB32E4"/>
    <w:rsid w:val="00EB3F14"/>
    <w:rsid w:val="00EB40CE"/>
    <w:rsid w:val="00EB4293"/>
    <w:rsid w:val="00EB5152"/>
    <w:rsid w:val="00EB56C4"/>
    <w:rsid w:val="00EB62C7"/>
    <w:rsid w:val="00EB707D"/>
    <w:rsid w:val="00EB72EF"/>
    <w:rsid w:val="00EB735D"/>
    <w:rsid w:val="00EB74DD"/>
    <w:rsid w:val="00EB7E80"/>
    <w:rsid w:val="00EC0621"/>
    <w:rsid w:val="00EC11C4"/>
    <w:rsid w:val="00EC1F97"/>
    <w:rsid w:val="00EC461D"/>
    <w:rsid w:val="00EC4B1E"/>
    <w:rsid w:val="00EC573D"/>
    <w:rsid w:val="00EC5984"/>
    <w:rsid w:val="00EC59DE"/>
    <w:rsid w:val="00EC626A"/>
    <w:rsid w:val="00EC7220"/>
    <w:rsid w:val="00EC7AA7"/>
    <w:rsid w:val="00EC7F1F"/>
    <w:rsid w:val="00ED11C7"/>
    <w:rsid w:val="00ED181B"/>
    <w:rsid w:val="00ED2909"/>
    <w:rsid w:val="00ED3943"/>
    <w:rsid w:val="00ED3D8B"/>
    <w:rsid w:val="00ED4B7A"/>
    <w:rsid w:val="00ED4D9D"/>
    <w:rsid w:val="00ED5DCB"/>
    <w:rsid w:val="00ED6378"/>
    <w:rsid w:val="00ED6414"/>
    <w:rsid w:val="00ED6619"/>
    <w:rsid w:val="00ED673D"/>
    <w:rsid w:val="00ED6BEC"/>
    <w:rsid w:val="00EE07FD"/>
    <w:rsid w:val="00EE096A"/>
    <w:rsid w:val="00EE10AB"/>
    <w:rsid w:val="00EE1B25"/>
    <w:rsid w:val="00EE248C"/>
    <w:rsid w:val="00EE41AF"/>
    <w:rsid w:val="00EE44BA"/>
    <w:rsid w:val="00EE5691"/>
    <w:rsid w:val="00EE578E"/>
    <w:rsid w:val="00EE6417"/>
    <w:rsid w:val="00EE7DAE"/>
    <w:rsid w:val="00EF0108"/>
    <w:rsid w:val="00EF0171"/>
    <w:rsid w:val="00EF04FC"/>
    <w:rsid w:val="00EF0970"/>
    <w:rsid w:val="00EF0A00"/>
    <w:rsid w:val="00EF1BAD"/>
    <w:rsid w:val="00EF2BD6"/>
    <w:rsid w:val="00EF383F"/>
    <w:rsid w:val="00EF3871"/>
    <w:rsid w:val="00EF3983"/>
    <w:rsid w:val="00EF3E18"/>
    <w:rsid w:val="00EF5071"/>
    <w:rsid w:val="00EF5522"/>
    <w:rsid w:val="00EF5B70"/>
    <w:rsid w:val="00EF6BE0"/>
    <w:rsid w:val="00EF6C80"/>
    <w:rsid w:val="00EF6E70"/>
    <w:rsid w:val="00EF6FCA"/>
    <w:rsid w:val="00EF7A35"/>
    <w:rsid w:val="00F0113E"/>
    <w:rsid w:val="00F016D4"/>
    <w:rsid w:val="00F0185F"/>
    <w:rsid w:val="00F01F71"/>
    <w:rsid w:val="00F02245"/>
    <w:rsid w:val="00F029FB"/>
    <w:rsid w:val="00F0616E"/>
    <w:rsid w:val="00F06D1A"/>
    <w:rsid w:val="00F07021"/>
    <w:rsid w:val="00F07AA3"/>
    <w:rsid w:val="00F07AD4"/>
    <w:rsid w:val="00F105E6"/>
    <w:rsid w:val="00F123EC"/>
    <w:rsid w:val="00F12C1A"/>
    <w:rsid w:val="00F12D80"/>
    <w:rsid w:val="00F13B56"/>
    <w:rsid w:val="00F13DAA"/>
    <w:rsid w:val="00F14364"/>
    <w:rsid w:val="00F14441"/>
    <w:rsid w:val="00F1463A"/>
    <w:rsid w:val="00F1491E"/>
    <w:rsid w:val="00F1529C"/>
    <w:rsid w:val="00F161F7"/>
    <w:rsid w:val="00F16A57"/>
    <w:rsid w:val="00F20231"/>
    <w:rsid w:val="00F20426"/>
    <w:rsid w:val="00F204A9"/>
    <w:rsid w:val="00F20593"/>
    <w:rsid w:val="00F20B19"/>
    <w:rsid w:val="00F2102D"/>
    <w:rsid w:val="00F21941"/>
    <w:rsid w:val="00F22F27"/>
    <w:rsid w:val="00F2363B"/>
    <w:rsid w:val="00F23A84"/>
    <w:rsid w:val="00F242B0"/>
    <w:rsid w:val="00F2535E"/>
    <w:rsid w:val="00F256DA"/>
    <w:rsid w:val="00F25DA9"/>
    <w:rsid w:val="00F263C7"/>
    <w:rsid w:val="00F266DB"/>
    <w:rsid w:val="00F26F63"/>
    <w:rsid w:val="00F274BF"/>
    <w:rsid w:val="00F27C68"/>
    <w:rsid w:val="00F27FDB"/>
    <w:rsid w:val="00F31266"/>
    <w:rsid w:val="00F314B5"/>
    <w:rsid w:val="00F3182E"/>
    <w:rsid w:val="00F3190D"/>
    <w:rsid w:val="00F32674"/>
    <w:rsid w:val="00F3419D"/>
    <w:rsid w:val="00F34B84"/>
    <w:rsid w:val="00F34DD0"/>
    <w:rsid w:val="00F35292"/>
    <w:rsid w:val="00F356FF"/>
    <w:rsid w:val="00F358AD"/>
    <w:rsid w:val="00F35AD8"/>
    <w:rsid w:val="00F371A8"/>
    <w:rsid w:val="00F371D0"/>
    <w:rsid w:val="00F3724E"/>
    <w:rsid w:val="00F373EB"/>
    <w:rsid w:val="00F3775D"/>
    <w:rsid w:val="00F37D3E"/>
    <w:rsid w:val="00F4096D"/>
    <w:rsid w:val="00F40D6B"/>
    <w:rsid w:val="00F40EFF"/>
    <w:rsid w:val="00F41112"/>
    <w:rsid w:val="00F42486"/>
    <w:rsid w:val="00F4287C"/>
    <w:rsid w:val="00F431CB"/>
    <w:rsid w:val="00F4420C"/>
    <w:rsid w:val="00F44A35"/>
    <w:rsid w:val="00F44E8C"/>
    <w:rsid w:val="00F458D5"/>
    <w:rsid w:val="00F46A2B"/>
    <w:rsid w:val="00F46AF9"/>
    <w:rsid w:val="00F46EAE"/>
    <w:rsid w:val="00F472D7"/>
    <w:rsid w:val="00F4730A"/>
    <w:rsid w:val="00F47737"/>
    <w:rsid w:val="00F47772"/>
    <w:rsid w:val="00F5023D"/>
    <w:rsid w:val="00F50832"/>
    <w:rsid w:val="00F50A47"/>
    <w:rsid w:val="00F52188"/>
    <w:rsid w:val="00F524CB"/>
    <w:rsid w:val="00F527DA"/>
    <w:rsid w:val="00F5330F"/>
    <w:rsid w:val="00F53592"/>
    <w:rsid w:val="00F539E7"/>
    <w:rsid w:val="00F54140"/>
    <w:rsid w:val="00F56328"/>
    <w:rsid w:val="00F5667D"/>
    <w:rsid w:val="00F569B1"/>
    <w:rsid w:val="00F576F3"/>
    <w:rsid w:val="00F57A52"/>
    <w:rsid w:val="00F57ECF"/>
    <w:rsid w:val="00F602D7"/>
    <w:rsid w:val="00F6138E"/>
    <w:rsid w:val="00F62D2D"/>
    <w:rsid w:val="00F635DE"/>
    <w:rsid w:val="00F63E01"/>
    <w:rsid w:val="00F63E37"/>
    <w:rsid w:val="00F63E7F"/>
    <w:rsid w:val="00F63FB9"/>
    <w:rsid w:val="00F641E2"/>
    <w:rsid w:val="00F64406"/>
    <w:rsid w:val="00F6491E"/>
    <w:rsid w:val="00F64D5F"/>
    <w:rsid w:val="00F64FCB"/>
    <w:rsid w:val="00F657B1"/>
    <w:rsid w:val="00F66411"/>
    <w:rsid w:val="00F67182"/>
    <w:rsid w:val="00F674E9"/>
    <w:rsid w:val="00F676E4"/>
    <w:rsid w:val="00F67CFF"/>
    <w:rsid w:val="00F67EF3"/>
    <w:rsid w:val="00F7090C"/>
    <w:rsid w:val="00F70C8D"/>
    <w:rsid w:val="00F70D84"/>
    <w:rsid w:val="00F70F1A"/>
    <w:rsid w:val="00F710B0"/>
    <w:rsid w:val="00F71821"/>
    <w:rsid w:val="00F72027"/>
    <w:rsid w:val="00F720CA"/>
    <w:rsid w:val="00F72396"/>
    <w:rsid w:val="00F72BA1"/>
    <w:rsid w:val="00F733D7"/>
    <w:rsid w:val="00F73619"/>
    <w:rsid w:val="00F73DEA"/>
    <w:rsid w:val="00F7405C"/>
    <w:rsid w:val="00F7424F"/>
    <w:rsid w:val="00F75059"/>
    <w:rsid w:val="00F759A2"/>
    <w:rsid w:val="00F76326"/>
    <w:rsid w:val="00F76C5A"/>
    <w:rsid w:val="00F77629"/>
    <w:rsid w:val="00F77A0B"/>
    <w:rsid w:val="00F77BF5"/>
    <w:rsid w:val="00F81DAC"/>
    <w:rsid w:val="00F82224"/>
    <w:rsid w:val="00F82D10"/>
    <w:rsid w:val="00F8393F"/>
    <w:rsid w:val="00F851A4"/>
    <w:rsid w:val="00F8535E"/>
    <w:rsid w:val="00F8567F"/>
    <w:rsid w:val="00F85E77"/>
    <w:rsid w:val="00F86087"/>
    <w:rsid w:val="00F8670D"/>
    <w:rsid w:val="00F86B1D"/>
    <w:rsid w:val="00F901D7"/>
    <w:rsid w:val="00F9121F"/>
    <w:rsid w:val="00F916D4"/>
    <w:rsid w:val="00F91870"/>
    <w:rsid w:val="00F91D29"/>
    <w:rsid w:val="00F9205E"/>
    <w:rsid w:val="00F93B68"/>
    <w:rsid w:val="00F94B22"/>
    <w:rsid w:val="00F94CCE"/>
    <w:rsid w:val="00F962E3"/>
    <w:rsid w:val="00F9656C"/>
    <w:rsid w:val="00F967EE"/>
    <w:rsid w:val="00F96F74"/>
    <w:rsid w:val="00F97346"/>
    <w:rsid w:val="00F97692"/>
    <w:rsid w:val="00F976A2"/>
    <w:rsid w:val="00F97D7B"/>
    <w:rsid w:val="00F97FC6"/>
    <w:rsid w:val="00FA0003"/>
    <w:rsid w:val="00FA09E9"/>
    <w:rsid w:val="00FA0A2E"/>
    <w:rsid w:val="00FA1658"/>
    <w:rsid w:val="00FA1CA3"/>
    <w:rsid w:val="00FA1F1F"/>
    <w:rsid w:val="00FA2344"/>
    <w:rsid w:val="00FA2564"/>
    <w:rsid w:val="00FA2D13"/>
    <w:rsid w:val="00FA3176"/>
    <w:rsid w:val="00FA3700"/>
    <w:rsid w:val="00FA391F"/>
    <w:rsid w:val="00FA4461"/>
    <w:rsid w:val="00FA4B01"/>
    <w:rsid w:val="00FA4C8C"/>
    <w:rsid w:val="00FA4FCE"/>
    <w:rsid w:val="00FA568C"/>
    <w:rsid w:val="00FA690E"/>
    <w:rsid w:val="00FA6930"/>
    <w:rsid w:val="00FA6AC8"/>
    <w:rsid w:val="00FA6C6A"/>
    <w:rsid w:val="00FA7698"/>
    <w:rsid w:val="00FA79A9"/>
    <w:rsid w:val="00FB0251"/>
    <w:rsid w:val="00FB1027"/>
    <w:rsid w:val="00FB12E4"/>
    <w:rsid w:val="00FB1330"/>
    <w:rsid w:val="00FB153A"/>
    <w:rsid w:val="00FB16E6"/>
    <w:rsid w:val="00FB1B51"/>
    <w:rsid w:val="00FB1F5E"/>
    <w:rsid w:val="00FB2838"/>
    <w:rsid w:val="00FB292A"/>
    <w:rsid w:val="00FB32EB"/>
    <w:rsid w:val="00FB341C"/>
    <w:rsid w:val="00FB4696"/>
    <w:rsid w:val="00FB4E1F"/>
    <w:rsid w:val="00FB4F57"/>
    <w:rsid w:val="00FB51EB"/>
    <w:rsid w:val="00FB5D7B"/>
    <w:rsid w:val="00FB5F4C"/>
    <w:rsid w:val="00FB66BF"/>
    <w:rsid w:val="00FB6B99"/>
    <w:rsid w:val="00FB6D7E"/>
    <w:rsid w:val="00FB7FD9"/>
    <w:rsid w:val="00FC0C30"/>
    <w:rsid w:val="00FC1104"/>
    <w:rsid w:val="00FC1755"/>
    <w:rsid w:val="00FC1C74"/>
    <w:rsid w:val="00FC1D56"/>
    <w:rsid w:val="00FC2E3F"/>
    <w:rsid w:val="00FC3C2C"/>
    <w:rsid w:val="00FC412A"/>
    <w:rsid w:val="00FC426B"/>
    <w:rsid w:val="00FC46AD"/>
    <w:rsid w:val="00FC5622"/>
    <w:rsid w:val="00FC56FF"/>
    <w:rsid w:val="00FC5E80"/>
    <w:rsid w:val="00FC5FDF"/>
    <w:rsid w:val="00FC610B"/>
    <w:rsid w:val="00FC6554"/>
    <w:rsid w:val="00FC67A2"/>
    <w:rsid w:val="00FC6D0B"/>
    <w:rsid w:val="00FC6D3A"/>
    <w:rsid w:val="00FC6DD6"/>
    <w:rsid w:val="00FC6EED"/>
    <w:rsid w:val="00FC73F8"/>
    <w:rsid w:val="00FC73FE"/>
    <w:rsid w:val="00FC78EE"/>
    <w:rsid w:val="00FD0A4D"/>
    <w:rsid w:val="00FD1085"/>
    <w:rsid w:val="00FD17A3"/>
    <w:rsid w:val="00FD208B"/>
    <w:rsid w:val="00FD27A4"/>
    <w:rsid w:val="00FD3165"/>
    <w:rsid w:val="00FD3B9E"/>
    <w:rsid w:val="00FD4067"/>
    <w:rsid w:val="00FD4EDF"/>
    <w:rsid w:val="00FD5560"/>
    <w:rsid w:val="00FD5615"/>
    <w:rsid w:val="00FD5D88"/>
    <w:rsid w:val="00FD6619"/>
    <w:rsid w:val="00FD6740"/>
    <w:rsid w:val="00FD6CCA"/>
    <w:rsid w:val="00FD746F"/>
    <w:rsid w:val="00FD7D0C"/>
    <w:rsid w:val="00FE0055"/>
    <w:rsid w:val="00FE0B26"/>
    <w:rsid w:val="00FE0E57"/>
    <w:rsid w:val="00FE1415"/>
    <w:rsid w:val="00FE167B"/>
    <w:rsid w:val="00FE18AA"/>
    <w:rsid w:val="00FE1A80"/>
    <w:rsid w:val="00FE1BEA"/>
    <w:rsid w:val="00FE36A7"/>
    <w:rsid w:val="00FE3A57"/>
    <w:rsid w:val="00FE4313"/>
    <w:rsid w:val="00FE48D2"/>
    <w:rsid w:val="00FE5E6F"/>
    <w:rsid w:val="00FE62D8"/>
    <w:rsid w:val="00FE64B9"/>
    <w:rsid w:val="00FF04DD"/>
    <w:rsid w:val="00FF0B6B"/>
    <w:rsid w:val="00FF0D97"/>
    <w:rsid w:val="00FF10B3"/>
    <w:rsid w:val="00FF10FD"/>
    <w:rsid w:val="00FF14F1"/>
    <w:rsid w:val="00FF1C3B"/>
    <w:rsid w:val="00FF2B16"/>
    <w:rsid w:val="00FF2E51"/>
    <w:rsid w:val="00FF38D4"/>
    <w:rsid w:val="00FF3B98"/>
    <w:rsid w:val="00FF3BDF"/>
    <w:rsid w:val="00FF4F93"/>
    <w:rsid w:val="00FF566C"/>
    <w:rsid w:val="00FF5E5E"/>
    <w:rsid w:val="00FF5F43"/>
    <w:rsid w:val="00FF6C5A"/>
    <w:rsid w:val="00FF7031"/>
    <w:rsid w:val="00FF705E"/>
    <w:rsid w:val="00FF7394"/>
    <w:rsid w:val="00FF7BCD"/>
    <w:rsid w:val="00FF7D5F"/>
  </w:rsids>
  <m:mathPr>
    <m:mathFont m:val="Cambria Math"/>
    <m:brkBin m:val="before"/>
    <m:brkBinSub m:val="--"/>
    <m:smallFrac m:val="0"/>
    <m:dispDef/>
    <m:lMargin m:val="0"/>
    <m:rMargin m:val="0"/>
    <m:defJc m:val="centerGroup"/>
    <m:wrapIndent m:val="1440"/>
    <m:intLim m:val="subSup"/>
    <m:naryLim m:val="undOvr"/>
  </m:mathPr>
  <w:themeFontLang w:val="de-DE"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25FF3717"/>
  <w15:chartTrackingRefBased/>
  <w15:docId w15:val="{FF48BBC3-7937-4CD3-BBEC-4174AA44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de-DE"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1267"/>
    <w:pPr>
      <w:spacing w:before="120" w:after="0" w:line="290" w:lineRule="auto"/>
      <w:jc w:val="both"/>
    </w:pPr>
    <w:rPr>
      <w:rFonts w:ascii="Times New Roman" w:hAnsi="Times New Roman" w:cs="Kokila"/>
      <w:sz w:val="23"/>
    </w:rPr>
  </w:style>
  <w:style w:type="paragraph" w:styleId="berschrift1">
    <w:name w:val="heading 1"/>
    <w:basedOn w:val="Standard"/>
    <w:next w:val="Standard"/>
    <w:link w:val="berschrift1Zchn"/>
    <w:uiPriority w:val="9"/>
    <w:qFormat/>
    <w:rsid w:val="00FD746F"/>
    <w:pPr>
      <w:keepNext/>
      <w:keepLines/>
      <w:pageBreakBefore/>
      <w:numPr>
        <w:numId w:val="3"/>
      </w:numPr>
      <w:outlineLvl w:val="0"/>
    </w:pPr>
    <w:rPr>
      <w:rFonts w:eastAsiaTheme="majorEastAsia" w:cstheme="majorBidi"/>
      <w:b/>
      <w:caps/>
      <w:szCs w:val="29"/>
    </w:rPr>
  </w:style>
  <w:style w:type="paragraph" w:styleId="berschrift2">
    <w:name w:val="heading 2"/>
    <w:basedOn w:val="Standard"/>
    <w:next w:val="Standard"/>
    <w:link w:val="berschrift2Zchn"/>
    <w:uiPriority w:val="9"/>
    <w:unhideWhenUsed/>
    <w:qFormat/>
    <w:rsid w:val="00FD746F"/>
    <w:pPr>
      <w:keepNext/>
      <w:keepLines/>
      <w:numPr>
        <w:ilvl w:val="1"/>
        <w:numId w:val="3"/>
      </w:numPr>
      <w:outlineLvl w:val="1"/>
    </w:pPr>
    <w:rPr>
      <w:rFonts w:eastAsiaTheme="majorEastAsia" w:cstheme="majorBidi"/>
      <w:b/>
      <w:szCs w:val="23"/>
    </w:rPr>
  </w:style>
  <w:style w:type="paragraph" w:styleId="berschrift3">
    <w:name w:val="heading 3"/>
    <w:basedOn w:val="Standard"/>
    <w:next w:val="Standard"/>
    <w:link w:val="berschrift3Zchn"/>
    <w:uiPriority w:val="9"/>
    <w:unhideWhenUsed/>
    <w:qFormat/>
    <w:rsid w:val="00FD746F"/>
    <w:pPr>
      <w:keepNext/>
      <w:keepLines/>
      <w:numPr>
        <w:ilvl w:val="2"/>
        <w:numId w:val="3"/>
      </w:numPr>
      <w:outlineLvl w:val="2"/>
    </w:pPr>
    <w:rPr>
      <w:rFonts w:eastAsiaTheme="majorEastAsia" w:cstheme="majorBidi"/>
      <w:b/>
      <w:i/>
      <w:szCs w:val="21"/>
    </w:rPr>
  </w:style>
  <w:style w:type="paragraph" w:styleId="berschrift4">
    <w:name w:val="heading 4"/>
    <w:basedOn w:val="Standard"/>
    <w:next w:val="Standard"/>
    <w:link w:val="berschrift4Zchn"/>
    <w:uiPriority w:val="9"/>
    <w:unhideWhenUsed/>
    <w:qFormat/>
    <w:rsid w:val="00351DD6"/>
    <w:pPr>
      <w:keepNext/>
      <w:keepLines/>
      <w:numPr>
        <w:ilvl w:val="3"/>
        <w:numId w:val="3"/>
      </w:numPr>
      <w:outlineLvl w:val="3"/>
    </w:pPr>
    <w:rPr>
      <w:rFonts w:eastAsiaTheme="majorEastAsia" w:cstheme="majorBidi"/>
      <w:i/>
      <w:iCs/>
    </w:rPr>
  </w:style>
  <w:style w:type="paragraph" w:styleId="berschrift5">
    <w:name w:val="heading 5"/>
    <w:basedOn w:val="Standard"/>
    <w:next w:val="Standard"/>
    <w:link w:val="berschrift5Zchn"/>
    <w:uiPriority w:val="9"/>
    <w:unhideWhenUsed/>
    <w:qFormat/>
    <w:rsid w:val="00FD746F"/>
    <w:pPr>
      <w:keepNext/>
      <w:keepLines/>
      <w:numPr>
        <w:ilvl w:val="4"/>
        <w:numId w:val="3"/>
      </w:numPr>
      <w:outlineLvl w:val="4"/>
    </w:pPr>
    <w:rPr>
      <w:rFonts w:eastAsiaTheme="majorEastAsia" w:cstheme="majorBidi"/>
      <w:i/>
    </w:rPr>
  </w:style>
  <w:style w:type="paragraph" w:styleId="berschrift6">
    <w:name w:val="heading 6"/>
    <w:basedOn w:val="Standard"/>
    <w:next w:val="Standard"/>
    <w:link w:val="berschrift6Zchn"/>
    <w:uiPriority w:val="9"/>
    <w:unhideWhenUsed/>
    <w:qFormat/>
    <w:rsid w:val="00803C34"/>
    <w:pPr>
      <w:keepNext/>
      <w:keepLines/>
      <w:numPr>
        <w:ilvl w:val="5"/>
        <w:numId w:val="3"/>
      </w:numPr>
      <w:ind w:left="1151" w:hanging="1151"/>
      <w:outlineLvl w:val="5"/>
    </w:pPr>
    <w:rPr>
      <w:rFonts w:eastAsiaTheme="majorEastAsia" w:cstheme="majorBidi"/>
    </w:rPr>
  </w:style>
  <w:style w:type="paragraph" w:styleId="berschrift7">
    <w:name w:val="heading 7"/>
    <w:basedOn w:val="Standard"/>
    <w:next w:val="Standard"/>
    <w:link w:val="berschrift7Zchn"/>
    <w:uiPriority w:val="9"/>
    <w:semiHidden/>
    <w:unhideWhenUsed/>
    <w:qFormat/>
    <w:rsid w:val="00E51CCF"/>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51CC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19"/>
    </w:rPr>
  </w:style>
  <w:style w:type="paragraph" w:styleId="berschrift9">
    <w:name w:val="heading 9"/>
    <w:basedOn w:val="Standard"/>
    <w:next w:val="Standard"/>
    <w:link w:val="berschrift9Zchn"/>
    <w:uiPriority w:val="9"/>
    <w:semiHidden/>
    <w:unhideWhenUsed/>
    <w:qFormat/>
    <w:rsid w:val="00E51CC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642B3"/>
    <w:pPr>
      <w:tabs>
        <w:tab w:val="center" w:pos="4513"/>
        <w:tab w:val="right" w:pos="9026"/>
      </w:tabs>
    </w:pPr>
    <w:rPr>
      <w:rFonts w:cs="Mangal"/>
    </w:rPr>
  </w:style>
  <w:style w:type="character" w:customStyle="1" w:styleId="KopfzeileZchn">
    <w:name w:val="Kopfzeile Zchn"/>
    <w:basedOn w:val="Absatz-Standardschriftart"/>
    <w:link w:val="Kopfzeile"/>
    <w:uiPriority w:val="99"/>
    <w:rsid w:val="009642B3"/>
    <w:rPr>
      <w:rFonts w:cs="Mangal"/>
    </w:rPr>
  </w:style>
  <w:style w:type="paragraph" w:styleId="Fuzeile">
    <w:name w:val="footer"/>
    <w:basedOn w:val="Standard"/>
    <w:link w:val="FuzeileZchn"/>
    <w:uiPriority w:val="99"/>
    <w:unhideWhenUsed/>
    <w:rsid w:val="009642B3"/>
    <w:pPr>
      <w:tabs>
        <w:tab w:val="center" w:pos="4513"/>
        <w:tab w:val="right" w:pos="9026"/>
      </w:tabs>
    </w:pPr>
    <w:rPr>
      <w:rFonts w:cs="Mangal"/>
    </w:rPr>
  </w:style>
  <w:style w:type="character" w:customStyle="1" w:styleId="FuzeileZchn">
    <w:name w:val="Fußzeile Zchn"/>
    <w:basedOn w:val="Absatz-Standardschriftart"/>
    <w:link w:val="Fuzeile"/>
    <w:uiPriority w:val="99"/>
    <w:rsid w:val="009642B3"/>
    <w:rPr>
      <w:rFonts w:cs="Mangal"/>
    </w:rPr>
  </w:style>
  <w:style w:type="paragraph" w:styleId="Sprechblasentext">
    <w:name w:val="Balloon Text"/>
    <w:basedOn w:val="Standard"/>
    <w:link w:val="SprechblasentextZchn"/>
    <w:uiPriority w:val="99"/>
    <w:semiHidden/>
    <w:unhideWhenUsed/>
    <w:rsid w:val="008B28F6"/>
    <w:rPr>
      <w:rFonts w:ascii="Segoe UI" w:hAnsi="Segoe UI" w:cs="Mangal"/>
      <w:sz w:val="18"/>
      <w:szCs w:val="16"/>
    </w:rPr>
  </w:style>
  <w:style w:type="character" w:customStyle="1" w:styleId="SprechblasentextZchn">
    <w:name w:val="Sprechblasentext Zchn"/>
    <w:basedOn w:val="Absatz-Standardschriftart"/>
    <w:link w:val="Sprechblasentext"/>
    <w:uiPriority w:val="99"/>
    <w:semiHidden/>
    <w:rsid w:val="008B28F6"/>
    <w:rPr>
      <w:rFonts w:ascii="Segoe UI" w:hAnsi="Segoe UI" w:cs="Mangal"/>
      <w:sz w:val="18"/>
      <w:szCs w:val="16"/>
    </w:rPr>
  </w:style>
  <w:style w:type="character" w:styleId="Hyperlink">
    <w:name w:val="Hyperlink"/>
    <w:basedOn w:val="Absatz-Standardschriftart"/>
    <w:uiPriority w:val="99"/>
    <w:unhideWhenUsed/>
    <w:rsid w:val="00E56F11"/>
    <w:rPr>
      <w:color w:val="0563C1" w:themeColor="hyperlink"/>
      <w:u w:val="single"/>
    </w:rPr>
  </w:style>
  <w:style w:type="character" w:styleId="NichtaufgelsteErwhnung">
    <w:name w:val="Unresolved Mention"/>
    <w:basedOn w:val="Absatz-Standardschriftart"/>
    <w:uiPriority w:val="99"/>
    <w:semiHidden/>
    <w:unhideWhenUsed/>
    <w:rsid w:val="00E56F11"/>
    <w:rPr>
      <w:color w:val="605E5C"/>
      <w:shd w:val="clear" w:color="auto" w:fill="E1DFDD"/>
    </w:rPr>
  </w:style>
  <w:style w:type="character" w:styleId="BesuchterLink">
    <w:name w:val="FollowedHyperlink"/>
    <w:basedOn w:val="Absatz-Standardschriftart"/>
    <w:uiPriority w:val="99"/>
    <w:semiHidden/>
    <w:unhideWhenUsed/>
    <w:rsid w:val="004A0FF9"/>
    <w:rPr>
      <w:color w:val="954F72" w:themeColor="followedHyperlink"/>
      <w:u w:val="single"/>
    </w:rPr>
  </w:style>
  <w:style w:type="paragraph" w:styleId="StandardWeb">
    <w:name w:val="Normal (Web)"/>
    <w:basedOn w:val="Standard"/>
    <w:uiPriority w:val="99"/>
    <w:semiHidden/>
    <w:unhideWhenUsed/>
    <w:rsid w:val="00194A6B"/>
    <w:pPr>
      <w:spacing w:before="100" w:beforeAutospacing="1" w:after="100" w:afterAutospacing="1"/>
    </w:pPr>
    <w:rPr>
      <w:rFonts w:eastAsiaTheme="minorEastAsia" w:cs="Times New Roman"/>
      <w:sz w:val="24"/>
      <w:szCs w:val="24"/>
      <w:lang w:eastAsia="de-DE"/>
    </w:rPr>
  </w:style>
  <w:style w:type="paragraph" w:styleId="Listenabsatz">
    <w:name w:val="List Paragraph"/>
    <w:basedOn w:val="Standard"/>
    <w:uiPriority w:val="34"/>
    <w:qFormat/>
    <w:rsid w:val="00E51CCF"/>
    <w:pPr>
      <w:numPr>
        <w:numId w:val="1"/>
      </w:numPr>
      <w:contextualSpacing/>
    </w:pPr>
    <w:rPr>
      <w:rFonts w:cs="Mangal"/>
    </w:rPr>
  </w:style>
  <w:style w:type="character" w:customStyle="1" w:styleId="berschrift1Zchn">
    <w:name w:val="Überschrift 1 Zchn"/>
    <w:basedOn w:val="Absatz-Standardschriftart"/>
    <w:link w:val="berschrift1"/>
    <w:uiPriority w:val="9"/>
    <w:rsid w:val="00FD746F"/>
    <w:rPr>
      <w:rFonts w:ascii="Times New Roman" w:eastAsiaTheme="majorEastAsia" w:hAnsi="Times New Roman" w:cstheme="majorBidi"/>
      <w:b/>
      <w:caps/>
      <w:sz w:val="23"/>
      <w:szCs w:val="29"/>
    </w:rPr>
  </w:style>
  <w:style w:type="character" w:customStyle="1" w:styleId="berschrift2Zchn">
    <w:name w:val="Überschrift 2 Zchn"/>
    <w:basedOn w:val="Absatz-Standardschriftart"/>
    <w:link w:val="berschrift2"/>
    <w:uiPriority w:val="9"/>
    <w:rsid w:val="00FD746F"/>
    <w:rPr>
      <w:rFonts w:ascii="Times New Roman" w:eastAsiaTheme="majorEastAsia" w:hAnsi="Times New Roman" w:cstheme="majorBidi"/>
      <w:b/>
      <w:sz w:val="23"/>
      <w:szCs w:val="23"/>
    </w:rPr>
  </w:style>
  <w:style w:type="character" w:customStyle="1" w:styleId="berschrift3Zchn">
    <w:name w:val="Überschrift 3 Zchn"/>
    <w:basedOn w:val="Absatz-Standardschriftart"/>
    <w:link w:val="berschrift3"/>
    <w:uiPriority w:val="9"/>
    <w:rsid w:val="00FD746F"/>
    <w:rPr>
      <w:rFonts w:ascii="Times New Roman" w:eastAsiaTheme="majorEastAsia" w:hAnsi="Times New Roman" w:cstheme="majorBidi"/>
      <w:b/>
      <w:i/>
      <w:sz w:val="23"/>
      <w:szCs w:val="21"/>
    </w:rPr>
  </w:style>
  <w:style w:type="character" w:customStyle="1" w:styleId="berschrift4Zchn">
    <w:name w:val="Überschrift 4 Zchn"/>
    <w:basedOn w:val="Absatz-Standardschriftart"/>
    <w:link w:val="berschrift4"/>
    <w:uiPriority w:val="9"/>
    <w:rsid w:val="00351DD6"/>
    <w:rPr>
      <w:rFonts w:ascii="Times New Roman" w:eastAsiaTheme="majorEastAsia" w:hAnsi="Times New Roman" w:cstheme="majorBidi"/>
      <w:i/>
      <w:iCs/>
      <w:sz w:val="23"/>
    </w:rPr>
  </w:style>
  <w:style w:type="character" w:customStyle="1" w:styleId="berschrift5Zchn">
    <w:name w:val="Überschrift 5 Zchn"/>
    <w:basedOn w:val="Absatz-Standardschriftart"/>
    <w:link w:val="berschrift5"/>
    <w:uiPriority w:val="9"/>
    <w:rsid w:val="00FD746F"/>
    <w:rPr>
      <w:rFonts w:ascii="Times New Roman" w:eastAsiaTheme="majorEastAsia" w:hAnsi="Times New Roman" w:cstheme="majorBidi"/>
      <w:i/>
      <w:sz w:val="23"/>
    </w:rPr>
  </w:style>
  <w:style w:type="character" w:customStyle="1" w:styleId="berschrift6Zchn">
    <w:name w:val="Überschrift 6 Zchn"/>
    <w:basedOn w:val="Absatz-Standardschriftart"/>
    <w:link w:val="berschrift6"/>
    <w:uiPriority w:val="9"/>
    <w:rsid w:val="00803C34"/>
    <w:rPr>
      <w:rFonts w:ascii="Times New Roman" w:eastAsiaTheme="majorEastAsia" w:hAnsi="Times New Roman" w:cstheme="majorBidi"/>
      <w:sz w:val="23"/>
    </w:rPr>
  </w:style>
  <w:style w:type="character" w:customStyle="1" w:styleId="berschrift7Zchn">
    <w:name w:val="Überschrift 7 Zchn"/>
    <w:basedOn w:val="Absatz-Standardschriftart"/>
    <w:link w:val="berschrift7"/>
    <w:uiPriority w:val="9"/>
    <w:semiHidden/>
    <w:rsid w:val="00E51CCF"/>
    <w:rPr>
      <w:rFonts w:asciiTheme="majorHAnsi" w:eastAsiaTheme="majorEastAsia" w:hAnsiTheme="majorHAnsi" w:cstheme="majorBidi"/>
      <w:i/>
      <w:iCs/>
      <w:color w:val="1F3763" w:themeColor="accent1" w:themeShade="7F"/>
      <w:sz w:val="23"/>
    </w:rPr>
  </w:style>
  <w:style w:type="character" w:customStyle="1" w:styleId="berschrift8Zchn">
    <w:name w:val="Überschrift 8 Zchn"/>
    <w:basedOn w:val="Absatz-Standardschriftart"/>
    <w:link w:val="berschrift8"/>
    <w:uiPriority w:val="9"/>
    <w:semiHidden/>
    <w:rsid w:val="00E51CCF"/>
    <w:rPr>
      <w:rFonts w:asciiTheme="majorHAnsi" w:eastAsiaTheme="majorEastAsia" w:hAnsiTheme="majorHAnsi" w:cstheme="majorBidi"/>
      <w:color w:val="272727" w:themeColor="text1" w:themeTint="D8"/>
      <w:sz w:val="21"/>
      <w:szCs w:val="19"/>
    </w:rPr>
  </w:style>
  <w:style w:type="character" w:customStyle="1" w:styleId="berschrift9Zchn">
    <w:name w:val="Überschrift 9 Zchn"/>
    <w:basedOn w:val="Absatz-Standardschriftart"/>
    <w:link w:val="berschrift9"/>
    <w:uiPriority w:val="9"/>
    <w:semiHidden/>
    <w:rsid w:val="00E51CCF"/>
    <w:rPr>
      <w:rFonts w:asciiTheme="majorHAnsi" w:eastAsiaTheme="majorEastAsia" w:hAnsiTheme="majorHAnsi" w:cstheme="majorBidi"/>
      <w:i/>
      <w:iCs/>
      <w:color w:val="272727" w:themeColor="text1" w:themeTint="D8"/>
      <w:sz w:val="21"/>
      <w:szCs w:val="19"/>
    </w:rPr>
  </w:style>
  <w:style w:type="paragraph" w:styleId="Verzeichnis1">
    <w:name w:val="toc 1"/>
    <w:basedOn w:val="Standard"/>
    <w:next w:val="Standard"/>
    <w:autoRedefine/>
    <w:uiPriority w:val="39"/>
    <w:unhideWhenUsed/>
    <w:rsid w:val="00583998"/>
    <w:pPr>
      <w:tabs>
        <w:tab w:val="left" w:pos="440"/>
        <w:tab w:val="right" w:leader="dot" w:pos="9016"/>
      </w:tabs>
    </w:pPr>
    <w:rPr>
      <w:rFonts w:cs="Mangal"/>
    </w:rPr>
  </w:style>
  <w:style w:type="paragraph" w:styleId="Verzeichnis2">
    <w:name w:val="toc 2"/>
    <w:basedOn w:val="Standard"/>
    <w:next w:val="Standard"/>
    <w:autoRedefine/>
    <w:uiPriority w:val="39"/>
    <w:unhideWhenUsed/>
    <w:rsid w:val="0090713A"/>
    <w:pPr>
      <w:spacing w:before="0"/>
      <w:ind w:left="221"/>
    </w:pPr>
    <w:rPr>
      <w:rFonts w:cs="Mangal"/>
      <w:sz w:val="21"/>
    </w:rPr>
  </w:style>
  <w:style w:type="paragraph" w:styleId="Funotentext">
    <w:name w:val="footnote text"/>
    <w:basedOn w:val="Standard"/>
    <w:link w:val="FunotentextZchn"/>
    <w:uiPriority w:val="99"/>
    <w:unhideWhenUsed/>
    <w:rsid w:val="006F0F5A"/>
    <w:pPr>
      <w:spacing w:before="0"/>
    </w:pPr>
    <w:rPr>
      <w:rFonts w:cs="Mangal"/>
      <w:sz w:val="19"/>
      <w:szCs w:val="18"/>
      <w:lang w:val="en-GB"/>
    </w:rPr>
  </w:style>
  <w:style w:type="character" w:customStyle="1" w:styleId="FunotentextZchn">
    <w:name w:val="Fußnotentext Zchn"/>
    <w:basedOn w:val="Absatz-Standardschriftart"/>
    <w:link w:val="Funotentext"/>
    <w:uiPriority w:val="99"/>
    <w:rsid w:val="006F0F5A"/>
    <w:rPr>
      <w:rFonts w:ascii="Times New Roman" w:hAnsi="Times New Roman" w:cs="Mangal"/>
      <w:sz w:val="19"/>
      <w:szCs w:val="18"/>
      <w:lang w:val="en-GB"/>
    </w:rPr>
  </w:style>
  <w:style w:type="character" w:styleId="Funotenzeichen">
    <w:name w:val="footnote reference"/>
    <w:basedOn w:val="Absatz-Standardschriftart"/>
    <w:uiPriority w:val="99"/>
    <w:semiHidden/>
    <w:unhideWhenUsed/>
    <w:rsid w:val="001C65ED"/>
    <w:rPr>
      <w:vertAlign w:val="superscript"/>
    </w:rPr>
  </w:style>
  <w:style w:type="paragraph" w:customStyle="1" w:styleId="Standardwithparanumbering">
    <w:name w:val="Standard with para numbering"/>
    <w:basedOn w:val="Standard"/>
    <w:qFormat/>
    <w:rsid w:val="00AB3542"/>
    <w:pPr>
      <w:numPr>
        <w:numId w:val="6"/>
      </w:numPr>
    </w:pPr>
    <w:rPr>
      <w:lang w:val="en-GB"/>
    </w:rPr>
  </w:style>
  <w:style w:type="paragraph" w:styleId="Aufzhlungszeichen">
    <w:name w:val="List Bullet"/>
    <w:basedOn w:val="Standard"/>
    <w:uiPriority w:val="99"/>
    <w:unhideWhenUsed/>
    <w:rsid w:val="00C23B8F"/>
    <w:pPr>
      <w:numPr>
        <w:numId w:val="7"/>
      </w:numPr>
      <w:contextualSpacing/>
    </w:pPr>
    <w:rPr>
      <w:rFonts w:cs="Mangal"/>
    </w:rPr>
  </w:style>
  <w:style w:type="paragraph" w:customStyle="1" w:styleId="Case">
    <w:name w:val="Case"/>
    <w:basedOn w:val="Standard"/>
    <w:qFormat/>
    <w:rsid w:val="005152F4"/>
    <w:pPr>
      <w:ind w:left="567" w:right="567"/>
    </w:pPr>
    <w:rPr>
      <w:sz w:val="20"/>
      <w:lang w:val="en-GB"/>
    </w:rPr>
  </w:style>
  <w:style w:type="paragraph" w:styleId="berarbeitung">
    <w:name w:val="Revision"/>
    <w:hidden/>
    <w:uiPriority w:val="99"/>
    <w:semiHidden/>
    <w:rsid w:val="00671D26"/>
    <w:pPr>
      <w:spacing w:after="0" w:line="240" w:lineRule="auto"/>
    </w:pPr>
    <w:rPr>
      <w:rFonts w:ascii="Times New Roman" w:hAnsi="Times New Roman" w:cs="Mangal"/>
      <w:sz w:val="23"/>
    </w:rPr>
  </w:style>
  <w:style w:type="table" w:styleId="Tabellenraster">
    <w:name w:val="Table Grid"/>
    <w:basedOn w:val="NormaleTabelle"/>
    <w:uiPriority w:val="39"/>
    <w:rsid w:val="0080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chwacheHervorhebung">
    <w:name w:val="Subtle Emphasis"/>
    <w:basedOn w:val="Absatz-Standardschriftart"/>
    <w:uiPriority w:val="19"/>
    <w:qFormat/>
    <w:rsid w:val="00EF39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38065">
      <w:bodyDiv w:val="1"/>
      <w:marLeft w:val="0"/>
      <w:marRight w:val="0"/>
      <w:marTop w:val="0"/>
      <w:marBottom w:val="0"/>
      <w:divBdr>
        <w:top w:val="none" w:sz="0" w:space="0" w:color="auto"/>
        <w:left w:val="none" w:sz="0" w:space="0" w:color="auto"/>
        <w:bottom w:val="none" w:sz="0" w:space="0" w:color="auto"/>
        <w:right w:val="none" w:sz="0" w:space="0" w:color="auto"/>
      </w:divBdr>
    </w:div>
    <w:div w:id="585067892">
      <w:bodyDiv w:val="1"/>
      <w:marLeft w:val="0"/>
      <w:marRight w:val="0"/>
      <w:marTop w:val="0"/>
      <w:marBottom w:val="0"/>
      <w:divBdr>
        <w:top w:val="none" w:sz="0" w:space="0" w:color="auto"/>
        <w:left w:val="none" w:sz="0" w:space="0" w:color="auto"/>
        <w:bottom w:val="none" w:sz="0" w:space="0" w:color="auto"/>
        <w:right w:val="none" w:sz="0" w:space="0" w:color="auto"/>
      </w:divBdr>
    </w:div>
    <w:div w:id="191831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PowerPoint_Presentation1.pptx"/><Relationship Id="rId18" Type="http://schemas.openxmlformats.org/officeDocument/2006/relationships/image" Target="media/image5.png"/><Relationship Id="rId26" Type="http://schemas.openxmlformats.org/officeDocument/2006/relationships/hyperlink" Target="https://www.esma.europa.eu/sites/default/files/library/esma70-145-111_qa_on_mar.pdf" TargetMode="External"/><Relationship Id="rId21" Type="http://schemas.openxmlformats.org/officeDocument/2006/relationships/hyperlink" Target="https://www.luxse.com/regulation/prospectus-regime"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PowerPoint_Presentation2.pptx"/><Relationship Id="rId25" Type="http://schemas.openxmlformats.org/officeDocument/2006/relationships/hyperlink" Target="https://www.esma.europa.eu/sites/default/files/library/2016-1478_mar_guidelines_-_legitimate_interests.pdf"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s://www.esma.europa.eu/sites/default/files/library/esma31-62-1258_prospectus_regulation_qas.pdf" TargetMode="External"/><Relationship Id="rId29" Type="http://schemas.openxmlformats.org/officeDocument/2006/relationships/hyperlink" Target="https://www.esma.europa.eu/sites/default/files/library/esma70-145-111_qa_on_ma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PowerPoint_Presentation.pptx"/><Relationship Id="rId24" Type="http://schemas.openxmlformats.org/officeDocument/2006/relationships/hyperlink" Target="https://www.luxse.com/regulation/prospectus-regime" TargetMode="External"/><Relationship Id="rId32" Type="http://schemas.openxmlformats.org/officeDocument/2006/relationships/image" Target="media/image6.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ur-lex.europa.eu/advanced-search-form.html" TargetMode="External"/><Relationship Id="rId23" Type="http://schemas.openxmlformats.org/officeDocument/2006/relationships/hyperlink" Target="https://www.esma.europa.eu/sites/default/files/library/esma31-62-1258_prospectus_regulation_qas.pdf" TargetMode="External"/><Relationship Id="rId28" Type="http://schemas.openxmlformats.org/officeDocument/2006/relationships/hyperlink" Target="https://www.esma.europa.eu/sites/default/files/library/2016-1478_mar_guidelines_-_legitimate_interests.pdf" TargetMode="External"/><Relationship Id="rId36" Type="http://schemas.openxmlformats.org/officeDocument/2006/relationships/package" Target="embeddings/Microsoft_PowerPoint_Presentation4.pptx"/><Relationship Id="rId10" Type="http://schemas.openxmlformats.org/officeDocument/2006/relationships/image" Target="media/image2.emf"/><Relationship Id="rId19" Type="http://schemas.openxmlformats.org/officeDocument/2006/relationships/hyperlink" Target="https://www.esma.europa.eu/sites/default/files/library/esma31-62-1293_guidelines_on_risk_factors_under_the_prospectus_regulation.pdf" TargetMode="External"/><Relationship Id="rId31" Type="http://schemas.openxmlformats.org/officeDocument/2006/relationships/hyperlink" Target="https://registers.esma.europa.eu/publication/searchRegister?core=esma_registers_firds" TargetMode="External"/><Relationship Id="rId4" Type="http://schemas.openxmlformats.org/officeDocument/2006/relationships/settings" Target="settings.xml"/><Relationship Id="rId9" Type="http://schemas.openxmlformats.org/officeDocument/2006/relationships/hyperlink" Target="https://www.esma.europa.eu/publications-and-data/interactive-single-rulebook" TargetMode="External"/><Relationship Id="rId14" Type="http://schemas.openxmlformats.org/officeDocument/2006/relationships/hyperlink" Target="https://www.esma.europa.eu/publications-and-data/interactive-single-rulebook" TargetMode="External"/><Relationship Id="rId22" Type="http://schemas.openxmlformats.org/officeDocument/2006/relationships/hyperlink" Target="https://www.esma.europa.eu/sites/default/files/library/esma31-62-1293_guidelines_on_risk_factors_under_the_prospectus_regulation.pdf" TargetMode="External"/><Relationship Id="rId27" Type="http://schemas.openxmlformats.org/officeDocument/2006/relationships/hyperlink" Target="https://finance.ec.europa.eu/system/files/2022-10/mar-level-2-measures-full_en.pdf" TargetMode="External"/><Relationship Id="rId30" Type="http://schemas.openxmlformats.org/officeDocument/2006/relationships/hyperlink" Target="https://finance.ec.europa.eu/system/files/2022-10/mar-level-2-measures-full_en.pdf" TargetMode="External"/><Relationship Id="rId35" Type="http://schemas.openxmlformats.org/officeDocument/2006/relationships/package" Target="embeddings/Microsoft_PowerPoint_Presentation3.pptx"/><Relationship Id="rId8" Type="http://schemas.openxmlformats.org/officeDocument/2006/relationships/image" Target="media/image1.wmf"/><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esma.europa.eu/sites/default/files/library/esma31-62-1293_guidelines_on_risk_factors_under_the_prospectus_regulation.pdf" TargetMode="External"/><Relationship Id="rId13" Type="http://schemas.openxmlformats.org/officeDocument/2006/relationships/hyperlink" Target="https://www.esma.europa.eu/sites/default/files/library/esma32-382-1138_guidelines_on_disclosure_requirements_under_the_prospectus_regulation.pdf" TargetMode="External"/><Relationship Id="rId3" Type="http://schemas.openxmlformats.org/officeDocument/2006/relationships/hyperlink" Target="https://www.bafin.de/DE/Aufsicht/BoersenMaerkte/Emittentenleitfaden/emittentenleitfaden_node.html" TargetMode="External"/><Relationship Id="rId7" Type="http://schemas.openxmlformats.org/officeDocument/2006/relationships/hyperlink" Target="https://www.esma.europa.eu/regulation/corporate-disclosure/prospectus" TargetMode="External"/><Relationship Id="rId12" Type="http://schemas.openxmlformats.org/officeDocument/2006/relationships/hyperlink" Target="https://www.bafin.de/SharedDocs/Standardartikel/EN/bieterpflichten_wpueg_en.html" TargetMode="External"/><Relationship Id="rId2" Type="http://schemas.openxmlformats.org/officeDocument/2006/relationships/hyperlink" Target="https://www.esma.europa.eu/sites/default/files/library/2015/11/lamfalussy_report.pdf" TargetMode="External"/><Relationship Id="rId1" Type="http://schemas.openxmlformats.org/officeDocument/2006/relationships/hyperlink" Target="https://finance.ec.europa.eu/regulation-and-supervision/regulatory-process-financial-services_en" TargetMode="External"/><Relationship Id="rId6" Type="http://schemas.openxmlformats.org/officeDocument/2006/relationships/hyperlink" Target="https://www.esma.europa.eu/publications-and-data/interactive-single-rulebook/prospectus-regulation" TargetMode="External"/><Relationship Id="rId11" Type="http://schemas.openxmlformats.org/officeDocument/2006/relationships/hyperlink" Target="https://www.esma.europa.eu/sites/default/files/transparency_directive.pdf" TargetMode="External"/><Relationship Id="rId5" Type="http://schemas.openxmlformats.org/officeDocument/2006/relationships/hyperlink" Target="https://eur-lex.europa.eu/procedure/EN/2023_177" TargetMode="External"/><Relationship Id="rId15" Type="http://schemas.openxmlformats.org/officeDocument/2006/relationships/hyperlink" Target="https://www.bafin.de/SharedDocs/Veroeffentlichungen/DE/Merkblatt/WA/mb_070712_35wpueg.html" TargetMode="External"/><Relationship Id="rId10" Type="http://schemas.openxmlformats.org/officeDocument/2006/relationships/hyperlink" Target="https://www.esma.europa.eu/sites/default/files/library/2016-1478_mar_guidelines_-_legitimate_interests.pdf" TargetMode="External"/><Relationship Id="rId4" Type="http://schemas.openxmlformats.org/officeDocument/2006/relationships/hyperlink" Target="https://finance.ec.europa.eu/capital-markets-union-and-financial-markets/capital-markets-union_en" TargetMode="External"/><Relationship Id="rId9" Type="http://schemas.openxmlformats.org/officeDocument/2006/relationships/hyperlink" Target="https://www.esma.europa.eu/sites/default/files/library/2015/11/06_562b.pdf" TargetMode="External"/><Relationship Id="rId14" Type="http://schemas.openxmlformats.org/officeDocument/2006/relationships/hyperlink" Target="https://www.esma.europa.eu/document/esma-guidelines-alternative-performance-measures-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13F9-F306-453F-81F2-BAC15AF06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34869</Words>
  <Characters>219681</Characters>
  <Application>Microsoft Office Word</Application>
  <DocSecurity>0</DocSecurity>
  <Lines>1830</Lines>
  <Paragraphs>508</Paragraphs>
  <ScaleCrop>false</ScaleCrop>
  <HeadingPairs>
    <vt:vector size="2" baseType="variant">
      <vt:variant>
        <vt:lpstr>Titel</vt:lpstr>
      </vt:variant>
      <vt:variant>
        <vt:i4>1</vt:i4>
      </vt:variant>
    </vt:vector>
  </HeadingPairs>
  <TitlesOfParts>
    <vt:vector size="1" baseType="lpstr">
      <vt:lpstr/>
    </vt:vector>
  </TitlesOfParts>
  <Company>Allianz</Company>
  <LinksUpToDate>false</LinksUpToDate>
  <CharactersWithSpaces>254042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Balthasar, Stephan (Allianz SE)</dc:creator>
  <cp:keywords/>
  <dc:description/>
  <cp:lastModifiedBy>Balthasar, Stephan (Allianz SE)</cp:lastModifiedBy>
  <cp:revision>98</cp:revision>
  <cp:lastPrinted>2025-04-07T13:41:00Z</cp:lastPrinted>
  <dcterms:created xsi:type="dcterms:W3CDTF">2025-04-07T13:41:00Z</dcterms:created>
  <dcterms:modified xsi:type="dcterms:W3CDTF">2025-11-04T19:57:00Z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2021-04-11T14:42:55Z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0b77fb29-3168-4278-b92e-68dc98e3ea27</vt:lpwstr>
  </property>
  <property fmtid="{D5CDD505-2E9C-101B-9397-08002B2CF9AE}" pid="8" name="MSIP_Label_ce5f591a-3248-43e9-9b70-1ad50135772d_ContentBits">
    <vt:lpwstr>0</vt:lpwstr>
  </property>
  <property fmtid="{D5CDD505-2E9C-101B-9397-08002B2CF9AE}" pid="9" name="_NewReviewCycle">
    <vt:lpwstr/>
  </property>
  <property fmtid="{D5CDD505-2E9C-101B-9397-08002B2CF9AE}" pid="10" name="_AdHocReviewCycleID">
    <vt:i4>-504498526</vt:i4>
  </property>
  <property fmtid="{D5CDD505-2E9C-101B-9397-08002B2CF9AE}" pid="11" name="_EmailSubject">
    <vt:lpwstr>EUCapML</vt:lpwstr>
  </property>
  <property fmtid="{D5CDD505-2E9C-101B-9397-08002B2CF9AE}" pid="12" name="_AuthorEmail">
    <vt:lpwstr>STEPHAN.BALTHASAR@ALLIANZ.COM</vt:lpwstr>
  </property>
  <property fmtid="{D5CDD505-2E9C-101B-9397-08002B2CF9AE}" pid="13" name="_AuthorEmailDisplayName">
    <vt:lpwstr>Balthasar, Stephan (Allianz SE)</vt:lpwstr>
  </property>
  <property fmtid="{D5CDD505-2E9C-101B-9397-08002B2CF9AE}" pid="14" name="_ReviewingToolsShownOnce">
    <vt:lpwstr/>
  </property>
</Properties>
</file>