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20"/>
        <w:jc w:val="center"/>
      </w:pPr>
      <w:r>
        <w:rPr>
          <w:rFonts w:ascii="Arial" w:cs="Arial" w:eastAsia="Arial" w:hAnsi="Arial"/>
          <w:color w:val="7F8C8D"/>
          <w:spacing w:val="200"/>
          <w:sz w:val="20"/>
          <w:szCs w:val="20"/>
        </w:rPr>
        <w:t xml:space="preserve">RAPPORT</w:t>
      </w:r>
    </w:p>
    <w:p>
      <w:pPr>
        <w:spacing w:before="100" w:after="0"/>
      </w:pPr>
    </w:p>
    <w:p>
      <w:pPr>
        <w:pBdr>
          <w:bottom w:val="single" w:color="1B3A5C" w:sz="6" w:space="12"/>
        </w:pBdr>
        <w:spacing w:after="300"/>
        <w:jc w:val="center"/>
      </w:pPr>
      <w:r>
        <w:rPr>
          <w:rFonts w:ascii="Arial" w:cs="Arial" w:eastAsia="Arial" w:hAnsi="Arial"/>
          <w:b/>
          <w:bCs/>
          <w:color w:val="1B3A5C"/>
          <w:sz w:val="48"/>
          <w:szCs w:val="48"/>
        </w:rPr>
        <w:t xml:space="preserve">COMMENT POURSUIVRE QWANT
ET SES RESPONSABLES</w:t>
      </w:r>
    </w:p>
    <w:p>
      <w:pPr>
        <w:spacing w:before="200" w:after="0"/>
      </w:pPr>
    </w:p>
    <w:p>
      <w:pPr>
        <w:spacing w:after="120"/>
        <w:jc w:val="center"/>
      </w:pPr>
      <w:r>
        <w:rPr>
          <w:rFonts w:ascii="Arial" w:cs="Arial" w:eastAsia="Arial" w:hAnsi="Arial"/>
          <w:i/>
          <w:iCs/>
          <w:color w:val="2C3E50"/>
          <w:sz w:val="28"/>
          <w:szCs w:val="28"/>
        </w:rPr>
        <w:t xml:space="preserve">Analyse des voies de recours pénales et civiles</w:t>
      </w:r>
    </w:p>
    <w:p>
      <w:pPr>
        <w:spacing w:after="120"/>
        <w:jc w:val="center"/>
      </w:pPr>
      <w:r>
        <w:rPr>
          <w:rFonts w:ascii="Arial" w:cs="Arial" w:eastAsia="Arial" w:hAnsi="Arial"/>
          <w:color w:val="7F8C8D"/>
          <w:sz w:val="24"/>
          <w:szCs w:val="24"/>
        </w:rPr>
        <w:t xml:space="preserve">contre Qwant SAS, Éric Leandri, Jean-Manuel Rozan et Alberto Chalon</w:t>
      </w:r>
    </w:p>
    <w:p>
      <w:pPr>
        <w:spacing w:before="600" w:after="0"/>
      </w:pPr>
    </w:p>
    <w:p>
      <w:pPr>
        <w:spacing w:after="120"/>
        <w:jc w:val="center"/>
      </w:pPr>
      <w:r>
        <w:rPr>
          <w:rFonts w:ascii="Arial" w:cs="Arial" w:eastAsia="Arial" w:hAnsi="Arial"/>
          <w:b/>
          <w:bCs/>
          <w:color w:val="C0392B"/>
          <w:sz w:val="20"/>
          <w:szCs w:val="20"/>
        </w:rPr>
        <w:t xml:space="preserve">CONFIDENTIEL — COUVERT PAR LE SECRET PROFESSIONNEL</w:t>
      </w:r>
    </w:p>
    <w:p>
      <w:pPr>
        <w:spacing w:before="400" w:after="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60"/>
              <w:left w:type="dxa" w:w="100"/>
              <w:bottom w:type="dxa" w:w="60"/>
              <w:right w:type="dxa" w:w="100"/>
            </w:tcMar>
          </w:tcPr>
          <w:p>
            <w:pPr>
              <w:spacing w:after="0"/>
            </w:pPr>
            <w:r>
              <w:rPr>
                <w:rFonts w:ascii="Arial" w:cs="Arial" w:eastAsia="Arial" w:hAnsi="Arial"/>
                <w:b/>
                <w:bCs/>
                <w:color w:val="7F8C8D"/>
                <w:sz w:val="20"/>
                <w:szCs w:val="20"/>
              </w:rPr>
              <w:t xml:space="preserve">Date :</w:t>
            </w:r>
          </w:p>
        </w:tc>
        <w:tc>
          <w:tcPr>
            <w:tcW w:type="dxa" w:w="3000"/>
            <w:tcBorders>
              <w:top w:val="none" w:sz="0"/>
              <w:left w:val="none" w:sz="0"/>
              <w:bottom w:val="none" w:sz="0"/>
              <w:right w:val="none" w:sz="0"/>
            </w:tcBorders>
            <w:tcMar>
              <w:top w:type="dxa" w:w="60"/>
              <w:left w:type="dxa" w:w="100"/>
              <w:bottom w:type="dxa" w:w="60"/>
              <w:right w:type="dxa" w:w="100"/>
            </w:tcMar>
          </w:tcPr>
          <w:p>
            <w:pPr>
              <w:spacing w:after="0"/>
            </w:pPr>
            <w:r>
              <w:rPr>
                <w:rFonts w:ascii="Arial" w:cs="Arial" w:eastAsia="Arial" w:hAnsi="Arial"/>
                <w:color w:val="2C3E50"/>
                <w:sz w:val="20"/>
                <w:szCs w:val="20"/>
              </w:rPr>
              <w:t xml:space="preserve">5 mars 2026</w:t>
            </w:r>
          </w:p>
        </w:tc>
      </w:tr>
      <w:tr>
        <w:tc>
          <w:tcPr>
            <w:tcW w:type="dxa" w:w="2000"/>
            <w:tcBorders>
              <w:top w:val="none" w:sz="0"/>
              <w:left w:val="none" w:sz="0"/>
              <w:bottom w:val="none" w:sz="0"/>
              <w:right w:val="none" w:sz="0"/>
            </w:tcBorders>
            <w:tcMar>
              <w:top w:type="dxa" w:w="60"/>
              <w:left w:type="dxa" w:w="100"/>
              <w:bottom w:type="dxa" w:w="60"/>
              <w:right w:type="dxa" w:w="100"/>
            </w:tcMar>
          </w:tcPr>
          <w:p>
            <w:pPr>
              <w:spacing w:after="0"/>
            </w:pPr>
            <w:r>
              <w:rPr>
                <w:rFonts w:ascii="Arial" w:cs="Arial" w:eastAsia="Arial" w:hAnsi="Arial"/>
                <w:b/>
                <w:bCs/>
                <w:color w:val="7F8C8D"/>
                <w:sz w:val="20"/>
                <w:szCs w:val="20"/>
              </w:rPr>
              <w:t xml:space="preserve">Référence :</w:t>
            </w:r>
          </w:p>
        </w:tc>
        <w:tc>
          <w:tcPr>
            <w:tcW w:type="dxa" w:w="3000"/>
            <w:tcBorders>
              <w:top w:val="none" w:sz="0"/>
              <w:left w:val="none" w:sz="0"/>
              <w:bottom w:val="none" w:sz="0"/>
              <w:right w:val="none" w:sz="0"/>
            </w:tcBorders>
            <w:tcMar>
              <w:top w:type="dxa" w:w="60"/>
              <w:left w:type="dxa" w:w="100"/>
              <w:bottom w:type="dxa" w:w="60"/>
              <w:right w:type="dxa" w:w="100"/>
            </w:tcMar>
          </w:tcPr>
          <w:p>
            <w:pPr>
              <w:spacing w:after="0"/>
            </w:pPr>
            <w:r>
              <w:rPr>
                <w:rFonts w:ascii="Arial" w:cs="Arial" w:eastAsia="Arial" w:hAnsi="Arial"/>
                <w:color w:val="2C3E50"/>
                <w:sz w:val="20"/>
                <w:szCs w:val="20"/>
              </w:rPr>
              <w:t xml:space="preserve">QWANT-INV-2026-001</w:t>
            </w:r>
          </w:p>
        </w:tc>
      </w:tr>
      <w:tr>
        <w:tc>
          <w:tcPr>
            <w:tcW w:type="dxa" w:w="2000"/>
            <w:tcBorders>
              <w:top w:val="none" w:sz="0"/>
              <w:left w:val="none" w:sz="0"/>
              <w:bottom w:val="none" w:sz="0"/>
              <w:right w:val="none" w:sz="0"/>
            </w:tcBorders>
            <w:tcMar>
              <w:top w:type="dxa" w:w="60"/>
              <w:left w:type="dxa" w:w="100"/>
              <w:bottom w:type="dxa" w:w="60"/>
              <w:right w:type="dxa" w:w="100"/>
            </w:tcMar>
          </w:tcPr>
          <w:p>
            <w:pPr>
              <w:spacing w:after="0"/>
            </w:pPr>
            <w:r>
              <w:rPr>
                <w:rFonts w:ascii="Arial" w:cs="Arial" w:eastAsia="Arial" w:hAnsi="Arial"/>
                <w:b/>
                <w:bCs/>
                <w:color w:val="7F8C8D"/>
                <w:sz w:val="20"/>
                <w:szCs w:val="20"/>
              </w:rPr>
              <w:t xml:space="preserve">SIREN cible :</w:t>
            </w:r>
          </w:p>
        </w:tc>
        <w:tc>
          <w:tcPr>
            <w:tcW w:type="dxa" w:w="3000"/>
            <w:tcBorders>
              <w:top w:val="none" w:sz="0"/>
              <w:left w:val="none" w:sz="0"/>
              <w:bottom w:val="none" w:sz="0"/>
              <w:right w:val="none" w:sz="0"/>
            </w:tcBorders>
            <w:tcMar>
              <w:top w:type="dxa" w:w="60"/>
              <w:left w:type="dxa" w:w="100"/>
              <w:bottom w:type="dxa" w:w="60"/>
              <w:right w:type="dxa" w:w="100"/>
            </w:tcMar>
          </w:tcPr>
          <w:p>
            <w:pPr>
              <w:spacing w:after="0"/>
            </w:pPr>
            <w:r>
              <w:rPr>
                <w:rFonts w:ascii="Arial" w:cs="Arial" w:eastAsia="Arial" w:hAnsi="Arial"/>
                <w:color w:val="2C3E50"/>
                <w:sz w:val="20"/>
                <w:szCs w:val="20"/>
              </w:rPr>
              <w:t xml:space="preserve">532 867 256 (Qwant SAS)</w:t>
            </w:r>
          </w:p>
        </w:tc>
      </w:tr>
    </w:tbl>
    <w:p>
      <w:pPr>
        <w:sectPr>
          <w:pgSz w:w="11906" w:h="16838"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1B3A5C"/>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1B3A5C"/>
          <w:sz w:val="32"/>
          <w:szCs w:val="32"/>
        </w:rPr>
        <w:t xml:space="preserve">SYNTHÈSE POUR DÉCISION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3"/>
              <w:left w:val="single" w:color="BDC3C7" w:sz="1"/>
              <w:bottom w:val="single" w:color="BDC3C7" w:sz="1"/>
              <w:right w:val="single" w:color="BDC3C7" w:sz="1"/>
            </w:tcBorders>
            <w:shd w:fill="FADBD8"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ALERTE PRESCRIPTION</w:t>
            </w:r>
          </w:p>
          <w:p>
            <w:pPr>
              <w:spacing w:after="0"/>
            </w:pPr>
            <w:r>
              <w:rPr>
                <w:rFonts w:ascii="Arial" w:cs="Arial" w:eastAsia="Arial" w:hAnsi="Arial"/>
                <w:sz w:val="20"/>
                <w:szCs w:val="20"/>
              </w:rPr>
              <w:t xml:space="preserve">Certaines infractions liées aux événements de janvier-mars 2017 (surévaluation d’apports, escroquerie) sont potentiellement prescrites depuis début 2023. Toutefois, le signalement au PNF (juin 2022) et la dissimulation des faits par les dirigeants peuvent avoir interrompu ou reporté la prescription. L’action doit être engagée SANS DÉLAI.</w:t>
            </w:r>
          </w:p>
        </w:tc>
      </w:tr>
    </w:tbl>
    <w:p>
      <w:pPr>
        <w:spacing w:before="100" w:after="0"/>
      </w:pPr>
    </w:p>
    <w:p>
      <w:pPr>
        <w:spacing w:after="120"/>
      </w:pPr>
      <w:r>
        <w:rPr>
          <w:rFonts w:ascii="Arial" w:cs="Arial" w:eastAsia="Arial" w:hAnsi="Arial"/>
          <w:sz w:val="22"/>
          <w:szCs w:val="22"/>
        </w:rPr>
        <w:t xml:space="preserve">Ce rapport synthétise les résultats de l’analyse financière et documentaire de Qwant SAS (SIREN 532 867 256) couvrant les exercices 2016 à 2021. Il identifie six infractions pénales potentielles et quatre fondements d’actions civiles, établit les responsabilités individuelles des dirigeants, et définit une stratégie procédurale complète pour engager les poursuites.</w:t>
      </w:r>
    </w:p>
    <w:p>
      <w:pPr>
        <w:pStyle w:val="Heading2"/>
        <w:spacing w:before="240" w:after="180"/>
      </w:pPr>
      <w:r>
        <w:rPr>
          <w:rFonts w:ascii="Arial" w:cs="Arial" w:eastAsia="Arial" w:hAnsi="Arial"/>
          <w:b/>
          <w:bCs/>
          <w:color w:val="2C3E50"/>
          <w:sz w:val="28"/>
          <w:szCs w:val="28"/>
        </w:rPr>
        <w:t xml:space="preserve">Personnes visées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Personne</w:t>
            </w:r>
          </w:p>
        </w:tc>
        <w:tc>
          <w:tcPr>
            <w:tcW w:type="dxa" w:w="2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Fonction</w:t>
            </w:r>
          </w:p>
        </w:tc>
        <w:tc>
          <w:tcPr>
            <w:tcW w:type="dxa" w:w="2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Période</w:t>
            </w:r>
          </w:p>
        </w:tc>
        <w:tc>
          <w:tcPr>
            <w:tcW w:type="dxa" w:w="2526"/>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Responsabilité principale</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Éric LEANDRI</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Président Qwant + Angels 1 &amp; 2</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2017 — ?</w:t>
            </w:r>
          </w:p>
        </w:tc>
        <w:tc>
          <w:tcPr>
            <w:tcW w:type="dxa" w:w="25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Comptes infidèles, ABS, surévaluation, escroquerie</w:t>
            </w:r>
          </w:p>
        </w:tc>
      </w:tr>
      <w:tr>
        <w:tc>
          <w:tcPr>
            <w:tcW w:type="dxa" w:w="2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Jean-Manuel ROZAN</w:t>
            </w:r>
          </w:p>
        </w:tc>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Président fondateur</w:t>
            </w:r>
          </w:p>
        </w:tc>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Création — avant 2017</w:t>
            </w:r>
          </w:p>
        </w:tc>
        <w:tc>
          <w:tcPr>
            <w:tcW w:type="dxa" w:w="25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Structuration initiale, bénéficiaire de la valorisation</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Alberto CHALON</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Directeur Général</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30/01/2017 — ?</w:t>
            </w:r>
          </w:p>
        </w:tc>
        <w:tc>
          <w:tcPr>
            <w:tcW w:type="dxa" w:w="25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Co-responsable gestion, conflit d’intérêts</w:t>
            </w:r>
          </w:p>
        </w:tc>
      </w:tr>
    </w:tbl>
    <w:p>
      <w:pPr>
        <w:pStyle w:val="Heading2"/>
        <w:spacing w:before="240" w:after="180"/>
      </w:pPr>
      <w:r>
        <w:rPr>
          <w:rFonts w:ascii="Arial" w:cs="Arial" w:eastAsia="Arial" w:hAnsi="Arial"/>
          <w:b/>
          <w:bCs/>
          <w:color w:val="2C3E50"/>
          <w:sz w:val="28"/>
          <w:szCs w:val="28"/>
        </w:rPr>
        <w:t xml:space="preserve">Chiffres clés du préjudice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Indicateur</w:t>
            </w:r>
          </w:p>
        </w:tc>
        <w:tc>
          <w:tcPr>
            <w:tcW w:type="dxa" w:w="3526"/>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Montant</w:t>
            </w:r>
          </w:p>
        </w:tc>
      </w:tr>
      <w:tr>
        <w:tc>
          <w:tcPr>
            <w:tcW w:type="dxa" w:w="5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Pertes cumulées 2016-2021</w:t>
            </w:r>
          </w:p>
        </w:tc>
        <w:tc>
          <w:tcPr>
            <w:tcW w:type="dxa" w:w="35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−63,35 M€</w:t>
            </w:r>
          </w:p>
        </w:tc>
      </w:tr>
      <w:tr>
        <w:tc>
          <w:tcPr>
            <w:tcW w:type="dxa" w:w="5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Capitaux propres fin 2021</w:t>
            </w:r>
          </w:p>
        </w:tc>
        <w:tc>
          <w:tcPr>
            <w:tcW w:type="dxa" w:w="35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−30,71 M€</w:t>
            </w:r>
          </w:p>
        </w:tc>
      </w:tr>
      <w:tr>
        <w:tc>
          <w:tcPr>
            <w:tcW w:type="dxa" w:w="5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Insuffisance d’actif estimée</w:t>
            </w:r>
          </w:p>
        </w:tc>
        <w:tc>
          <w:tcPr>
            <w:tcW w:type="dxa" w:w="35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≈64 M€</w:t>
            </w:r>
          </w:p>
        </w:tc>
      </w:tr>
      <w:tr>
        <w:tc>
          <w:tcPr>
            <w:tcW w:type="dxa" w:w="5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Valorisation fictive (janvier 2017)</w:t>
            </w:r>
          </w:p>
        </w:tc>
        <w:tc>
          <w:tcPr>
            <w:tcW w:type="dxa" w:w="35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70 M€</w:t>
            </w:r>
          </w:p>
        </w:tc>
      </w:tr>
      <w:tr>
        <w:tc>
          <w:tcPr>
            <w:tcW w:type="dxa" w:w="5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Fonds levés CDC + Axel Springer</w:t>
            </w:r>
          </w:p>
        </w:tc>
        <w:tc>
          <w:tcPr>
            <w:tcW w:type="dxa" w:w="35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10,61 M€</w:t>
            </w:r>
          </w:p>
        </w:tc>
      </w:tr>
      <w:tr>
        <w:tc>
          <w:tcPr>
            <w:tcW w:type="dxa" w:w="5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CAF cumulée (cash brûlé par l’exploitation)</w:t>
            </w:r>
          </w:p>
        </w:tc>
        <w:tc>
          <w:tcPr>
            <w:tcW w:type="dxa" w:w="35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≈−51 M€</w:t>
            </w:r>
          </w:p>
        </w:tc>
      </w:tr>
    </w:tbl>
    <w:p>
      <w:r>
        <w:br w:type="page"/>
      </w:r>
    </w:p>
    <w:p>
      <w:pPr>
        <w:pStyle w:val="Heading1"/>
        <w:spacing w:before="360" w:after="180"/>
      </w:pPr>
      <w:r>
        <w:rPr>
          <w:rFonts w:ascii="Arial" w:cs="Arial" w:eastAsia="Arial" w:hAnsi="Arial"/>
          <w:b/>
          <w:bCs/>
          <w:color w:val="1B3A5C"/>
          <w:sz w:val="32"/>
          <w:szCs w:val="32"/>
        </w:rPr>
        <w:t xml:space="preserve">INFRACTIONS PÉNALES IDENTIFIÉES</w:t>
      </w:r>
    </w:p>
    <w:p>
      <w:pPr>
        <w:spacing w:after="120"/>
      </w:pPr>
      <w:r>
        <w:rPr>
          <w:rFonts w:ascii="Arial" w:cs="Arial" w:eastAsia="Arial" w:hAnsi="Arial"/>
          <w:sz w:val="22"/>
          <w:szCs w:val="22"/>
        </w:rPr>
        <w:t xml:space="preserve">L’analyse croisée des liasses fiscales, actes sociaux et rapports déposés au greffe révèle six infractions pénales potentielles.</w:t>
      </w:r>
    </w:p>
    <w:p>
      <w:pPr>
        <w:pStyle w:val="Heading2"/>
        <w:spacing w:before="240" w:after="180"/>
      </w:pPr>
      <w:r>
        <w:rPr>
          <w:rFonts w:ascii="Arial" w:cs="Arial" w:eastAsia="Arial" w:hAnsi="Arial"/>
          <w:b/>
          <w:bCs/>
          <w:color w:val="2C3E50"/>
          <w:sz w:val="28"/>
          <w:szCs w:val="28"/>
        </w:rPr>
        <w:t xml:space="preserve">Infraction 1 : Présentation de comptes infidèles</w:t>
      </w:r>
    </w:p>
    <w:p>
      <w:pPr>
        <w:spacing w:after="120"/>
      </w:pPr>
      <w:r>
        <w:rPr>
          <w:rFonts w:ascii="Arial" w:cs="Arial" w:eastAsia="Arial" w:hAnsi="Arial"/>
          <w:b/>
          <w:bCs/>
          <w:sz w:val="22"/>
          <w:szCs w:val="22"/>
        </w:rPr>
        <w:t xml:space="preserve">Base légale : </w:t>
      </w:r>
      <w:r>
        <w:rPr>
          <w:rFonts w:ascii="Arial" w:cs="Arial" w:eastAsia="Arial" w:hAnsi="Arial"/>
          <w:sz w:val="22"/>
          <w:szCs w:val="22"/>
        </w:rPr>
        <w:t xml:space="preserve">Article L. 242-6 alinéa 2 du Code de commerce</w:t>
      </w:r>
    </w:p>
    <w:p>
      <w:pPr>
        <w:spacing w:after="120"/>
      </w:pPr>
      <w:r>
        <w:rPr>
          <w:rFonts w:ascii="Arial" w:cs="Arial" w:eastAsia="Arial" w:hAnsi="Arial"/>
          <w:b/>
          <w:bCs/>
          <w:sz w:val="22"/>
          <w:szCs w:val="22"/>
        </w:rPr>
        <w:t xml:space="preserve">Peine : </w:t>
      </w:r>
      <w:r>
        <w:rPr>
          <w:rFonts w:ascii="Arial" w:cs="Arial" w:eastAsia="Arial" w:hAnsi="Arial"/>
          <w:sz w:val="22"/>
          <w:szCs w:val="22"/>
        </w:rPr>
        <w:t xml:space="preserve">5 ans d’emprisonnement, 375 000 € d’amende</w:t>
      </w:r>
    </w:p>
    <w:p>
      <w:pPr>
        <w:pStyle w:val="Heading3"/>
        <w:spacing w:before="240" w:after="180"/>
      </w:pPr>
      <w:r>
        <w:rPr>
          <w:rFonts w:ascii="Arial" w:cs="Arial" w:eastAsia="Arial" w:hAnsi="Arial"/>
          <w:b/>
          <w:bCs/>
          <w:color w:val="2C3E50"/>
          <w:sz w:val="24"/>
          <w:szCs w:val="24"/>
        </w:rPr>
        <w:t xml:space="preserve">A. Production stockée artificiellement gonflée</w:t>
      </w:r>
    </w:p>
    <w:p>
      <w:pPr>
        <w:spacing w:after="120"/>
      </w:pPr>
      <w:r>
        <w:rPr>
          <w:rFonts w:ascii="Arial" w:cs="Arial" w:eastAsia="Arial" w:hAnsi="Arial"/>
          <w:sz w:val="22"/>
          <w:szCs w:val="22"/>
        </w:rPr>
        <w:t xml:space="preserve">La production stockée (capitalisation de coûts internes) atteint des niveaux aberrants par rapport au chiffre d’affaires réel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Exercice</w:t>
            </w:r>
          </w:p>
        </w:tc>
        <w:tc>
          <w:tcPr>
            <w:tcW w:type="dxa" w:w="2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Production stockée</w:t>
            </w:r>
          </w:p>
        </w:tc>
        <w:tc>
          <w:tcPr>
            <w:tcW w:type="dxa" w:w="2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 net</w:t>
            </w:r>
          </w:p>
        </w:tc>
        <w:tc>
          <w:tcPr>
            <w:tcW w:type="dxa" w:w="2426"/>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Ratio stockée/CA</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2016</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2,34 M€</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510 K€</w:t>
            </w:r>
          </w:p>
        </w:tc>
        <w:tc>
          <w:tcPr>
            <w:tcW w:type="dxa" w:w="24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459 %</w:t>
            </w:r>
          </w:p>
        </w:tc>
      </w:tr>
      <w:tr>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2017</w:t>
            </w:r>
          </w:p>
        </w:tc>
        <w:tc>
          <w:tcPr>
            <w:tcW w:type="dxa" w:w="2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2,14 M€</w:t>
            </w:r>
          </w:p>
        </w:tc>
        <w:tc>
          <w:tcPr>
            <w:tcW w:type="dxa" w:w="2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2,97 M€</w:t>
            </w:r>
          </w:p>
        </w:tc>
        <w:tc>
          <w:tcPr>
            <w:tcW w:type="dxa" w:w="24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72 %</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2018</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3,11 M€</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4,59 M€</w:t>
            </w:r>
          </w:p>
        </w:tc>
        <w:tc>
          <w:tcPr>
            <w:tcW w:type="dxa" w:w="24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68 %</w:t>
            </w:r>
          </w:p>
        </w:tc>
      </w:tr>
      <w:tr>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2019</w:t>
            </w:r>
          </w:p>
        </w:tc>
        <w:tc>
          <w:tcPr>
            <w:tcW w:type="dxa" w:w="2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580 K€</w:t>
            </w:r>
          </w:p>
        </w:tc>
        <w:tc>
          <w:tcPr>
            <w:tcW w:type="dxa" w:w="2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5,86 M€</w:t>
            </w:r>
          </w:p>
        </w:tc>
        <w:tc>
          <w:tcPr>
            <w:tcW w:type="dxa" w:w="24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10 %</w:t>
            </w:r>
          </w:p>
        </w:tc>
      </w:tr>
    </w:tbl>
    <w:p>
      <w:pPr>
        <w:spacing w:before="60" w:after="0"/>
      </w:pPr>
    </w:p>
    <w:p>
      <w:pPr>
        <w:spacing w:after="120"/>
      </w:pPr>
      <w:r>
        <w:rPr>
          <w:rFonts w:ascii="Arial" w:cs="Arial" w:eastAsia="Arial" w:hAnsi="Arial"/>
          <w:sz w:val="22"/>
          <w:szCs w:val="22"/>
        </w:rPr>
        <w:t xml:space="preserve">En 2016, pour chaque euro de vente réelle, Qwant inscrivait 4,60 € de production stockée. La chute brutale à 10 % en 2019 confirme que la politique antérieure n’était pas soutenable et a dû être abandonnée.</w:t>
      </w:r>
    </w:p>
    <w:p>
      <w:pPr>
        <w:pStyle w:val="Heading3"/>
        <w:spacing w:before="240" w:after="180"/>
      </w:pPr>
      <w:r>
        <w:rPr>
          <w:rFonts w:ascii="Arial" w:cs="Arial" w:eastAsia="Arial" w:hAnsi="Arial"/>
          <w:b/>
          <w:bCs/>
          <w:color w:val="2C3E50"/>
          <w:sz w:val="24"/>
          <w:szCs w:val="24"/>
        </w:rPr>
        <w:t xml:space="preserve">B. Créances surévaluées puis massivement dépréciées</w:t>
      </w:r>
    </w:p>
    <w:p>
      <w:pPr>
        <w:spacing w:after="120"/>
      </w:pPr>
      <w:r>
        <w:rPr>
          <w:rFonts w:ascii="Arial" w:cs="Arial" w:eastAsia="Arial" w:hAnsi="Arial"/>
          <w:sz w:val="22"/>
          <w:szCs w:val="22"/>
        </w:rPr>
        <w:t xml:space="preserve">Le poste « Autres créances » (BZ) révèle un schéma classique de surévaluation d’actif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1526"/>
      </w:tblGrid>
      <w:tr>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Exercice</w:t>
            </w:r>
          </w:p>
        </w:tc>
        <w:tc>
          <w:tcPr>
            <w:tcW w:type="dxa" w:w="2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BZ brut</w:t>
            </w:r>
          </w:p>
        </w:tc>
        <w:tc>
          <w:tcPr>
            <w:tcW w:type="dxa" w:w="2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Dépréciation</w:t>
            </w:r>
          </w:p>
        </w:tc>
        <w:tc>
          <w:tcPr>
            <w:tcW w:type="dxa" w:w="2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BZ net</w:t>
            </w:r>
          </w:p>
        </w:tc>
        <w:tc>
          <w:tcPr>
            <w:tcW w:type="dxa" w:w="1526"/>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 déprécié</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2016</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2,42 M€</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132 K€</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2,29 M€</w:t>
            </w:r>
          </w:p>
        </w:tc>
        <w:tc>
          <w:tcPr>
            <w:tcW w:type="dxa" w:w="15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5 %</w:t>
            </w:r>
          </w:p>
        </w:tc>
      </w:tr>
      <w:tr>
        <w:tc>
          <w:tcPr>
            <w:tcW w:type="dxa" w:w="1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2017</w:t>
            </w:r>
          </w:p>
        </w:tc>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5,10 M€</w:t>
            </w:r>
          </w:p>
        </w:tc>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132 K€</w:t>
            </w:r>
          </w:p>
        </w:tc>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4,97 M€</w:t>
            </w:r>
          </w:p>
        </w:tc>
        <w:tc>
          <w:tcPr>
            <w:tcW w:type="dxa" w:w="15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3 %</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2018</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8,57 M€</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2,80 M€</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5,77 M€</w:t>
            </w:r>
          </w:p>
        </w:tc>
        <w:tc>
          <w:tcPr>
            <w:tcW w:type="dxa" w:w="15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33 %</w:t>
            </w:r>
          </w:p>
        </w:tc>
      </w:tr>
      <w:tr>
        <w:tc>
          <w:tcPr>
            <w:tcW w:type="dxa" w:w="1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2019</w:t>
            </w:r>
          </w:p>
        </w:tc>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12,07 M€</w:t>
            </w:r>
          </w:p>
        </w:tc>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10,21 M€</w:t>
            </w:r>
          </w:p>
        </w:tc>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1,85 M€</w:t>
            </w:r>
          </w:p>
        </w:tc>
        <w:tc>
          <w:tcPr>
            <w:tcW w:type="dxa" w:w="15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85 %</w:t>
            </w:r>
          </w:p>
        </w:tc>
      </w:tr>
    </w:tbl>
    <w:p>
      <w:pPr>
        <w:spacing w:before="60" w:after="0"/>
      </w:pPr>
    </w:p>
    <w:p>
      <w:pPr>
        <w:spacing w:after="120"/>
      </w:pPr>
      <w:r>
        <w:rPr>
          <w:rFonts w:ascii="Arial" w:cs="Arial" w:eastAsia="Arial" w:hAnsi="Arial"/>
          <w:sz w:val="22"/>
          <w:szCs w:val="22"/>
        </w:rPr>
        <w:t xml:space="preserve">La dépréciation de 10,21 millions d’euros en 2019 démontre que ces créances ont été maintenues à l’actif à des valeurs non réalistes pendant au moins deux exercices.</w:t>
      </w:r>
    </w:p>
    <w:p>
      <w:pPr>
        <w:pStyle w:val="Heading3"/>
        <w:spacing w:before="240" w:after="180"/>
      </w:pPr>
      <w:r>
        <w:rPr>
          <w:rFonts w:ascii="Arial" w:cs="Arial" w:eastAsia="Arial" w:hAnsi="Arial"/>
          <w:b/>
          <w:bCs/>
          <w:color w:val="2C3E50"/>
          <w:sz w:val="24"/>
          <w:szCs w:val="24"/>
        </w:rPr>
        <w:t xml:space="preserve">C. Coup d’accordéon dissimulé (2019)</w:t>
      </w:r>
    </w:p>
    <w:p>
      <w:pPr>
        <w:spacing w:after="120"/>
      </w:pPr>
      <w:r>
        <w:rPr>
          <w:rFonts w:ascii="Arial" w:cs="Arial" w:eastAsia="Arial" w:hAnsi="Arial"/>
          <w:sz w:val="22"/>
          <w:szCs w:val="22"/>
        </w:rPr>
        <w:t xml:space="preserve">21,33 millions d’euros de primes d’émission disparaissent du bilan en un seul exercice (de 27,64 M€ à 6,31 M€), conjointement à l’effondrement de la production vendue (−77 %), la dépréciation massive des créances, et le changement de code NAF. Cette concomitance suggère un « nettoyage comptable » massif, les comptes des exercices antérieurs ayant été artificiellement embellis.</w:t>
      </w:r>
    </w:p>
    <w:p>
      <w:r>
        <w:br w:type="page"/>
      </w:r>
    </w:p>
    <w:p>
      <w:pPr>
        <w:pStyle w:val="Heading2"/>
        <w:spacing w:before="240" w:after="180"/>
      </w:pPr>
      <w:r>
        <w:rPr>
          <w:rFonts w:ascii="Arial" w:cs="Arial" w:eastAsia="Arial" w:hAnsi="Arial"/>
          <w:b/>
          <w:bCs/>
          <w:color w:val="2C3E50"/>
          <w:sz w:val="28"/>
          <w:szCs w:val="28"/>
        </w:rPr>
        <w:t xml:space="preserve">Infraction 2 : Abus de biens sociaux</w:t>
      </w:r>
    </w:p>
    <w:p>
      <w:pPr>
        <w:spacing w:after="120"/>
      </w:pPr>
      <w:r>
        <w:rPr>
          <w:rFonts w:ascii="Arial" w:cs="Arial" w:eastAsia="Arial" w:hAnsi="Arial"/>
          <w:b/>
          <w:bCs/>
          <w:sz w:val="22"/>
          <w:szCs w:val="22"/>
        </w:rPr>
        <w:t xml:space="preserve">Base légale : </w:t>
      </w:r>
      <w:r>
        <w:rPr>
          <w:rFonts w:ascii="Arial" w:cs="Arial" w:eastAsia="Arial" w:hAnsi="Arial"/>
          <w:sz w:val="22"/>
          <w:szCs w:val="22"/>
        </w:rPr>
        <w:t xml:space="preserve">Article L. 242-6 alinéa 3 du Code de commerce</w:t>
      </w:r>
    </w:p>
    <w:p>
      <w:pPr>
        <w:spacing w:after="120"/>
      </w:pPr>
      <w:r>
        <w:rPr>
          <w:rFonts w:ascii="Arial" w:cs="Arial" w:eastAsia="Arial" w:hAnsi="Arial"/>
          <w:b/>
          <w:bCs/>
          <w:sz w:val="22"/>
          <w:szCs w:val="22"/>
        </w:rPr>
        <w:t xml:space="preserve">Peine : </w:t>
      </w:r>
      <w:r>
        <w:rPr>
          <w:rFonts w:ascii="Arial" w:cs="Arial" w:eastAsia="Arial" w:hAnsi="Arial"/>
          <w:sz w:val="22"/>
          <w:szCs w:val="22"/>
        </w:rPr>
        <w:t xml:space="preserve">5 ans d’emprisonnement, 375 000 € d’amende</w:t>
      </w:r>
    </w:p>
    <w:p>
      <w:pPr>
        <w:pStyle w:val="Heading3"/>
        <w:spacing w:before="240" w:after="180"/>
      </w:pPr>
      <w:r>
        <w:rPr>
          <w:rFonts w:ascii="Arial" w:cs="Arial" w:eastAsia="Arial" w:hAnsi="Arial"/>
          <w:b/>
          <w:bCs/>
          <w:color w:val="2C3E50"/>
          <w:sz w:val="24"/>
          <w:szCs w:val="24"/>
        </w:rPr>
        <w:t xml:space="preserve">A. Rémunération disproportionnée du DG</w:t>
      </w:r>
    </w:p>
    <w:p>
      <w:pPr>
        <w:spacing w:after="120"/>
      </w:pPr>
      <w:r>
        <w:rPr>
          <w:rFonts w:ascii="Arial" w:cs="Arial" w:eastAsia="Arial" w:hAnsi="Arial"/>
          <w:sz w:val="22"/>
          <w:szCs w:val="22"/>
        </w:rPr>
        <w:t xml:space="preserve">Éric Leandri a fixé unilatéralement la rémunération d’Alberto Chalon à 20 000 € brut/mois (240 K€/an), alors que le CA de Qwant était de 510 K€ et la trésorerie de 767 €. Cette rémunération représente 47 % du chiffre d’affaires de l’exercice précédent.</w:t>
      </w:r>
    </w:p>
    <w:p>
      <w:pPr>
        <w:pStyle w:val="Heading3"/>
        <w:spacing w:before="240" w:after="180"/>
      </w:pPr>
      <w:r>
        <w:rPr>
          <w:rFonts w:ascii="Arial" w:cs="Arial" w:eastAsia="Arial" w:hAnsi="Arial"/>
          <w:b/>
          <w:bCs/>
          <w:color w:val="2C3E50"/>
          <w:sz w:val="24"/>
          <w:szCs w:val="24"/>
        </w:rPr>
        <w:t xml:space="preserve">B. Charges externes opaques (10 M€/an)</w:t>
      </w:r>
    </w:p>
    <w:p>
      <w:pPr>
        <w:spacing w:after="120"/>
      </w:pPr>
      <w:r>
        <w:rPr>
          <w:rFonts w:ascii="Arial" w:cs="Arial" w:eastAsia="Arial" w:hAnsi="Arial"/>
          <w:sz w:val="22"/>
          <w:szCs w:val="22"/>
        </w:rPr>
        <w:t xml:space="preserve">Le poste « achats et charges externes » atteint 10,06 M€ en 2021, soit 98 % du CA. Pour une société dont l’activité est essentiellement intellectuelle, ce niveau de sous-traitance est anormal et soulève la question de flux vers des parties liées.</w:t>
      </w:r>
    </w:p>
    <w:p>
      <w:pPr>
        <w:pStyle w:val="Heading3"/>
        <w:spacing w:before="240" w:after="180"/>
      </w:pPr>
      <w:r>
        <w:rPr>
          <w:rFonts w:ascii="Arial" w:cs="Arial" w:eastAsia="Arial" w:hAnsi="Arial"/>
          <w:b/>
          <w:bCs/>
          <w:color w:val="2C3E50"/>
          <w:sz w:val="24"/>
          <w:szCs w:val="24"/>
        </w:rPr>
        <w:t xml:space="preserve">C. Structure des holdings comme instrument de captation</w:t>
      </w:r>
    </w:p>
    <w:p>
      <w:pPr>
        <w:spacing w:after="120"/>
      </w:pPr>
      <w:r>
        <w:rPr>
          <w:rFonts w:ascii="Arial" w:cs="Arial" w:eastAsia="Arial" w:hAnsi="Arial"/>
          <w:sz w:val="22"/>
          <w:szCs w:val="22"/>
        </w:rPr>
        <w:t xml:space="preserve">Leandri préside simultanément Qwant SAS, Angels 1 et Angels 2 (fondées avec 100 € chacune). Cette triple présidence crée un conflit d’intérêts structurel reconnu par les actionnaires eux-mêmes : le quitus lui a été refusé par 61 % des voix dans Angels 1.</w:t>
      </w:r>
    </w:p>
    <w:p>
      <w:pPr>
        <w:pStyle w:val="Heading2"/>
        <w:spacing w:before="240" w:after="180"/>
      </w:pPr>
      <w:r>
        <w:rPr>
          <w:rFonts w:ascii="Arial" w:cs="Arial" w:eastAsia="Arial" w:hAnsi="Arial"/>
          <w:b/>
          <w:bCs/>
          <w:color w:val="2C3E50"/>
          <w:sz w:val="28"/>
          <w:szCs w:val="28"/>
        </w:rPr>
        <w:t xml:space="preserve">Infraction 3 : Surévaluation d’apports en nature</w:t>
      </w:r>
    </w:p>
    <w:p>
      <w:pPr>
        <w:spacing w:after="120"/>
      </w:pPr>
      <w:r>
        <w:rPr>
          <w:rFonts w:ascii="Arial" w:cs="Arial" w:eastAsia="Arial" w:hAnsi="Arial"/>
          <w:b/>
          <w:bCs/>
          <w:sz w:val="22"/>
          <w:szCs w:val="22"/>
        </w:rPr>
        <w:t xml:space="preserve">Base légale : </w:t>
      </w:r>
      <w:r>
        <w:rPr>
          <w:rFonts w:ascii="Arial" w:cs="Arial" w:eastAsia="Arial" w:hAnsi="Arial"/>
          <w:sz w:val="22"/>
          <w:szCs w:val="22"/>
        </w:rPr>
        <w:t xml:space="preserve">Article L. 242-2 du Code de commerce</w:t>
      </w:r>
    </w:p>
    <w:p>
      <w:pPr>
        <w:spacing w:after="120"/>
      </w:pPr>
      <w:r>
        <w:rPr>
          <w:rFonts w:ascii="Arial" w:cs="Arial" w:eastAsia="Arial" w:hAnsi="Arial"/>
          <w:b/>
          <w:bCs/>
          <w:sz w:val="22"/>
          <w:szCs w:val="22"/>
        </w:rPr>
        <w:t xml:space="preserve">Peine : </w:t>
      </w:r>
      <w:r>
        <w:rPr>
          <w:rFonts w:ascii="Arial" w:cs="Arial" w:eastAsia="Arial" w:hAnsi="Arial"/>
          <w:sz w:val="22"/>
          <w:szCs w:val="22"/>
        </w:rPr>
        <w:t xml:space="preserve">5 ans d’emprisonnement, 375 000 € d’amende</w:t>
      </w:r>
    </w:p>
    <w:p>
      <w:pPr>
        <w:spacing w:after="120"/>
      </w:pPr>
      <w:r>
        <w:rPr>
          <w:rFonts w:ascii="Arial" w:cs="Arial" w:eastAsia="Arial" w:hAnsi="Arial"/>
          <w:sz w:val="22"/>
          <w:szCs w:val="22"/>
        </w:rPr>
        <w:t xml:space="preserve">Qwant a été valorisée à 70 038 200 € en janvier 2017 par le commissaire aux apports ACL (Jean-Luc Laudignon), sur la base d’un DCF dont la valeur terminale constitue, de l’aveu même du rapport, « l’essentiel » de la valorisation.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Multiple de valorisation</w:t>
            </w:r>
          </w:p>
        </w:tc>
        <w:tc>
          <w:tcPr>
            <w:tcW w:type="dxa" w:w="4526"/>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Valeur</w:t>
            </w:r>
          </w:p>
        </w:tc>
      </w:tr>
      <w:tr>
        <w:tc>
          <w:tcPr>
            <w:tcW w:type="dxa" w:w="4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Valorisation / CA 2016</w:t>
            </w:r>
          </w:p>
        </w:tc>
        <w:tc>
          <w:tcPr>
            <w:tcW w:type="dxa" w:w="45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137×</w:t>
            </w:r>
          </w:p>
        </w:tc>
      </w:tr>
      <w:tr>
        <w:tc>
          <w:tcPr>
            <w:tcW w:type="dxa" w:w="4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Valorisation / Capitaux propres 2016</w:t>
            </w:r>
          </w:p>
        </w:tc>
        <w:tc>
          <w:tcPr>
            <w:tcW w:type="dxa" w:w="45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229×</w:t>
            </w:r>
          </w:p>
        </w:tc>
      </w:tr>
      <w:tr>
        <w:tc>
          <w:tcPr>
            <w:tcW w:type="dxa" w:w="4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Valorisation / Pertes cumulées à 2021</w:t>
            </w:r>
          </w:p>
        </w:tc>
        <w:tc>
          <w:tcPr>
            <w:tcW w:type="dxa" w:w="45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70 M€ vs −63 M€ de pertes</w:t>
            </w:r>
          </w:p>
        </w:tc>
      </w:tr>
      <w:tr>
        <w:tc>
          <w:tcPr>
            <w:tcW w:type="dxa" w:w="4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Trésorerie au moment de la valorisation</w:t>
            </w:r>
          </w:p>
        </w:tc>
        <w:tc>
          <w:tcPr>
            <w:tcW w:type="dxa" w:w="45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767 €</w:t>
            </w:r>
          </w:p>
        </w:tc>
      </w:tr>
    </w:tbl>
    <w:p>
      <w:pPr>
        <w:spacing w:before="60" w:after="0"/>
      </w:pPr>
    </w:p>
    <w:p>
      <w:pPr>
        <w:spacing w:after="120"/>
      </w:pPr>
      <w:r>
        <w:rPr>
          <w:rFonts w:ascii="Arial" w:cs="Arial" w:eastAsia="Arial" w:hAnsi="Arial"/>
          <w:sz w:val="22"/>
          <w:szCs w:val="22"/>
        </w:rPr>
        <w:t xml:space="preserve">Le plan d’affaires 2015-2020, fourni par les dirigeants, s’est révélé totalement irréaliste : les flux de trésorerie sont restés négatifs (CAF de −7,32 M€ en 2021), les pertes se sont aggravées, et les CP sont devenus massivement négatifs. La validation par la « transaction concomitante » (investissement CDC) constitue un raisonnement circulaire : la CDC investit sur la base du même plan d’affaires.</w:t>
      </w:r>
    </w:p>
    <w:p>
      <w:pPr>
        <w:pStyle w:val="Heading2"/>
        <w:spacing w:before="240" w:after="180"/>
      </w:pPr>
      <w:r>
        <w:rPr>
          <w:rFonts w:ascii="Arial" w:cs="Arial" w:eastAsia="Arial" w:hAnsi="Arial"/>
          <w:b/>
          <w:bCs/>
          <w:color w:val="2C3E50"/>
          <w:sz w:val="28"/>
          <w:szCs w:val="28"/>
        </w:rPr>
        <w:t xml:space="preserve">Infraction 4 : Poursuite abusive d’activité déficitaire</w:t>
      </w:r>
    </w:p>
    <w:p>
      <w:pPr>
        <w:spacing w:after="120"/>
      </w:pPr>
      <w:r>
        <w:rPr>
          <w:rFonts w:ascii="Arial" w:cs="Arial" w:eastAsia="Arial" w:hAnsi="Arial"/>
          <w:b/>
          <w:bCs/>
          <w:sz w:val="22"/>
          <w:szCs w:val="22"/>
        </w:rPr>
        <w:t xml:space="preserve">Base légale : </w:t>
      </w:r>
      <w:r>
        <w:rPr>
          <w:rFonts w:ascii="Arial" w:cs="Arial" w:eastAsia="Arial" w:hAnsi="Arial"/>
          <w:sz w:val="22"/>
          <w:szCs w:val="22"/>
        </w:rPr>
        <w:t xml:space="preserve">Articles L. 225-248 et L. 652-1 du Code de commerce</w:t>
      </w:r>
    </w:p>
    <w:p>
      <w:pPr>
        <w:spacing w:after="120"/>
      </w:pPr>
      <w:r>
        <w:rPr>
          <w:rFonts w:ascii="Arial" w:cs="Arial" w:eastAsia="Arial" w:hAnsi="Arial"/>
          <w:sz w:val="22"/>
          <w:szCs w:val="22"/>
        </w:rPr>
        <w:t xml:space="preserve">Les capitaux propres sont inférieurs à la moitié du capital social depuis fin 2018. L’obligation légale de reconstitution n’a jamais été satisfaite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126"/>
      </w:tblGrid>
      <w:tr>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Exercice</w:t>
            </w:r>
          </w:p>
        </w:tc>
        <w:tc>
          <w:tcPr>
            <w:tcW w:type="dxa" w:w="2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Capital social</w:t>
            </w:r>
          </w:p>
        </w:tc>
        <w:tc>
          <w:tcPr>
            <w:tcW w:type="dxa" w:w="2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Capitaux propres</w:t>
            </w:r>
          </w:p>
        </w:tc>
        <w:tc>
          <w:tcPr>
            <w:tcW w:type="dxa" w:w="3126"/>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Écart</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2018</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28,4 K€</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−2,96 M€</w:t>
            </w:r>
          </w:p>
        </w:tc>
        <w:tc>
          <w:tcPr>
            <w:tcW w:type="dxa" w:w="31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−2,97 M€</w:t>
            </w:r>
          </w:p>
        </w:tc>
      </w:tr>
      <w:tr>
        <w:tc>
          <w:tcPr>
            <w:tcW w:type="dxa" w:w="1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2019</w:t>
            </w:r>
          </w:p>
        </w:tc>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30,4 K€</w:t>
            </w:r>
          </w:p>
        </w:tc>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−20,20 M€</w:t>
            </w:r>
          </w:p>
        </w:tc>
        <w:tc>
          <w:tcPr>
            <w:tcW w:type="dxa" w:w="31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−20,22 M€</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2020</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35,1 K€</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−21,57 M€</w:t>
            </w:r>
          </w:p>
        </w:tc>
        <w:tc>
          <w:tcPr>
            <w:tcW w:type="dxa" w:w="31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−21,59 M€</w:t>
            </w:r>
          </w:p>
        </w:tc>
      </w:tr>
      <w:tr>
        <w:tc>
          <w:tcPr>
            <w:tcW w:type="dxa" w:w="1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2021</w:t>
            </w:r>
          </w:p>
        </w:tc>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35,1 K€</w:t>
            </w:r>
          </w:p>
        </w:tc>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−30,71 M€</w:t>
            </w:r>
          </w:p>
        </w:tc>
        <w:tc>
          <w:tcPr>
            <w:tcW w:type="dxa" w:w="31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−30,73 M€</w:t>
            </w:r>
          </w:p>
        </w:tc>
      </w:tr>
    </w:tbl>
    <w:p>
      <w:pPr>
        <w:spacing w:before="60" w:after="0"/>
      </w:pPr>
    </w:p>
    <w:p>
      <w:pPr>
        <w:spacing w:after="120"/>
      </w:pPr>
      <w:r>
        <w:rPr>
          <w:rFonts w:ascii="Arial" w:cs="Arial" w:eastAsia="Arial" w:hAnsi="Arial"/>
          <w:sz w:val="22"/>
          <w:szCs w:val="22"/>
        </w:rPr>
        <w:t xml:space="preserve">De plus, à deux reprises (fin 2016 : 767 € ; fin 2018 : 48 K€), Qwant était en situation de quasi-cessation de paiement sans que la déclaration légale ait été effectuée dans les 45 jours (art. L. 631-4).</w:t>
      </w:r>
    </w:p>
    <w:p>
      <w:pPr>
        <w:pStyle w:val="Heading2"/>
        <w:spacing w:before="240" w:after="180"/>
      </w:pPr>
      <w:r>
        <w:rPr>
          <w:rFonts w:ascii="Arial" w:cs="Arial" w:eastAsia="Arial" w:hAnsi="Arial"/>
          <w:b/>
          <w:bCs/>
          <w:color w:val="2C3E50"/>
          <w:sz w:val="28"/>
          <w:szCs w:val="28"/>
        </w:rPr>
        <w:t xml:space="preserve">Infraction 5 : Escroquerie</w:t>
      </w:r>
    </w:p>
    <w:p>
      <w:pPr>
        <w:spacing w:after="120"/>
      </w:pPr>
      <w:r>
        <w:rPr>
          <w:rFonts w:ascii="Arial" w:cs="Arial" w:eastAsia="Arial" w:hAnsi="Arial"/>
          <w:b/>
          <w:bCs/>
          <w:sz w:val="22"/>
          <w:szCs w:val="22"/>
        </w:rPr>
        <w:t xml:space="preserve">Base légale : </w:t>
      </w:r>
      <w:r>
        <w:rPr>
          <w:rFonts w:ascii="Arial" w:cs="Arial" w:eastAsia="Arial" w:hAnsi="Arial"/>
          <w:sz w:val="22"/>
          <w:szCs w:val="22"/>
        </w:rPr>
        <w:t xml:space="preserve">Article 313-1 du Code pénal</w:t>
      </w:r>
    </w:p>
    <w:p>
      <w:pPr>
        <w:spacing w:after="120"/>
      </w:pPr>
      <w:r>
        <w:rPr>
          <w:rFonts w:ascii="Arial" w:cs="Arial" w:eastAsia="Arial" w:hAnsi="Arial"/>
          <w:b/>
          <w:bCs/>
          <w:sz w:val="22"/>
          <w:szCs w:val="22"/>
        </w:rPr>
        <w:t xml:space="preserve">Peine : </w:t>
      </w:r>
      <w:r>
        <w:rPr>
          <w:rFonts w:ascii="Arial" w:cs="Arial" w:eastAsia="Arial" w:hAnsi="Arial"/>
          <w:sz w:val="22"/>
          <w:szCs w:val="22"/>
        </w:rPr>
        <w:t xml:space="preserve">5 ans d’emprisonnement, 375 000 € d’amende</w:t>
      </w:r>
    </w:p>
    <w:p>
      <w:pPr>
        <w:spacing w:after="120"/>
      </w:pPr>
      <w:r>
        <w:rPr>
          <w:rFonts w:ascii="Arial" w:cs="Arial" w:eastAsia="Arial" w:hAnsi="Arial"/>
          <w:sz w:val="22"/>
          <w:szCs w:val="22"/>
        </w:rPr>
        <w:t xml:space="preserve">La CDC a versé 7 425 001,35 € et Axel Springer 3 184 958,40 € sur la base d’une valorisation de 70 M€ et d’un plan d’affaires prévoyant la rentabilité à l’horizon 2020. Si les informations communiquées étaient volontairement trompeuses ou omettaient la réalité de la situation financière (trésorerie de 767 €, pertes structurelles), les conditions de l’escroquerie sont réunies.</w:t>
      </w:r>
    </w:p>
    <w:p>
      <w:pPr>
        <w:pStyle w:val="Heading2"/>
        <w:spacing w:before="240" w:after="180"/>
      </w:pPr>
      <w:r>
        <w:rPr>
          <w:rFonts w:ascii="Arial" w:cs="Arial" w:eastAsia="Arial" w:hAnsi="Arial"/>
          <w:b/>
          <w:bCs/>
          <w:color w:val="2C3E50"/>
          <w:sz w:val="28"/>
          <w:szCs w:val="28"/>
        </w:rPr>
        <w:t xml:space="preserve">Infraction 6 : Banqueroute (conditionnelle)</w:t>
      </w:r>
    </w:p>
    <w:p>
      <w:pPr>
        <w:spacing w:after="120"/>
      </w:pPr>
      <w:r>
        <w:rPr>
          <w:rFonts w:ascii="Arial" w:cs="Arial" w:eastAsia="Arial" w:hAnsi="Arial"/>
          <w:b/>
          <w:bCs/>
          <w:sz w:val="22"/>
          <w:szCs w:val="22"/>
        </w:rPr>
        <w:t xml:space="preserve">Base légale : </w:t>
      </w:r>
      <w:r>
        <w:rPr>
          <w:rFonts w:ascii="Arial" w:cs="Arial" w:eastAsia="Arial" w:hAnsi="Arial"/>
          <w:sz w:val="22"/>
          <w:szCs w:val="22"/>
        </w:rPr>
        <w:t xml:space="preserve">Article L. 654-2 du Code de commerce</w:t>
      </w:r>
    </w:p>
    <w:p>
      <w:pPr>
        <w:spacing w:after="120"/>
      </w:pPr>
      <w:r>
        <w:rPr>
          <w:rFonts w:ascii="Arial" w:cs="Arial" w:eastAsia="Arial" w:hAnsi="Arial"/>
          <w:sz w:val="22"/>
          <w:szCs w:val="22"/>
        </w:rPr>
        <w:t xml:space="preserve">En cas d’ouverture d’une procédure collective, les conditions de la banqueroute par comptabilité irrégulière (capitalisation excessive, créances surévaluées) et par emploi de moyens ruineux (levées de fonds successives à des conditions défavorables, accumulation de 24 M€ de dettes convertibles) pourraient être réunies.</w:t>
      </w:r>
    </w:p>
    <w:p>
      <w:r>
        <w:br w:type="page"/>
      </w:r>
    </w:p>
    <w:p>
      <w:pPr>
        <w:pStyle w:val="Heading1"/>
        <w:spacing w:before="360" w:after="180"/>
      </w:pPr>
      <w:r>
        <w:rPr>
          <w:rFonts w:ascii="Arial" w:cs="Arial" w:eastAsia="Arial" w:hAnsi="Arial"/>
          <w:b/>
          <w:bCs/>
          <w:color w:val="1B3A5C"/>
          <w:sz w:val="32"/>
          <w:szCs w:val="32"/>
        </w:rPr>
        <w:t xml:space="preserve">FONDEMENTS D’ACTIONS CIVILES</w:t>
      </w:r>
    </w:p>
    <w:p>
      <w:pPr>
        <w:pStyle w:val="Heading2"/>
        <w:spacing w:before="240" w:after="180"/>
      </w:pPr>
      <w:r>
        <w:rPr>
          <w:rFonts w:ascii="Arial" w:cs="Arial" w:eastAsia="Arial" w:hAnsi="Arial"/>
          <w:b/>
          <w:bCs/>
          <w:color w:val="2C3E50"/>
          <w:sz w:val="28"/>
          <w:szCs w:val="28"/>
        </w:rPr>
        <w:t xml:space="preserve">Action 1 : Responsabilité des dirigeants (L. 225-251 C. com.)</w:t>
      </w:r>
    </w:p>
    <w:p>
      <w:pPr>
        <w:spacing w:after="120"/>
      </w:pPr>
      <w:r>
        <w:rPr>
          <w:rFonts w:ascii="Arial" w:cs="Arial" w:eastAsia="Arial" w:hAnsi="Arial"/>
          <w:sz w:val="22"/>
          <w:szCs w:val="22"/>
        </w:rPr>
        <w:t xml:space="preserve">Les dirigeants sont responsables, individuellement ou solidairement, des fautes de gestion. Fautes documentées :</w:t>
      </w:r>
    </w:p>
    <w:p>
      <w:pPr>
        <w:pStyle w:val="ListParagraph"/>
        <w:numPr>
          <w:ilvl w:val="0"/>
          <w:numId w:val="2"/>
        </w:numPr>
        <w:spacing w:after="80"/>
      </w:pPr>
      <w:r>
        <w:rPr>
          <w:rFonts w:ascii="Arial" w:cs="Arial" w:eastAsia="Arial" w:hAnsi="Arial"/>
          <w:sz w:val="22"/>
          <w:szCs w:val="22"/>
        </w:rPr>
        <w:t xml:space="preserve">Fixation d’une rémunération de DG de 240 K€/an pour un CA de 510 K€</w:t>
      </w:r>
    </w:p>
    <w:p>
      <w:pPr>
        <w:pStyle w:val="ListParagraph"/>
        <w:numPr>
          <w:ilvl w:val="0"/>
          <w:numId w:val="2"/>
        </w:numPr>
        <w:spacing w:after="80"/>
      </w:pPr>
      <w:r>
        <w:rPr>
          <w:rFonts w:ascii="Arial" w:cs="Arial" w:eastAsia="Arial" w:hAnsi="Arial"/>
          <w:sz w:val="22"/>
          <w:szCs w:val="22"/>
        </w:rPr>
        <w:t xml:space="preserve">Poursuite d’activité avec CP négatifs sans reconstitution (aggravation de −2,96 M€ à −30,71 M€)</w:t>
      </w:r>
    </w:p>
    <w:p>
      <w:pPr>
        <w:pStyle w:val="ListParagraph"/>
        <w:numPr>
          <w:ilvl w:val="0"/>
          <w:numId w:val="2"/>
        </w:numPr>
        <w:spacing w:after="80"/>
      </w:pPr>
      <w:r>
        <w:rPr>
          <w:rFonts w:ascii="Arial" w:cs="Arial" w:eastAsia="Arial" w:hAnsi="Arial"/>
          <w:sz w:val="22"/>
          <w:szCs w:val="22"/>
        </w:rPr>
        <w:t xml:space="preserve">Non-déclaration de la cessation de paiement (767 € de trésorerie fin 2016)</w:t>
      </w:r>
    </w:p>
    <w:p>
      <w:pPr>
        <w:pStyle w:val="ListParagraph"/>
        <w:numPr>
          <w:ilvl w:val="0"/>
          <w:numId w:val="2"/>
        </w:numPr>
        <w:spacing w:after="80"/>
      </w:pPr>
      <w:r>
        <w:rPr>
          <w:rFonts w:ascii="Arial" w:cs="Arial" w:eastAsia="Arial" w:hAnsi="Arial"/>
          <w:sz w:val="22"/>
          <w:szCs w:val="22"/>
        </w:rPr>
        <w:t xml:space="preserve">Communication d’un plan d’affaires irréaliste aux investisseurs (10,6 M€)</w:t>
      </w:r>
    </w:p>
    <w:p>
      <w:pPr>
        <w:pStyle w:val="ListParagraph"/>
        <w:numPr>
          <w:ilvl w:val="0"/>
          <w:numId w:val="2"/>
        </w:numPr>
        <w:spacing w:after="80"/>
      </w:pPr>
      <w:r>
        <w:rPr>
          <w:rFonts w:ascii="Arial" w:cs="Arial" w:eastAsia="Arial" w:hAnsi="Arial"/>
          <w:sz w:val="22"/>
          <w:szCs w:val="22"/>
        </w:rPr>
        <w:t xml:space="preserve">Capitalisation excessive des coûts internes (production stockée 459 % du CA)</w:t>
      </w:r>
    </w:p>
    <w:p>
      <w:pPr>
        <w:pStyle w:val="ListParagraph"/>
        <w:numPr>
          <w:ilvl w:val="0"/>
          <w:numId w:val="2"/>
        </w:numPr>
        <w:spacing w:after="80"/>
      </w:pPr>
      <w:r>
        <w:rPr>
          <w:rFonts w:ascii="Arial" w:cs="Arial" w:eastAsia="Arial" w:hAnsi="Arial"/>
          <w:sz w:val="22"/>
          <w:szCs w:val="22"/>
        </w:rPr>
        <w:t xml:space="preserve">Absence de contrôle des charges externes (10 M€/an, 98 % du CA)</w:t>
      </w:r>
    </w:p>
    <w:p>
      <w:pPr>
        <w:pStyle w:val="ListParagraph"/>
        <w:numPr>
          <w:ilvl w:val="0"/>
          <w:numId w:val="2"/>
        </w:numPr>
        <w:spacing w:after="80"/>
      </w:pPr>
      <w:r>
        <w:rPr>
          <w:rFonts w:ascii="Arial" w:cs="Arial" w:eastAsia="Arial" w:hAnsi="Arial"/>
          <w:sz w:val="22"/>
          <w:szCs w:val="22"/>
        </w:rPr>
        <w:t xml:space="preserve">Retard de 17 mois dans le dépôt des actes sociaux</w:t>
      </w:r>
    </w:p>
    <w:p>
      <w:pPr>
        <w:spacing w:after="120"/>
      </w:pPr>
      <w:r>
        <w:rPr>
          <w:rFonts w:ascii="Arial" w:cs="Arial" w:eastAsia="Arial" w:hAnsi="Arial"/>
          <w:b/>
          <w:bCs/>
          <w:sz w:val="22"/>
          <w:szCs w:val="22"/>
        </w:rPr>
        <w:t xml:space="preserve">Préjudice estimé : </w:t>
      </w:r>
      <w:r>
        <w:rPr>
          <w:rFonts w:ascii="Arial" w:cs="Arial" w:eastAsia="Arial" w:hAnsi="Arial"/>
          <w:sz w:val="22"/>
          <w:szCs w:val="22"/>
        </w:rPr>
        <w:t xml:space="preserve">insuffisance d’actif de ≈64 M€ (actif net 17,81 M€ vs passif ≈82 M€).</w:t>
      </w:r>
    </w:p>
    <w:p>
      <w:pPr>
        <w:pStyle w:val="Heading2"/>
        <w:spacing w:before="240" w:after="180"/>
      </w:pPr>
      <w:r>
        <w:rPr>
          <w:rFonts w:ascii="Arial" w:cs="Arial" w:eastAsia="Arial" w:hAnsi="Arial"/>
          <w:b/>
          <w:bCs/>
          <w:color w:val="2C3E50"/>
          <w:sz w:val="28"/>
          <w:szCs w:val="28"/>
        </w:rPr>
        <w:t xml:space="preserve">Action 2 : Nullité de la valorisation et des apports (L. 225-14)</w:t>
      </w:r>
    </w:p>
    <w:p>
      <w:pPr>
        <w:spacing w:after="120"/>
      </w:pPr>
      <w:r>
        <w:rPr>
          <w:rFonts w:ascii="Arial" w:cs="Arial" w:eastAsia="Arial" w:hAnsi="Arial"/>
          <w:sz w:val="22"/>
          <w:szCs w:val="22"/>
        </w:rPr>
        <w:t xml:space="preserve">Si la valorisation à 70 M€ repose sur des informations inexactes, l’ensemble des opérations d’apport (titres Qwant aux holdings Angels) est susceptible d’annulation, entraînant restitution des actions et reconstitution du capital sur la base de la valeur réelle.</w:t>
      </w:r>
    </w:p>
    <w:p>
      <w:pPr>
        <w:pStyle w:val="Heading2"/>
        <w:spacing w:before="240" w:after="180"/>
      </w:pPr>
      <w:r>
        <w:rPr>
          <w:rFonts w:ascii="Arial" w:cs="Arial" w:eastAsia="Arial" w:hAnsi="Arial"/>
          <w:b/>
          <w:bCs/>
          <w:color w:val="2C3E50"/>
          <w:sz w:val="28"/>
          <w:szCs w:val="28"/>
        </w:rPr>
        <w:t xml:space="preserve">Action 3 : Dol et vice du consentement (art. 1137 C. civ.)</w:t>
      </w:r>
    </w:p>
    <w:p>
      <w:pPr>
        <w:spacing w:after="120"/>
      </w:pPr>
      <w:r>
        <w:rPr>
          <w:rFonts w:ascii="Arial" w:cs="Arial" w:eastAsia="Arial" w:hAnsi="Arial"/>
          <w:sz w:val="22"/>
          <w:szCs w:val="22"/>
        </w:rPr>
        <w:t xml:space="preserve">Si des informations matérielles ont été dissimulées ou déformées pour obtenir l’investissement de la CDC ou le consentement des actionnaires des holdings, une action en réparation est fondée sur le dol. Prescription : 5 ans à compter de la découverte.</w:t>
      </w:r>
    </w:p>
    <w:p>
      <w:pPr>
        <w:pStyle w:val="Heading2"/>
        <w:spacing w:before="240" w:after="180"/>
      </w:pPr>
      <w:r>
        <w:rPr>
          <w:rFonts w:ascii="Arial" w:cs="Arial" w:eastAsia="Arial" w:hAnsi="Arial"/>
          <w:b/>
          <w:bCs/>
          <w:color w:val="2C3E50"/>
          <w:sz w:val="28"/>
          <w:szCs w:val="28"/>
        </w:rPr>
        <w:t xml:space="preserve">Action 4 : Action ut singuli (L. 225-252 C. com.)</w:t>
      </w:r>
    </w:p>
    <w:p>
      <w:pPr>
        <w:spacing w:after="120"/>
      </w:pPr>
      <w:r>
        <w:rPr>
          <w:rFonts w:ascii="Arial" w:cs="Arial" w:eastAsia="Arial" w:hAnsi="Arial"/>
          <w:sz w:val="22"/>
          <w:szCs w:val="22"/>
        </w:rPr>
        <w:t xml:space="preserve">Les actionnaires d’Angels 1 ayant refusé le quitus (317 millions de voix, 61 %) peuvent exercer, au nom de la holding, l’action en responsabilité contre son Président.</w:t>
      </w:r>
    </w:p>
    <w:p>
      <w:r>
        <w:br w:type="page"/>
      </w:r>
    </w:p>
    <w:p>
      <w:pPr>
        <w:pStyle w:val="Heading1"/>
        <w:spacing w:before="360" w:after="180"/>
      </w:pPr>
      <w:r>
        <w:rPr>
          <w:rFonts w:ascii="Arial" w:cs="Arial" w:eastAsia="Arial" w:hAnsi="Arial"/>
          <w:b/>
          <w:bCs/>
          <w:color w:val="1B3A5C"/>
          <w:sz w:val="32"/>
          <w:szCs w:val="32"/>
        </w:rPr>
        <w:t xml:space="preserve">ANALYSE DE PRESCRIPTION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3"/>
              <w:left w:val="single" w:color="BDC3C7" w:sz="1"/>
              <w:bottom w:val="single" w:color="BDC3C7" w:sz="1"/>
              <w:right w:val="single" w:color="BDC3C7" w:sz="1"/>
            </w:tcBorders>
            <w:shd w:fill="FADBD8"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POINT CRITIQUE</w:t>
            </w:r>
          </w:p>
          <w:p>
            <w:pPr>
              <w:spacing w:after="0"/>
            </w:pPr>
            <w:r>
              <w:rPr>
                <w:rFonts w:ascii="Arial" w:cs="Arial" w:eastAsia="Arial" w:hAnsi="Arial"/>
                <w:sz w:val="20"/>
                <w:szCs w:val="20"/>
              </w:rPr>
              <w:t xml:space="preserve">La prescription est le risque numéro un de ce dossier. Chaque jour d’inaction aggrave ce risque. Les actions doivent être engagées immédiatement.</w:t>
            </w:r>
          </w:p>
        </w:tc>
      </w:tr>
    </w:tbl>
    <w:p>
      <w:pPr>
        <w:spacing w:before="100" w:after="0"/>
      </w:pPr>
    </w:p>
    <w:p>
      <w:pPr>
        <w:pStyle w:val="Heading2"/>
        <w:spacing w:before="240" w:after="180"/>
      </w:pPr>
      <w:r>
        <w:rPr>
          <w:rFonts w:ascii="Arial" w:cs="Arial" w:eastAsia="Arial" w:hAnsi="Arial"/>
          <w:b/>
          <w:bCs/>
          <w:color w:val="2C3E50"/>
          <w:sz w:val="28"/>
          <w:szCs w:val="28"/>
        </w:rPr>
        <w:t xml:space="preserve">Délais par infraction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026"/>
      </w:tblGrid>
      <w:tr>
        <w:tc>
          <w:tcPr>
            <w:tcW w:type="dxa" w:w="2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Infraction</w:t>
            </w:r>
          </w:p>
        </w:tc>
        <w:tc>
          <w:tcPr>
            <w:tcW w:type="dxa" w:w="1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Délai</w:t>
            </w:r>
          </w:p>
        </w:tc>
        <w:tc>
          <w:tcPr>
            <w:tcW w:type="dxa" w:w="2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Point de départ</w:t>
            </w:r>
          </w:p>
        </w:tc>
        <w:tc>
          <w:tcPr>
            <w:tcW w:type="dxa" w:w="3026"/>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Statut estimé</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Comptes infidèles (L. 242-6)</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6 ans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Présentation des comptes (AG)</w:t>
            </w:r>
          </w:p>
        </w:tc>
        <w:tc>
          <w:tcPr>
            <w:tcW w:type="dxa" w:w="30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Comptes 2019 → ≈ 2025-2026</w:t>
            </w:r>
          </w:p>
        </w:tc>
      </w:tr>
      <w:tr>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ABS (L. 242-6)</w:t>
            </w:r>
          </w:p>
        </w:tc>
        <w:tc>
          <w:tcPr>
            <w:tcW w:type="dxa" w:w="1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6 ans</w:t>
            </w:r>
          </w:p>
        </w:tc>
        <w:tc>
          <w:tcPr>
            <w:tcW w:type="dxa" w:w="2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Découverte des faits</w:t>
            </w:r>
          </w:p>
        </w:tc>
        <w:tc>
          <w:tcPr>
            <w:tcW w:type="dxa" w:w="30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Report possible si découverte récente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Surévaluation apports (L. 242-2)</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6 ans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Rapport (01/2017)</w:t>
            </w:r>
          </w:p>
        </w:tc>
        <w:tc>
          <w:tcPr>
            <w:tcW w:type="dxa" w:w="30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Risque : prescrit 01/2023</w:t>
            </w:r>
          </w:p>
        </w:tc>
      </w:tr>
      <w:tr>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Escroquerie (313-1 CP)</w:t>
            </w:r>
          </w:p>
        </w:tc>
        <w:tc>
          <w:tcPr>
            <w:tcW w:type="dxa" w:w="1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6 ans</w:t>
            </w:r>
          </w:p>
        </w:tc>
        <w:tc>
          <w:tcPr>
            <w:tcW w:type="dxa" w:w="2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Remise des fonds (02-03/2017)</w:t>
            </w:r>
          </w:p>
        </w:tc>
        <w:tc>
          <w:tcPr>
            <w:tcW w:type="dxa" w:w="30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Risque : prescrit 03/2023</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Banqueroute (L. 654-2)</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6 ans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Jugement d’ouverture</w:t>
            </w:r>
          </w:p>
        </w:tc>
        <w:tc>
          <w:tcPr>
            <w:tcW w:type="dxa" w:w="30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Non couru</w:t>
            </w:r>
          </w:p>
        </w:tc>
      </w:tr>
      <w:tr>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Non-déclaration cessation paiement</w:t>
            </w:r>
          </w:p>
        </w:tc>
        <w:tc>
          <w:tcPr>
            <w:tcW w:type="dxa" w:w="1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6 ans</w:t>
            </w:r>
          </w:p>
        </w:tc>
        <w:tc>
          <w:tcPr>
            <w:tcW w:type="dxa" w:w="2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Expiration délai 45 jours</w:t>
            </w:r>
          </w:p>
        </w:tc>
        <w:tc>
          <w:tcPr>
            <w:tcW w:type="dxa" w:w="30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Variable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Responsabilité dirigeant (civil)</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 ans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Fait dommageable / découverte</w:t>
            </w:r>
          </w:p>
        </w:tc>
        <w:tc>
          <w:tcPr>
            <w:tcW w:type="dxa" w:w="30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En cours</w:t>
            </w:r>
          </w:p>
        </w:tc>
      </w:tr>
      <w:tr>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Dol (civil)</w:t>
            </w:r>
          </w:p>
        </w:tc>
        <w:tc>
          <w:tcPr>
            <w:tcW w:type="dxa" w:w="1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5 ans</w:t>
            </w:r>
          </w:p>
        </w:tc>
        <w:tc>
          <w:tcPr>
            <w:tcW w:type="dxa" w:w="2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Découverte du dol</w:t>
            </w:r>
          </w:p>
        </w:tc>
        <w:tc>
          <w:tcPr>
            <w:tcW w:type="dxa" w:w="30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En cours</w:t>
            </w:r>
          </w:p>
        </w:tc>
      </w:tr>
    </w:tbl>
    <w:p>
      <w:pPr>
        <w:pStyle w:val="Heading2"/>
        <w:spacing w:before="240" w:after="180"/>
      </w:pPr>
      <w:r>
        <w:rPr>
          <w:rFonts w:ascii="Arial" w:cs="Arial" w:eastAsia="Arial" w:hAnsi="Arial"/>
          <w:b/>
          <w:bCs/>
          <w:color w:val="2C3E50"/>
          <w:sz w:val="28"/>
          <w:szCs w:val="28"/>
        </w:rPr>
        <w:t xml:space="preserve">Arguments pour repousser la prescription</w:t>
      </w:r>
    </w:p>
    <w:p>
      <w:pPr>
        <w:pStyle w:val="ListParagraph"/>
        <w:numPr>
          <w:ilvl w:val="0"/>
          <w:numId w:val="3"/>
        </w:numPr>
        <w:spacing w:after="80"/>
      </w:pPr>
      <w:r>
        <w:rPr>
          <w:rFonts w:ascii="Arial" w:cs="Arial" w:eastAsia="Arial" w:hAnsi="Arial"/>
          <w:b/>
          <w:bCs/>
          <w:sz w:val="22"/>
          <w:szCs w:val="22"/>
        </w:rPr>
        <w:t xml:space="preserve">Le signalement au PNF </w:t>
      </w:r>
      <w:r>
        <w:rPr>
          <w:rFonts w:ascii="Arial" w:cs="Arial" w:eastAsia="Arial" w:hAnsi="Arial"/>
          <w:sz w:val="22"/>
          <w:szCs w:val="22"/>
        </w:rPr>
        <w:t xml:space="preserve">(16/06/2022) a vraisemblablement déclenché une enquête préliminaire. Tout acte d’enquête interrompt la prescription et fait courir un nouveau délai de 6 ans.</w:t>
      </w:r>
    </w:p>
    <w:p>
      <w:pPr>
        <w:pStyle w:val="ListParagraph"/>
        <w:numPr>
          <w:ilvl w:val="0"/>
          <w:numId w:val="3"/>
        </w:numPr>
        <w:spacing w:after="80"/>
      </w:pPr>
      <w:r>
        <w:rPr>
          <w:rFonts w:ascii="Arial" w:cs="Arial" w:eastAsia="Arial" w:hAnsi="Arial"/>
          <w:b/>
          <w:bCs/>
          <w:sz w:val="22"/>
          <w:szCs w:val="22"/>
        </w:rPr>
        <w:t xml:space="preserve">Pour l’ABS, </w:t>
      </w:r>
      <w:r>
        <w:rPr>
          <w:rFonts w:ascii="Arial" w:cs="Arial" w:eastAsia="Arial" w:hAnsi="Arial"/>
          <w:sz w:val="22"/>
          <w:szCs w:val="22"/>
        </w:rPr>
        <w:t xml:space="preserve">la prescription court à compter de la découverte. Conservez la preuve horodatée de la date à laquelle vous avez pris connaissance des faits.</w:t>
      </w:r>
    </w:p>
    <w:p>
      <w:pPr>
        <w:pStyle w:val="ListParagraph"/>
        <w:numPr>
          <w:ilvl w:val="0"/>
          <w:numId w:val="3"/>
        </w:numPr>
        <w:spacing w:after="80"/>
      </w:pPr>
      <w:r>
        <w:rPr>
          <w:rFonts w:ascii="Arial" w:cs="Arial" w:eastAsia="Arial" w:hAnsi="Arial"/>
          <w:b/>
          <w:bCs/>
          <w:sz w:val="22"/>
          <w:szCs w:val="22"/>
        </w:rPr>
        <w:t xml:space="preserve">Pour l’escroquerie, </w:t>
      </w:r>
      <w:r>
        <w:rPr>
          <w:rFonts w:ascii="Arial" w:cs="Arial" w:eastAsia="Arial" w:hAnsi="Arial"/>
          <w:sz w:val="22"/>
          <w:szCs w:val="22"/>
        </w:rPr>
        <w:t xml:space="preserve">la Cour de cassation admet le report au jour où le préjudice est apparu « dans des conditions permettant l’exercice de l’action publique ». La chute des CP à −30,71 M€ (connue en 2022) peut constituer ce point de départ.</w:t>
      </w:r>
    </w:p>
    <w:p>
      <w:pPr>
        <w:pStyle w:val="ListParagraph"/>
        <w:numPr>
          <w:ilvl w:val="0"/>
          <w:numId w:val="3"/>
        </w:numPr>
        <w:spacing w:after="80"/>
      </w:pPr>
      <w:r>
        <w:rPr>
          <w:rFonts w:ascii="Arial" w:cs="Arial" w:eastAsia="Arial" w:hAnsi="Arial"/>
          <w:b/>
          <w:bCs/>
          <w:sz w:val="22"/>
          <w:szCs w:val="22"/>
        </w:rPr>
        <w:t xml:space="preserve">La dissimulation </w:t>
      </w:r>
      <w:r>
        <w:rPr>
          <w:rFonts w:ascii="Arial" w:cs="Arial" w:eastAsia="Arial" w:hAnsi="Arial"/>
          <w:sz w:val="22"/>
          <w:szCs w:val="22"/>
        </w:rPr>
        <w:t xml:space="preserve">(comptes infidèles, retard de dépôt des actes de 17 mois) reporte la prescription au jour de la découverte de la dissimulation.</w:t>
      </w:r>
    </w:p>
    <w:p>
      <w:r>
        <w:br w:type="page"/>
      </w:r>
    </w:p>
    <w:p>
      <w:pPr>
        <w:pStyle w:val="Heading1"/>
        <w:spacing w:before="360" w:after="180"/>
      </w:pPr>
      <w:r>
        <w:rPr>
          <w:rFonts w:ascii="Arial" w:cs="Arial" w:eastAsia="Arial" w:hAnsi="Arial"/>
          <w:b/>
          <w:bCs/>
          <w:color w:val="1B3A5C"/>
          <w:sz w:val="32"/>
          <w:szCs w:val="32"/>
        </w:rPr>
        <w:t xml:space="preserve">STRATÉGIE PROCÉDURALE</w:t>
      </w:r>
    </w:p>
    <w:p>
      <w:pPr>
        <w:pStyle w:val="Heading2"/>
        <w:spacing w:before="240" w:after="180"/>
      </w:pPr>
      <w:r>
        <w:rPr>
          <w:rFonts w:ascii="Arial" w:cs="Arial" w:eastAsia="Arial" w:hAnsi="Arial"/>
          <w:b/>
          <w:bCs/>
          <w:color w:val="2C3E50"/>
          <w:sz w:val="28"/>
          <w:szCs w:val="28"/>
        </w:rPr>
        <w:t xml:space="preserve">Étape 1 : Actions immédiates (cette semaine)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3"/>
              <w:left w:val="single" w:color="BDC3C7" w:sz="1"/>
              <w:bottom w:val="single" w:color="BDC3C7" w:sz="1"/>
              <w:right w:val="single" w:color="BDC3C7" w:sz="1"/>
            </w:tcBorders>
            <w:shd w:fill="D6EA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PRIORITÉ ABSOLUE</w:t>
            </w:r>
          </w:p>
          <w:p>
            <w:pPr>
              <w:spacing w:after="40"/>
            </w:pPr>
            <w:r>
              <w:rPr>
                <w:rFonts w:ascii="Arial" w:cs="Arial" w:eastAsia="Arial" w:hAnsi="Arial"/>
                <w:b/>
                <w:bCs/>
                <w:sz w:val="20"/>
                <w:szCs w:val="20"/>
              </w:rPr>
              <w:t xml:space="preserve">1. Déposer une plainte simple au Procureur de Paris (pôle financier)</w:t>
            </w:r>
          </w:p>
          <w:p>
            <w:pPr>
              <w:spacing w:after="40"/>
            </w:pPr>
            <w:r>
              <w:rPr>
                <w:rFonts w:ascii="Arial" w:cs="Arial" w:eastAsia="Arial" w:hAnsi="Arial"/>
                <w:b/>
                <w:bCs/>
                <w:sz w:val="20"/>
                <w:szCs w:val="20"/>
              </w:rPr>
              <w:t xml:space="preserve">2. Horodater la découverte des faits (email à soi-même, constat d’huissier)</w:t>
            </w:r>
          </w:p>
          <w:p>
            <w:pPr>
              <w:spacing w:after="0"/>
            </w:pPr>
            <w:r>
              <w:rPr>
                <w:rFonts w:ascii="Arial" w:cs="Arial" w:eastAsia="Arial" w:hAnsi="Arial"/>
                <w:b/>
                <w:bCs/>
                <w:sz w:val="20"/>
                <w:szCs w:val="20"/>
              </w:rPr>
              <w:t xml:space="preserve">3. Consulter un avocat pénaliste spécialisé en droit des affaires</w:t>
            </w:r>
          </w:p>
        </w:tc>
      </w:tr>
    </w:tbl>
    <w:p>
      <w:pPr>
        <w:spacing w:before="100" w:after="0"/>
      </w:pPr>
    </w:p>
    <w:p>
      <w:pPr>
        <w:pStyle w:val="Heading3"/>
        <w:spacing w:before="240" w:after="180"/>
      </w:pPr>
      <w:r>
        <w:rPr>
          <w:rFonts w:ascii="Arial" w:cs="Arial" w:eastAsia="Arial" w:hAnsi="Arial"/>
          <w:b/>
          <w:bCs/>
          <w:color w:val="2C3E50"/>
          <w:sz w:val="24"/>
          <w:szCs w:val="24"/>
        </w:rPr>
        <w:t xml:space="preserve">Plainte simple au Procureur</w:t>
      </w:r>
    </w:p>
    <w:p>
      <w:pPr>
        <w:pStyle w:val="ListParagraph"/>
        <w:numPr>
          <w:ilvl w:val="0"/>
          <w:numId w:val="2"/>
        </w:numPr>
        <w:spacing w:after="80"/>
      </w:pPr>
      <w:r>
        <w:rPr>
          <w:rFonts w:ascii="Arial" w:cs="Arial" w:eastAsia="Arial" w:hAnsi="Arial"/>
          <w:sz w:val="22"/>
          <w:szCs w:val="22"/>
        </w:rPr>
        <w:t xml:space="preserve">Destinataire : Procureur de la République de Paris, tribunal judiciaire, pôle financier</w:t>
      </w:r>
    </w:p>
    <w:p>
      <w:pPr>
        <w:pStyle w:val="ListParagraph"/>
        <w:numPr>
          <w:ilvl w:val="0"/>
          <w:numId w:val="2"/>
        </w:numPr>
        <w:spacing w:after="80"/>
      </w:pPr>
      <w:r>
        <w:rPr>
          <w:rFonts w:ascii="Arial" w:cs="Arial" w:eastAsia="Arial" w:hAnsi="Arial"/>
          <w:sz w:val="22"/>
          <w:szCs w:val="22"/>
        </w:rPr>
        <w:t xml:space="preserve">Forme : Lettre recommandée avec accusé de réception</w:t>
      </w:r>
    </w:p>
    <w:p>
      <w:pPr>
        <w:pStyle w:val="ListParagraph"/>
        <w:numPr>
          <w:ilvl w:val="0"/>
          <w:numId w:val="2"/>
        </w:numPr>
        <w:spacing w:after="80"/>
      </w:pPr>
      <w:r>
        <w:rPr>
          <w:rFonts w:ascii="Arial" w:cs="Arial" w:eastAsia="Arial" w:hAnsi="Arial"/>
          <w:sz w:val="22"/>
          <w:szCs w:val="22"/>
        </w:rPr>
        <w:t xml:space="preserve">Contenu : Exposé des faits, qualification pénale proposée, pièces jointes (le présent rapport et les 13 documents d’analyse)</w:t>
      </w:r>
    </w:p>
    <w:p>
      <w:pPr>
        <w:pStyle w:val="ListParagraph"/>
        <w:numPr>
          <w:ilvl w:val="0"/>
          <w:numId w:val="2"/>
        </w:numPr>
        <w:spacing w:after="80"/>
      </w:pPr>
      <w:r>
        <w:rPr>
          <w:rFonts w:ascii="Arial" w:cs="Arial" w:eastAsia="Arial" w:hAnsi="Arial"/>
          <w:sz w:val="22"/>
          <w:szCs w:val="22"/>
        </w:rPr>
        <w:t xml:space="preserve">Mentionner le signalement de la Cour des comptes au PNF du 16/06/2022 et demander la jonction</w:t>
      </w:r>
    </w:p>
    <w:p>
      <w:pPr>
        <w:pStyle w:val="ListParagraph"/>
        <w:numPr>
          <w:ilvl w:val="0"/>
          <w:numId w:val="2"/>
        </w:numPr>
        <w:spacing w:after="80"/>
      </w:pPr>
      <w:r>
        <w:rPr>
          <w:rFonts w:ascii="Arial" w:cs="Arial" w:eastAsia="Arial" w:hAnsi="Arial"/>
          <w:sz w:val="22"/>
          <w:szCs w:val="22"/>
        </w:rPr>
        <w:t xml:space="preserve">Avantage : gratuit, simple, interruptif de prescription</w:t>
      </w:r>
    </w:p>
    <w:p>
      <w:pPr>
        <w:pStyle w:val="ListParagraph"/>
        <w:numPr>
          <w:ilvl w:val="0"/>
          <w:numId w:val="2"/>
        </w:numPr>
        <w:spacing w:after="80"/>
      </w:pPr>
      <w:r>
        <w:rPr>
          <w:rFonts w:ascii="Arial" w:cs="Arial" w:eastAsia="Arial" w:hAnsi="Arial"/>
          <w:sz w:val="22"/>
          <w:szCs w:val="22"/>
        </w:rPr>
        <w:t xml:space="preserve">Inconvénient : le Procureur peut classer sans suite</w:t>
      </w:r>
    </w:p>
    <w:p>
      <w:pPr>
        <w:pStyle w:val="Heading2"/>
        <w:spacing w:before="240" w:after="180"/>
      </w:pPr>
      <w:r>
        <w:rPr>
          <w:rFonts w:ascii="Arial" w:cs="Arial" w:eastAsia="Arial" w:hAnsi="Arial"/>
          <w:b/>
          <w:bCs/>
          <w:color w:val="2C3E50"/>
          <w:sz w:val="28"/>
          <w:szCs w:val="28"/>
        </w:rPr>
        <w:t xml:space="preserve">Étape 2 : Obtenir les pièces manquantes (1er mois)</w:t>
      </w:r>
    </w:p>
    <w:p>
      <w:pPr>
        <w:pStyle w:val="Heading3"/>
        <w:spacing w:before="240" w:after="180"/>
      </w:pPr>
      <w:r>
        <w:rPr>
          <w:rFonts w:ascii="Arial" w:cs="Arial" w:eastAsia="Arial" w:hAnsi="Arial"/>
          <w:b/>
          <w:bCs/>
          <w:color w:val="2C3E50"/>
          <w:sz w:val="24"/>
          <w:szCs w:val="24"/>
        </w:rPr>
        <w:t xml:space="preserve">Référé article 145 CPC</w:t>
      </w:r>
    </w:p>
    <w:p>
      <w:pPr>
        <w:spacing w:after="120"/>
      </w:pPr>
      <w:r>
        <w:rPr>
          <w:rFonts w:ascii="Arial" w:cs="Arial" w:eastAsia="Arial" w:hAnsi="Arial"/>
          <w:sz w:val="22"/>
          <w:szCs w:val="22"/>
        </w:rPr>
        <w:t xml:space="preserve">Requête en référé devant le Président du tribunal de commerce de Paris pour communication forcée des pièces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626"/>
      </w:tblGrid>
      <w:tr>
        <w:tc>
          <w:tcPr>
            <w:tcW w:type="dxa" w:w="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t>
            </w:r>
          </w:p>
        </w:tc>
        <w:tc>
          <w:tcPr>
            <w:tcW w:type="dxa" w:w="4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Document</w:t>
            </w:r>
          </w:p>
        </w:tc>
        <w:tc>
          <w:tcPr>
            <w:tcW w:type="dxa" w:w="4626"/>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Détenteur</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Comptes annuels complets 2016-2021 (avec annexes)</w:t>
            </w:r>
          </w:p>
        </w:tc>
        <w:tc>
          <w:tcPr>
            <w:tcW w:type="dxa" w:w="46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Qwant SAS / Expert-comptable</w:t>
            </w:r>
          </w:p>
        </w:tc>
      </w:tr>
      <w:tr>
        <w:tc>
          <w:tcPr>
            <w:tcW w:type="dxa" w:w="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4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Détail du compte 62 (charges externes)</w:t>
            </w:r>
          </w:p>
        </w:tc>
        <w:tc>
          <w:tcPr>
            <w:tcW w:type="dxa" w:w="46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Expert-comptable de Qwant</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Conventions réglementées (art. L. 227-10)</w:t>
            </w:r>
          </w:p>
        </w:tc>
        <w:tc>
          <w:tcPr>
            <w:tcW w:type="dxa" w:w="46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Qwant SAS</w:t>
            </w:r>
          </w:p>
        </w:tc>
      </w:tr>
      <w:tr>
        <w:tc>
          <w:tcPr>
            <w:tcW w:type="dxa" w:w="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4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Registre des mouvements de titres</w:t>
            </w:r>
          </w:p>
        </w:tc>
        <w:tc>
          <w:tcPr>
            <w:tcW w:type="dxa" w:w="46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Qwant SAS</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Plan d’affaires 2015-2020</w:t>
            </w:r>
          </w:p>
        </w:tc>
        <w:tc>
          <w:tcPr>
            <w:tcW w:type="dxa" w:w="46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Qwant SAS / ACL</w:t>
            </w:r>
          </w:p>
        </w:tc>
      </w:tr>
      <w:tr>
        <w:tc>
          <w:tcPr>
            <w:tcW w:type="dxa" w:w="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6</w:t>
            </w:r>
          </w:p>
        </w:tc>
        <w:tc>
          <w:tcPr>
            <w:tcW w:type="dxa" w:w="4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Premier rapport commissaire aux apports (avant erreur)</w:t>
            </w:r>
          </w:p>
        </w:tc>
        <w:tc>
          <w:tcPr>
            <w:tcW w:type="dxa" w:w="46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ACL (Laudignon)</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7</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Contrats de travail des dirigeants</w:t>
            </w:r>
          </w:p>
        </w:tc>
        <w:tc>
          <w:tcPr>
            <w:tcW w:type="dxa" w:w="46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Qwant SAS</w:t>
            </w:r>
          </w:p>
        </w:tc>
      </w:tr>
      <w:tr>
        <w:tc>
          <w:tcPr>
            <w:tcW w:type="dxa" w:w="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8</w:t>
            </w:r>
          </w:p>
        </w:tc>
        <w:tc>
          <w:tcPr>
            <w:tcW w:type="dxa" w:w="4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PV des AG de Qwant SAS 2018-2021</w:t>
            </w:r>
          </w:p>
        </w:tc>
        <w:tc>
          <w:tcPr>
            <w:tcW w:type="dxa" w:w="46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Qwant SAS / Greffe</w:t>
            </w:r>
          </w:p>
        </w:tc>
      </w:tr>
    </w:tbl>
    <w:p>
      <w:pPr>
        <w:spacing w:before="60" w:after="0"/>
      </w:pPr>
    </w:p>
    <w:p>
      <w:pPr>
        <w:spacing w:after="120"/>
      </w:pPr>
      <w:r>
        <w:rPr>
          <w:rFonts w:ascii="Arial" w:cs="Arial" w:eastAsia="Arial" w:hAnsi="Arial"/>
          <w:b/>
          <w:bCs/>
          <w:sz w:val="22"/>
          <w:szCs w:val="22"/>
        </w:rPr>
        <w:t xml:space="preserve">Coût estimé : </w:t>
      </w:r>
      <w:r>
        <w:rPr>
          <w:rFonts w:ascii="Arial" w:cs="Arial" w:eastAsia="Arial" w:hAnsi="Arial"/>
          <w:sz w:val="22"/>
          <w:szCs w:val="22"/>
        </w:rPr>
        <w:t xml:space="preserve">3 000 à 5 000 € (avocat + huissier). Délai : audience dans les semaines suivant l’assignation.</w:t>
      </w:r>
    </w:p>
    <w:p>
      <w:pPr>
        <w:pStyle w:val="Heading3"/>
        <w:spacing w:before="240" w:after="180"/>
      </w:pPr>
      <w:r>
        <w:rPr>
          <w:rFonts w:ascii="Arial" w:cs="Arial" w:eastAsia="Arial" w:hAnsi="Arial"/>
          <w:b/>
          <w:bCs/>
          <w:color w:val="2C3E50"/>
          <w:sz w:val="24"/>
          <w:szCs w:val="24"/>
        </w:rPr>
        <w:t xml:space="preserve">Demandes CADA</w:t>
      </w:r>
    </w:p>
    <w:p>
      <w:pPr>
        <w:spacing w:after="120"/>
      </w:pPr>
      <w:r>
        <w:rPr>
          <w:rFonts w:ascii="Arial" w:cs="Arial" w:eastAsia="Arial" w:hAnsi="Arial"/>
          <w:sz w:val="22"/>
          <w:szCs w:val="22"/>
        </w:rPr>
        <w:t xml:space="preserve">La CADA permet d’obtenir des documents détenus par les administrations publiques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3000"/>
        <w:gridCol w:w="2126"/>
      </w:tblGrid>
      <w:tr>
        <w:tc>
          <w:tcPr>
            <w:tcW w:type="dxa" w:w="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Document visé</w:t>
            </w:r>
          </w:p>
        </w:tc>
        <w:tc>
          <w:tcPr>
            <w:tcW w:type="dxa" w:w="3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Administration</w:t>
            </w:r>
          </w:p>
        </w:tc>
        <w:tc>
          <w:tcPr>
            <w:tcW w:type="dxa" w:w="2126"/>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Délai</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Dossier CIR de Qwant SAS</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DGFiP</w:t>
            </w:r>
          </w:p>
        </w:tc>
        <w:tc>
          <w:tcPr>
            <w:tcW w:type="dxa" w:w="21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1-3 mois</w:t>
            </w:r>
          </w:p>
        </w:tc>
      </w:tr>
      <w:tr>
        <w:tc>
          <w:tcPr>
            <w:tcW w:type="dxa" w:w="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3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Rapports d’instruction investissement CDC</w:t>
            </w:r>
          </w:p>
        </w:tc>
        <w:tc>
          <w:tcPr>
            <w:tcW w:type="dxa" w:w="3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CDC (Direction investissement)</w:t>
            </w:r>
          </w:p>
        </w:tc>
        <w:tc>
          <w:tcPr>
            <w:tcW w:type="dxa" w:w="21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1-3 mois</w:t>
            </w:r>
          </w:p>
        </w:tc>
      </w:tr>
      <w:tr>
        <w:tc>
          <w:tcPr>
            <w:tcW w:type="dxa" w:w="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Rapports de suivi investissement CDC</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CDC</w:t>
            </w:r>
          </w:p>
        </w:tc>
        <w:tc>
          <w:tcPr>
            <w:tcW w:type="dxa" w:w="21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1-3 mois</w:t>
            </w:r>
          </w:p>
        </w:tc>
      </w:tr>
      <w:tr>
        <w:tc>
          <w:tcPr>
            <w:tcW w:type="dxa" w:w="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3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Dossiers de subventions (BPI, régions)</w:t>
            </w:r>
          </w:p>
        </w:tc>
        <w:tc>
          <w:tcPr>
            <w:tcW w:type="dxa" w:w="3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BPI France / Collectivités</w:t>
            </w:r>
          </w:p>
        </w:tc>
        <w:tc>
          <w:tcPr>
            <w:tcW w:type="dxa" w:w="21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1-3 mois</w:t>
            </w:r>
          </w:p>
        </w:tc>
      </w:tr>
    </w:tbl>
    <w:p>
      <w:pPr>
        <w:spacing w:before="60" w:after="0"/>
      </w:pPr>
    </w:p>
    <w:p>
      <w:pPr>
        <w:spacing w:after="120"/>
      </w:pPr>
      <w:r>
        <w:rPr>
          <w:rFonts w:ascii="Arial" w:cs="Arial" w:eastAsia="Arial" w:hAnsi="Arial"/>
          <w:sz w:val="22"/>
          <w:szCs w:val="22"/>
        </w:rPr>
        <w:t xml:space="preserve">En cas de refus ou de silence (= refus implicite), saisir la CADA dans les 2 mois. La CADA rend un avis sous 1 à 2 mois. En cas d’avis défavorable, recours devant le tribunal administratif dans les 2 mois.</w:t>
      </w:r>
    </w:p>
    <w:p>
      <w:pPr>
        <w:spacing w:after="120"/>
      </w:pPr>
      <w:r>
        <w:rPr>
          <w:rFonts w:ascii="Arial" w:cs="Arial" w:eastAsia="Arial" w:hAnsi="Arial"/>
          <w:b/>
          <w:bCs/>
          <w:sz w:val="22"/>
          <w:szCs w:val="22"/>
        </w:rPr>
        <w:t xml:space="preserve">Limites CADA : </w:t>
      </w:r>
      <w:r>
        <w:rPr>
          <w:rFonts w:ascii="Arial" w:cs="Arial" w:eastAsia="Arial" w:hAnsi="Arial"/>
          <w:sz w:val="22"/>
          <w:szCs w:val="22"/>
        </w:rPr>
        <w:t xml:space="preserve">le secret fiscal (art. L. 103 LPF) protège les déclarations individuelles ; le secret des affaires (art. L. 311-6 CRPA) peut justifier des occultations ; si une enquête PNF est en cours, le secret de l’instruction s’applique.</w:t>
      </w:r>
    </w:p>
    <w:p>
      <w:pPr>
        <w:pStyle w:val="Heading2"/>
        <w:spacing w:before="240" w:after="180"/>
      </w:pPr>
      <w:r>
        <w:rPr>
          <w:rFonts w:ascii="Arial" w:cs="Arial" w:eastAsia="Arial" w:hAnsi="Arial"/>
          <w:b/>
          <w:bCs/>
          <w:color w:val="2C3E50"/>
          <w:sz w:val="28"/>
          <w:szCs w:val="28"/>
        </w:rPr>
        <w:t xml:space="preserve">Étape 3 : Plainte avec constitution de partie civile (3 mois)</w:t>
      </w:r>
    </w:p>
    <w:p>
      <w:pPr>
        <w:spacing w:after="120"/>
      </w:pPr>
      <w:r>
        <w:rPr>
          <w:rFonts w:ascii="Arial" w:cs="Arial" w:eastAsia="Arial" w:hAnsi="Arial"/>
          <w:sz w:val="22"/>
          <w:szCs w:val="22"/>
        </w:rPr>
        <w:t xml:space="preserve">Si la plainte simple est classée ou reste sans réponse après 3 mois :</w:t>
      </w:r>
    </w:p>
    <w:p>
      <w:pPr>
        <w:pStyle w:val="ListParagraph"/>
        <w:numPr>
          <w:ilvl w:val="0"/>
          <w:numId w:val="2"/>
        </w:numPr>
        <w:spacing w:after="80"/>
      </w:pPr>
      <w:r>
        <w:rPr>
          <w:rFonts w:ascii="Arial" w:cs="Arial" w:eastAsia="Arial" w:hAnsi="Arial"/>
          <w:b/>
          <w:bCs/>
          <w:sz w:val="22"/>
          <w:szCs w:val="22"/>
        </w:rPr>
        <w:t xml:space="preserve">Déposer une plainte avec constitution de partie civile devant le doyen des juges d’instruction du TJ de Paris</w:t>
      </w:r>
    </w:p>
    <w:p>
      <w:pPr>
        <w:pStyle w:val="ListParagraph"/>
        <w:numPr>
          <w:ilvl w:val="0"/>
          <w:numId w:val="2"/>
        </w:numPr>
        <w:spacing w:after="80"/>
      </w:pPr>
      <w:r>
        <w:rPr>
          <w:rFonts w:ascii="Arial" w:cs="Arial" w:eastAsia="Arial" w:hAnsi="Arial"/>
          <w:sz w:val="22"/>
          <w:szCs w:val="22"/>
        </w:rPr>
        <w:t xml:space="preserve">Avantage décisif : oblige l’ouverture d’une information judiciaire (le juge ne peut pas classer)</w:t>
      </w:r>
    </w:p>
    <w:p>
      <w:pPr>
        <w:pStyle w:val="ListParagraph"/>
        <w:numPr>
          <w:ilvl w:val="0"/>
          <w:numId w:val="2"/>
        </w:numPr>
        <w:spacing w:after="80"/>
      </w:pPr>
      <w:r>
        <w:rPr>
          <w:rFonts w:ascii="Arial" w:cs="Arial" w:eastAsia="Arial" w:hAnsi="Arial"/>
          <w:sz w:val="22"/>
          <w:szCs w:val="22"/>
        </w:rPr>
        <w:t xml:space="preserve">Vous devenez partie civile : accès au dossier, demande d’actes, appel des ordonnances</w:t>
      </w:r>
    </w:p>
    <w:p>
      <w:pPr>
        <w:pStyle w:val="ListParagraph"/>
        <w:numPr>
          <w:ilvl w:val="0"/>
          <w:numId w:val="2"/>
        </w:numPr>
        <w:spacing w:after="80"/>
      </w:pPr>
      <w:r>
        <w:rPr>
          <w:rFonts w:ascii="Arial" w:cs="Arial" w:eastAsia="Arial" w:hAnsi="Arial"/>
          <w:sz w:val="22"/>
          <w:szCs w:val="22"/>
        </w:rPr>
        <w:t xml:space="preserve">Consignation à verser : généralement 500 à 5 000 € (fixée par le juge)</w:t>
      </w:r>
    </w:p>
    <w:p>
      <w:pPr>
        <w:pStyle w:val="ListParagraph"/>
        <w:numPr>
          <w:ilvl w:val="0"/>
          <w:numId w:val="2"/>
        </w:numPr>
        <w:spacing w:after="80"/>
      </w:pPr>
      <w:r>
        <w:rPr>
          <w:rFonts w:ascii="Arial" w:cs="Arial" w:eastAsia="Arial" w:hAnsi="Arial"/>
          <w:sz w:val="22"/>
          <w:szCs w:val="22"/>
        </w:rPr>
        <w:t xml:space="preserve">Demander la jonction avec l’éventuelle enquête PNF en cours</w:t>
      </w:r>
    </w:p>
    <w:p>
      <w:pPr>
        <w:pStyle w:val="Heading2"/>
        <w:spacing w:before="240" w:after="180"/>
      </w:pPr>
      <w:r>
        <w:rPr>
          <w:rFonts w:ascii="Arial" w:cs="Arial" w:eastAsia="Arial" w:hAnsi="Arial"/>
          <w:b/>
          <w:bCs/>
          <w:color w:val="2C3E50"/>
          <w:sz w:val="28"/>
          <w:szCs w:val="28"/>
        </w:rPr>
        <w:t xml:space="preserve">Étape 4 : Actions civiles parallèles</w:t>
      </w:r>
    </w:p>
    <w:p>
      <w:pPr>
        <w:spacing w:after="120"/>
      </w:pPr>
      <w:r>
        <w:rPr>
          <w:rFonts w:ascii="Arial" w:cs="Arial" w:eastAsia="Arial" w:hAnsi="Arial"/>
          <w:sz w:val="22"/>
          <w:szCs w:val="22"/>
        </w:rPr>
        <w:t xml:space="preserve">Indépendamment de la voie pénale, engager :</w:t>
      </w:r>
    </w:p>
    <w:p>
      <w:pPr>
        <w:pStyle w:val="ListParagraph"/>
        <w:numPr>
          <w:ilvl w:val="0"/>
          <w:numId w:val="4"/>
        </w:numPr>
        <w:spacing w:after="80"/>
      </w:pPr>
      <w:r>
        <w:rPr>
          <w:rFonts w:ascii="Arial" w:cs="Arial" w:eastAsia="Arial" w:hAnsi="Arial"/>
          <w:b/>
          <w:bCs/>
          <w:sz w:val="22"/>
          <w:szCs w:val="22"/>
        </w:rPr>
        <w:t xml:space="preserve">Action en responsabilité des dirigeants </w:t>
      </w:r>
      <w:r>
        <w:rPr>
          <w:rFonts w:ascii="Arial" w:cs="Arial" w:eastAsia="Arial" w:hAnsi="Arial"/>
          <w:sz w:val="22"/>
          <w:szCs w:val="22"/>
        </w:rPr>
        <w:t xml:space="preserve">(L. 225-251) devant le tribunal de commerce de Paris</w:t>
      </w:r>
    </w:p>
    <w:p>
      <w:pPr>
        <w:pStyle w:val="ListParagraph"/>
        <w:numPr>
          <w:ilvl w:val="0"/>
          <w:numId w:val="4"/>
        </w:numPr>
        <w:spacing w:after="80"/>
      </w:pPr>
      <w:r>
        <w:rPr>
          <w:rFonts w:ascii="Arial" w:cs="Arial" w:eastAsia="Arial" w:hAnsi="Arial"/>
          <w:b/>
          <w:bCs/>
          <w:sz w:val="22"/>
          <w:szCs w:val="22"/>
        </w:rPr>
        <w:t xml:space="preserve">Action en nullité de la valorisation </w:t>
      </w:r>
      <w:r>
        <w:rPr>
          <w:rFonts w:ascii="Arial" w:cs="Arial" w:eastAsia="Arial" w:hAnsi="Arial"/>
          <w:sz w:val="22"/>
          <w:szCs w:val="22"/>
        </w:rPr>
        <w:t xml:space="preserve">(L. 225-14) si les pièces obtenues confirment la fraude</w:t>
      </w:r>
    </w:p>
    <w:p>
      <w:pPr>
        <w:pStyle w:val="ListParagraph"/>
        <w:numPr>
          <w:ilvl w:val="0"/>
          <w:numId w:val="4"/>
        </w:numPr>
        <w:spacing w:after="80"/>
      </w:pPr>
      <w:r>
        <w:rPr>
          <w:rFonts w:ascii="Arial" w:cs="Arial" w:eastAsia="Arial" w:hAnsi="Arial"/>
          <w:b/>
          <w:bCs/>
          <w:sz w:val="22"/>
          <w:szCs w:val="22"/>
        </w:rPr>
        <w:t xml:space="preserve">Action en réparation pour dol </w:t>
      </w:r>
      <w:r>
        <w:rPr>
          <w:rFonts w:ascii="Arial" w:cs="Arial" w:eastAsia="Arial" w:hAnsi="Arial"/>
          <w:sz w:val="22"/>
          <w:szCs w:val="22"/>
        </w:rPr>
        <w:t xml:space="preserve">(art. 1137 C. civ.) devant le tribunal judiciaire</w:t>
      </w:r>
    </w:p>
    <w:p>
      <w:pPr>
        <w:pStyle w:val="ListParagraph"/>
        <w:numPr>
          <w:ilvl w:val="0"/>
          <w:numId w:val="4"/>
        </w:numPr>
        <w:spacing w:after="80"/>
      </w:pPr>
      <w:r>
        <w:rPr>
          <w:rFonts w:ascii="Arial" w:cs="Arial" w:eastAsia="Arial" w:hAnsi="Arial"/>
          <w:b/>
          <w:bCs/>
          <w:sz w:val="22"/>
          <w:szCs w:val="22"/>
        </w:rPr>
        <w:t xml:space="preserve">Saisie conservatoire </w:t>
      </w:r>
      <w:r>
        <w:rPr>
          <w:rFonts w:ascii="Arial" w:cs="Arial" w:eastAsia="Arial" w:hAnsi="Arial"/>
          <w:sz w:val="22"/>
          <w:szCs w:val="22"/>
        </w:rPr>
        <w:t xml:space="preserve">des biens personnels de Leandri et Chalon pour garantir l’exécution</w:t>
      </w:r>
    </w:p>
    <w:p>
      <w:r>
        <w:br w:type="page"/>
      </w:r>
    </w:p>
    <w:p>
      <w:pPr>
        <w:pStyle w:val="Heading1"/>
        <w:spacing w:before="360" w:after="180"/>
      </w:pPr>
      <w:r>
        <w:rPr>
          <w:rFonts w:ascii="Arial" w:cs="Arial" w:eastAsia="Arial" w:hAnsi="Arial"/>
          <w:b/>
          <w:bCs/>
          <w:color w:val="1B3A5C"/>
          <w:sz w:val="32"/>
          <w:szCs w:val="32"/>
        </w:rPr>
        <w:t xml:space="preserve">LIMITES DE L’ANALYSE ET PIÈCES MANQUANTES</w:t>
      </w:r>
    </w:p>
    <w:p>
      <w:pPr>
        <w:pStyle w:val="Heading2"/>
        <w:spacing w:before="240" w:after="180"/>
      </w:pPr>
      <w:r>
        <w:rPr>
          <w:rFonts w:ascii="Arial" w:cs="Arial" w:eastAsia="Arial" w:hAnsi="Arial"/>
          <w:b/>
          <w:bCs/>
          <w:color w:val="2C3E50"/>
          <w:sz w:val="28"/>
          <w:szCs w:val="28"/>
        </w:rPr>
        <w:t xml:space="preserve">Ce que l’analyse démontre solidement</w:t>
      </w:r>
    </w:p>
    <w:p>
      <w:pPr>
        <w:spacing w:after="120"/>
      </w:pPr>
      <w:r>
        <w:rPr>
          <w:rFonts w:ascii="Arial" w:cs="Arial" w:eastAsia="Arial" w:hAnsi="Arial"/>
          <w:sz w:val="22"/>
          <w:szCs w:val="22"/>
        </w:rPr>
        <w:t xml:space="preserve">Tous les constats factuels (pertes cumulées, CP négatifs, trésorerie quasi nulle, valorisation à 70 M€, refus de quitus) sont établis par des documents publics déposés au greffe ou à l’administration fiscale. Ces constats sont irréfutables.</w:t>
      </w:r>
    </w:p>
    <w:p>
      <w:pPr>
        <w:pStyle w:val="Heading2"/>
        <w:spacing w:before="240" w:after="180"/>
      </w:pPr>
      <w:r>
        <w:rPr>
          <w:rFonts w:ascii="Arial" w:cs="Arial" w:eastAsia="Arial" w:hAnsi="Arial"/>
          <w:b/>
          <w:bCs/>
          <w:color w:val="2C3E50"/>
          <w:sz w:val="28"/>
          <w:szCs w:val="28"/>
        </w:rPr>
        <w:t xml:space="preserve">Ce que l’analyse ne peut pas prouver en l’état</w:t>
      </w:r>
    </w:p>
    <w:p>
      <w:pPr>
        <w:pStyle w:val="Heading3"/>
        <w:spacing w:before="240" w:after="180"/>
      </w:pPr>
      <w:r>
        <w:rPr>
          <w:rFonts w:ascii="Arial" w:cs="Arial" w:eastAsia="Arial" w:hAnsi="Arial"/>
          <w:b/>
          <w:bCs/>
          <w:color w:val="2C3E50"/>
          <w:sz w:val="24"/>
          <w:szCs w:val="24"/>
        </w:rPr>
        <w:t xml:space="preserve">L’élément intentionnel</w:t>
      </w:r>
    </w:p>
    <w:p>
      <w:pPr>
        <w:spacing w:after="120"/>
      </w:pPr>
      <w:r>
        <w:rPr>
          <w:rFonts w:ascii="Arial" w:cs="Arial" w:eastAsia="Arial" w:hAnsi="Arial"/>
          <w:sz w:val="22"/>
          <w:szCs w:val="22"/>
        </w:rPr>
        <w:t xml:space="preserve">Pour toute infraction pénale, il faut prouver la mauvaise foi ou l’intention frauduleuse. L’analyse documentaire démontre des anomalies objectives mais ne peut pas, à elle seule, prouver l’intention. Les pièces internes (emails, comptes rendus, correspondances) sont indispensables. Un email de Leandri reconnaissant l’irréalisme du plan d’affaires transformerait une suspicion en preuve.</w:t>
      </w:r>
    </w:p>
    <w:p>
      <w:pPr>
        <w:pStyle w:val="Heading3"/>
        <w:spacing w:before="240" w:after="180"/>
      </w:pPr>
      <w:r>
        <w:rPr>
          <w:rFonts w:ascii="Arial" w:cs="Arial" w:eastAsia="Arial" w:hAnsi="Arial"/>
          <w:b/>
          <w:bCs/>
          <w:color w:val="2C3E50"/>
          <w:sz w:val="24"/>
          <w:szCs w:val="24"/>
        </w:rPr>
        <w:t xml:space="preserve">L’identité des bénéficiaires des charges externes</w:t>
      </w:r>
    </w:p>
    <w:p>
      <w:pPr>
        <w:spacing w:after="120"/>
      </w:pPr>
      <w:r>
        <w:rPr>
          <w:rFonts w:ascii="Arial" w:cs="Arial" w:eastAsia="Arial" w:hAnsi="Arial"/>
          <w:sz w:val="22"/>
          <w:szCs w:val="22"/>
        </w:rPr>
        <w:t xml:space="preserve">Les 10 M€/an de charges externes sont le poste le plus suspect, mais la liasse fiscale ne fournit pas le détail. Seul l’examen du compte 62 (comptes annuels complets) permettrait d’identifier les prestataires et de vérifier l’existence de parties liées.</w:t>
      </w:r>
    </w:p>
    <w:p>
      <w:pPr>
        <w:pStyle w:val="Heading3"/>
        <w:spacing w:before="240" w:after="180"/>
      </w:pPr>
      <w:r>
        <w:rPr>
          <w:rFonts w:ascii="Arial" w:cs="Arial" w:eastAsia="Arial" w:hAnsi="Arial"/>
          <w:b/>
          <w:bCs/>
          <w:color w:val="2C3E50"/>
          <w:sz w:val="24"/>
          <w:szCs w:val="24"/>
        </w:rPr>
        <w:t xml:space="preserve">Les flux intragroupe</w:t>
      </w:r>
    </w:p>
    <w:p>
      <w:pPr>
        <w:spacing w:after="120"/>
      </w:pPr>
      <w:r>
        <w:rPr>
          <w:rFonts w:ascii="Arial" w:cs="Arial" w:eastAsia="Arial" w:hAnsi="Arial"/>
          <w:sz w:val="22"/>
          <w:szCs w:val="22"/>
        </w:rPr>
        <w:t xml:space="preserve">Les « autres dettes » de 47,6 M€ et les obligations convertibles de 24,25 M€ ne sont pas détaillées. Qui a prêté quoi, à quelles conditions, avec quelles contreparties ? Ces informations sont essentielles.</w:t>
      </w:r>
    </w:p>
    <w:p>
      <w:pPr>
        <w:pStyle w:val="Heading3"/>
        <w:spacing w:before="240" w:after="180"/>
      </w:pPr>
      <w:r>
        <w:rPr>
          <w:rFonts w:ascii="Arial" w:cs="Arial" w:eastAsia="Arial" w:hAnsi="Arial"/>
          <w:b/>
          <w:bCs/>
          <w:color w:val="2C3E50"/>
          <w:sz w:val="24"/>
          <w:szCs w:val="24"/>
        </w:rPr>
        <w:t xml:space="preserve">Le rôle précis de Jean-Manuel Rozan</w:t>
      </w:r>
    </w:p>
    <w:p>
      <w:pPr>
        <w:spacing w:after="120"/>
      </w:pPr>
      <w:r>
        <w:rPr>
          <w:rFonts w:ascii="Arial" w:cs="Arial" w:eastAsia="Arial" w:hAnsi="Arial"/>
          <w:sz w:val="22"/>
          <w:szCs w:val="22"/>
        </w:rPr>
        <w:t xml:space="preserve">Son rôle après son départ de la présidence est inconnu : actionnaire restant ? Bénéficiaire de la valorisation ? Participant à l’élaboration du plan d’affaires ? Seul le registre des mouvements de titres et les PV d’AG clarifieront ce point.</w:t>
      </w:r>
    </w:p>
    <w:p>
      <w:r>
        <w:br w:type="page"/>
      </w:r>
    </w:p>
    <w:p>
      <w:pPr>
        <w:pStyle w:val="Heading1"/>
        <w:spacing w:before="360" w:after="180"/>
      </w:pPr>
      <w:r>
        <w:rPr>
          <w:rFonts w:ascii="Arial" w:cs="Arial" w:eastAsia="Arial" w:hAnsi="Arial"/>
          <w:b/>
          <w:bCs/>
          <w:color w:val="1B3A5C"/>
          <w:sz w:val="32"/>
          <w:szCs w:val="32"/>
        </w:rPr>
        <w:t xml:space="preserve">CALENDRIER D’ACTIONS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800"/>
        <w:gridCol w:w="2226"/>
      </w:tblGrid>
      <w:tr>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Priorité</w:t>
            </w:r>
          </w:p>
        </w:tc>
        <w:tc>
          <w:tcPr>
            <w:tcW w:type="dxa" w:w="3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c>
          <w:tcPr>
            <w:tcW w:type="dxa" w:w="1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Délai</w:t>
            </w:r>
          </w:p>
        </w:tc>
        <w:tc>
          <w:tcPr>
            <w:tcW w:type="dxa" w:w="2226"/>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Coût estimé</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URGENTE</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Plainte simple au Procureur de Paris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Immédiat</w:t>
            </w:r>
          </w:p>
        </w:tc>
        <w:tc>
          <w:tcPr>
            <w:tcW w:type="dxa" w:w="22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Gratuit</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URGENTE</w:t>
            </w:r>
          </w:p>
        </w:tc>
        <w:tc>
          <w:tcPr>
            <w:tcW w:type="dxa" w:w="3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Horodater la découverte des faits</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Immédiat</w:t>
            </w:r>
          </w:p>
        </w:tc>
        <w:tc>
          <w:tcPr>
            <w:tcW w:type="dxa" w:w="22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Gratuit</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URGENTE</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Consultation avocat pénaliste (prescription)</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Cette semaine</w:t>
            </w:r>
          </w:p>
        </w:tc>
        <w:tc>
          <w:tcPr>
            <w:tcW w:type="dxa" w:w="22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500-1 500 €</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Haute</w:t>
            </w:r>
          </w:p>
        </w:tc>
        <w:tc>
          <w:tcPr>
            <w:tcW w:type="dxa" w:w="3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Référé art. 145 CPC (communication pièces)</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Sous 1 mois</w:t>
            </w:r>
          </w:p>
        </w:tc>
        <w:tc>
          <w:tcPr>
            <w:tcW w:type="dxa" w:w="22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3 000-5 000 €</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Haute</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Demandes CADA (CIR, CDC, subventions)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Sous 1 mois</w:t>
            </w:r>
          </w:p>
        </w:tc>
        <w:tc>
          <w:tcPr>
            <w:tcW w:type="dxa" w:w="22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Gratuit</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Haute</w:t>
            </w:r>
          </w:p>
        </w:tc>
        <w:tc>
          <w:tcPr>
            <w:tcW w:type="dxa" w:w="3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Demande conventions réglementées (si actionnaire)</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Sous 1 mois</w:t>
            </w:r>
          </w:p>
        </w:tc>
        <w:tc>
          <w:tcPr>
            <w:tcW w:type="dxa" w:w="22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LRAR</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Moyenne</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Constitution dossier de presse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Sous 2 mois</w:t>
            </w:r>
          </w:p>
        </w:tc>
        <w:tc>
          <w:tcPr>
            <w:tcW w:type="dxa" w:w="22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Gratuit</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Moyenne</w:t>
            </w:r>
          </w:p>
        </w:tc>
        <w:tc>
          <w:tcPr>
            <w:tcW w:type="dxa" w:w="3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Identification autres actionnaires lésés</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Sous 3 mois</w:t>
            </w:r>
          </w:p>
        </w:tc>
        <w:tc>
          <w:tcPr>
            <w:tcW w:type="dxa" w:w="22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Variable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Normale</w:t>
            </w:r>
          </w:p>
        </w:tc>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Plainte avec partie civile (si classement)</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 mois après plainte</w:t>
            </w:r>
          </w:p>
        </w:tc>
        <w:tc>
          <w:tcPr>
            <w:tcW w:type="dxa" w:w="22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500-5 000 €</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Normale</w:t>
            </w:r>
          </w:p>
        </w:tc>
        <w:tc>
          <w:tcPr>
            <w:tcW w:type="dxa" w:w="3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Action civile en responsabilité</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Après obtention pièces</w:t>
            </w:r>
          </w:p>
        </w:tc>
        <w:tc>
          <w:tcPr>
            <w:tcW w:type="dxa" w:w="22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5 000-15 000 €</w:t>
            </w:r>
          </w:p>
        </w:tc>
      </w:tr>
    </w:tbl>
    <w:p>
      <w:pPr>
        <w:spacing w:before="200" w:after="0"/>
      </w:pPr>
    </w:p>
    <w:p>
      <w:pPr>
        <w:pStyle w:val="Heading2"/>
        <w:spacing w:before="240" w:after="180"/>
      </w:pPr>
      <w:r>
        <w:rPr>
          <w:rFonts w:ascii="Arial" w:cs="Arial" w:eastAsia="Arial" w:hAnsi="Arial"/>
          <w:b/>
          <w:bCs/>
          <w:color w:val="2C3E50"/>
          <w:sz w:val="28"/>
          <w:szCs w:val="28"/>
        </w:rPr>
        <w:t xml:space="preserve">Budget total estimé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Phase</w:t>
            </w:r>
          </w:p>
        </w:tc>
        <w:tc>
          <w:tcPr>
            <w:tcW w:type="dxa" w:w="4026"/>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Fourchette</w:t>
            </w:r>
          </w:p>
        </w:tc>
      </w:tr>
      <w:tr>
        <w:tc>
          <w:tcPr>
            <w:tcW w:type="dxa" w:w="5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Phase initiale (plainte + référé + CADA)</w:t>
            </w:r>
          </w:p>
        </w:tc>
        <w:tc>
          <w:tcPr>
            <w:tcW w:type="dxa" w:w="40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4 000 à 10 000 €</w:t>
            </w:r>
          </w:p>
        </w:tc>
      </w:tr>
      <w:tr>
        <w:tc>
          <w:tcPr>
            <w:tcW w:type="dxa" w:w="5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Phase d’instruction (partie civile, demandes d’actes)</w:t>
            </w:r>
          </w:p>
        </w:tc>
        <w:tc>
          <w:tcPr>
            <w:tcW w:type="dxa" w:w="40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10 000 à 30 000 €</w:t>
            </w:r>
          </w:p>
        </w:tc>
      </w:tr>
      <w:tr>
        <w:tc>
          <w:tcPr>
            <w:tcW w:type="dxa" w:w="5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Phase de procès (si renvoi en correctionnelle)</w:t>
            </w:r>
          </w:p>
        </w:tc>
        <w:tc>
          <w:tcPr>
            <w:tcW w:type="dxa" w:w="40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30 000 à 60 000 €</w:t>
            </w:r>
          </w:p>
        </w:tc>
      </w:tr>
      <w:tr>
        <w:tc>
          <w:tcPr>
            <w:tcW w:type="dxa" w:w="5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Honoraire de résultat (alternative)</w:t>
            </w:r>
          </w:p>
        </w:tc>
        <w:tc>
          <w:tcPr>
            <w:tcW w:type="dxa" w:w="402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pPr>
              <w:spacing w:after="0"/>
            </w:pPr>
            <w:r>
              <w:rPr>
                <w:rFonts w:ascii="Arial" w:cs="Arial" w:eastAsia="Arial" w:hAnsi="Arial"/>
                <w:sz w:val="20"/>
                <w:szCs w:val="20"/>
              </w:rPr>
              <w:t xml:space="preserve">10-20 % des dommages-intérêts</w:t>
            </w:r>
          </w:p>
        </w:tc>
      </w:tr>
    </w:tbl>
    <w:p>
      <w:pPr>
        <w:spacing w:before="100" w:after="0"/>
      </w:pPr>
    </w:p>
    <w:p>
      <w:pPr>
        <w:spacing w:after="120"/>
      </w:pPr>
      <w:r>
        <w:rPr>
          <w:rFonts w:ascii="Arial" w:cs="Arial" w:eastAsia="Arial" w:hAnsi="Arial"/>
          <w:sz w:val="22"/>
          <w:szCs w:val="22"/>
        </w:rPr>
        <w:t xml:space="preserve">Certains avocats acceptent un honoraire de résultat combiné à un forfait réduit, ce qui limite le risque financier initial. L’enjeu (préjudice estimé à 60-70 M€) justifie largement l’investissement.</w:t>
      </w:r>
    </w:p>
    <w:p>
      <w:r>
        <w:br w:type="page"/>
      </w:r>
    </w:p>
    <w:p>
      <w:pPr>
        <w:pStyle w:val="Heading1"/>
        <w:spacing w:before="360" w:after="180"/>
      </w:pPr>
      <w:r>
        <w:rPr>
          <w:rFonts w:ascii="Arial" w:cs="Arial" w:eastAsia="Arial" w:hAnsi="Arial"/>
          <w:b/>
          <w:bCs/>
          <w:color w:val="1B3A5C"/>
          <w:sz w:val="32"/>
          <w:szCs w:val="32"/>
        </w:rPr>
        <w:t xml:space="preserve">CONCLUSION</w:t>
      </w:r>
    </w:p>
    <w:p>
      <w:pPr>
        <w:spacing w:after="120"/>
      </w:pPr>
      <w:r>
        <w:rPr>
          <w:rFonts w:ascii="Arial" w:cs="Arial" w:eastAsia="Arial" w:hAnsi="Arial"/>
          <w:sz w:val="22"/>
          <w:szCs w:val="22"/>
        </w:rPr>
        <w:t xml:space="preserve">Le dossier documentaire constitué à partir des liasses fiscales et des actes sociaux de Qwant SAS, Angels 1 et Angels 2 établit sans ambiguïté :</w:t>
      </w:r>
    </w:p>
    <w:p>
      <w:pPr>
        <w:pStyle w:val="ListParagraph"/>
        <w:numPr>
          <w:ilvl w:val="0"/>
          <w:numId w:val="5"/>
        </w:numPr>
        <w:spacing w:after="80"/>
      </w:pPr>
      <w:r>
        <w:rPr>
          <w:rFonts w:ascii="Arial" w:cs="Arial" w:eastAsia="Arial" w:hAnsi="Arial"/>
          <w:sz w:val="22"/>
          <w:szCs w:val="22"/>
        </w:rPr>
        <w:t xml:space="preserve">Qwant SAS n’a jamais été une entreprise financièrement viable</w:t>
      </w:r>
      <w:r>
        <w:rPr>
          <w:rFonts w:ascii="Arial" w:cs="Arial" w:eastAsia="Arial" w:hAnsi="Arial"/>
          <w:b w:val="false"/>
          <w:bCs w:val="false"/>
          <w:sz w:val="22"/>
          <w:szCs w:val="22"/>
        </w:rPr>
        <w:t xml:space="preserve"> : 63,35 M€ de pertes cumulées sur 6 exercices, aucun exercice bénéficiaire, CAF négative chaque année.</w:t>
      </w:r>
    </w:p>
    <w:p>
      <w:pPr>
        <w:pStyle w:val="ListParagraph"/>
        <w:numPr>
          <w:ilvl w:val="0"/>
          <w:numId w:val="5"/>
        </w:numPr>
        <w:spacing w:after="80"/>
      </w:pPr>
      <w:r>
        <w:rPr>
          <w:rFonts w:ascii="Arial" w:cs="Arial" w:eastAsia="Arial" w:hAnsi="Arial"/>
          <w:sz w:val="22"/>
          <w:szCs w:val="22"/>
        </w:rPr>
        <w:t xml:space="preserve">La valorisation à 70 M€ était déconnectée de la réalité</w:t>
      </w:r>
      <w:r>
        <w:rPr>
          <w:rFonts w:ascii="Arial" w:cs="Arial" w:eastAsia="Arial" w:hAnsi="Arial"/>
          <w:b w:val="false"/>
          <w:bCs w:val="false"/>
          <w:sz w:val="22"/>
          <w:szCs w:val="22"/>
        </w:rPr>
        <w:t xml:space="preserve"> : 137× le CA, 229× les CP, fondée sur un plan d’affaires qui s’est révélé totalement irréaliste.</w:t>
      </w:r>
    </w:p>
    <w:p>
      <w:pPr>
        <w:pStyle w:val="ListParagraph"/>
        <w:numPr>
          <w:ilvl w:val="0"/>
          <w:numId w:val="5"/>
        </w:numPr>
        <w:spacing w:after="80"/>
      </w:pPr>
      <w:r>
        <w:rPr>
          <w:rFonts w:ascii="Arial" w:cs="Arial" w:eastAsia="Arial" w:hAnsi="Arial"/>
          <w:sz w:val="22"/>
          <w:szCs w:val="22"/>
        </w:rPr>
        <w:t xml:space="preserve">Les dirigeants ont poursuivi une activité déficitaire</w:t>
      </w:r>
      <w:r>
        <w:rPr>
          <w:rFonts w:ascii="Arial" w:cs="Arial" w:eastAsia="Arial" w:hAnsi="Arial"/>
          <w:b w:val="false"/>
          <w:bCs w:val="false"/>
          <w:sz w:val="22"/>
          <w:szCs w:val="22"/>
        </w:rPr>
        <w:t xml:space="preserve"> en violation de l’article L. 225-248, accumulant 30,71 M€ de capitaux propres négatifs.</w:t>
      </w:r>
    </w:p>
    <w:p>
      <w:pPr>
        <w:pStyle w:val="ListParagraph"/>
        <w:numPr>
          <w:ilvl w:val="0"/>
          <w:numId w:val="5"/>
        </w:numPr>
        <w:spacing w:after="80"/>
      </w:pPr>
      <w:r>
        <w:rPr>
          <w:rFonts w:ascii="Arial" w:cs="Arial" w:eastAsia="Arial" w:hAnsi="Arial"/>
          <w:sz w:val="22"/>
          <w:szCs w:val="22"/>
        </w:rPr>
        <w:t xml:space="preserve">Les comptes présentaient des anomalies majeures</w:t>
      </w:r>
      <w:r>
        <w:rPr>
          <w:rFonts w:ascii="Arial" w:cs="Arial" w:eastAsia="Arial" w:hAnsi="Arial"/>
          <w:b w:val="false"/>
          <w:bCs w:val="false"/>
          <w:sz w:val="22"/>
          <w:szCs w:val="22"/>
        </w:rPr>
        <w:t xml:space="preserve"> : production stockée à 459 % du CA, créances surévaluées de 10 M€, primes d’émission disparues de 21 M€.</w:t>
      </w:r>
    </w:p>
    <w:p>
      <w:pPr>
        <w:pStyle w:val="ListParagraph"/>
        <w:numPr>
          <w:ilvl w:val="0"/>
          <w:numId w:val="5"/>
        </w:numPr>
        <w:spacing w:after="80"/>
      </w:pPr>
      <w:r>
        <w:rPr>
          <w:rFonts w:ascii="Arial" w:cs="Arial" w:eastAsia="Arial" w:hAnsi="Arial"/>
          <w:sz w:val="22"/>
          <w:szCs w:val="22"/>
        </w:rPr>
        <w:t xml:space="preserve">Les actionnaires eux-mêmes ont exprimé leur défiance</w:t>
      </w:r>
      <w:r>
        <w:rPr>
          <w:rFonts w:ascii="Arial" w:cs="Arial" w:eastAsia="Arial" w:hAnsi="Arial"/>
          <w:b w:val="false"/>
          <w:bCs w:val="false"/>
          <w:sz w:val="22"/>
          <w:szCs w:val="22"/>
        </w:rPr>
        <w:t xml:space="preserve"> par le refus de quitus à Leandri (61 % contre dans Angels 1).</w:t>
      </w:r>
    </w:p>
    <w:p>
      <w:pPr>
        <w:pStyle w:val="ListParagraph"/>
        <w:numPr>
          <w:ilvl w:val="0"/>
          <w:numId w:val="5"/>
        </w:numPr>
        <w:spacing w:after="80"/>
      </w:pPr>
      <w:r>
        <w:rPr>
          <w:rFonts w:ascii="Arial" w:cs="Arial" w:eastAsia="Arial" w:hAnsi="Arial"/>
          <w:sz w:val="22"/>
          <w:szCs w:val="22"/>
        </w:rPr>
        <w:t xml:space="preserve">La Cour des comptes a jugé l’affaire suffisamment grave</w:t>
      </w:r>
      <w:r>
        <w:rPr>
          <w:rFonts w:ascii="Arial" w:cs="Arial" w:eastAsia="Arial" w:hAnsi="Arial"/>
          <w:b w:val="false"/>
          <w:bCs w:val="false"/>
          <w:sz w:val="22"/>
          <w:szCs w:val="22"/>
        </w:rPr>
        <w:t xml:space="preserve"> pour saisir le Parquet National Financier.</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3"/>
              <w:left w:val="single" w:color="BDC3C7" w:sz="1"/>
              <w:bottom w:val="single" w:color="BDC3C7" w:sz="1"/>
              <w:right w:val="single" w:color="BDC3C7" w:sz="1"/>
            </w:tcBorders>
            <w:shd w:fill="FADBD8"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RECOMMANDATION FINALE</w:t>
            </w:r>
          </w:p>
          <w:p>
            <w:pPr>
              <w:spacing w:after="0"/>
            </w:pPr>
            <w:r>
              <w:rPr>
                <w:rFonts w:ascii="Arial" w:cs="Arial" w:eastAsia="Arial" w:hAnsi="Arial"/>
                <w:sz w:val="20"/>
                <w:szCs w:val="20"/>
              </w:rPr>
              <w:t xml:space="preserve">L’ensemble de ces éléments justifie pleinement le dépôt d’une plainte pénale et l’engagement d’actions civiles. Le risque principal est la prescription. L’action doit être engagée sans délai.</w:t>
            </w:r>
          </w:p>
        </w:tc>
      </w:tr>
    </w:tbl>
    <w:p>
      <w:pPr>
        <w:spacing w:before="400" w:after="0"/>
      </w:pPr>
    </w:p>
    <w:p>
      <w:pPr>
        <w:spacing w:after="120"/>
      </w:pPr>
      <w:r>
        <w:rPr>
          <w:rFonts w:ascii="Arial" w:cs="Arial" w:eastAsia="Arial" w:hAnsi="Arial"/>
          <w:i/>
          <w:iCs/>
          <w:color w:val="7F8C8D"/>
          <w:sz w:val="18"/>
          <w:szCs w:val="18"/>
        </w:rPr>
        <w:t xml:space="preserve">Ce document ne constitue pas un avis juridique et ne remplace pas la consultation d’un avocat. Les qualifications pénales et les analyses de prescription doivent être validées par un professionnel du droit.</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CONFIDENTIEL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CONFIDENTIEL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tabs>
        <w:tab w:val="right" w:pos="9026"/>
      </w:tabs>
    </w:pPr>
    <w:r>
      <w:rPr>
        <w:rFonts w:ascii="Arial" w:cs="Arial" w:eastAsia="Arial" w:hAnsi="Arial"/>
        <w:i/>
        <w:iCs/>
        <w:color w:val="7F8C8D"/>
        <w:sz w:val="18"/>
        <w:szCs w:val="18"/>
      </w:rPr>
      <w:t xml:space="preserve">Rapport d’investigation — Qwant SAS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pPr>
    <w:r>
      <w:rPr>
        <w:rFonts w:ascii="Arial" w:cs="Arial" w:eastAsia="Arial" w:hAnsi="Arial"/>
        <w:i/>
        <w:iCs/>
        <w:color w:val="7F8C8D"/>
        <w:sz w:val="18"/>
        <w:szCs w:val="18"/>
      </w:rPr>
      <w:t xml:space="preserve">Rapport d’investigation — Qwant SAS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2026-03-05T11:42:21.451Z</dcterms:created>
  <dcterms:modified xsi:type="dcterms:W3CDTF">2026-03-05T11:42:21.451Z</dcterms:modified>
</cp:coreProperties>
</file>

<file path=docProps/custom.xml><?xml version="1.0" encoding="utf-8"?>
<Properties xmlns="http://schemas.openxmlformats.org/officeDocument/2006/custom-properties" xmlns:vt="http://schemas.openxmlformats.org/officeDocument/2006/docPropsVTypes"/>
</file>