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8D9A2" w14:textId="784081F7" w:rsidR="00106E02" w:rsidRDefault="00456183" w:rsidP="00456183">
      <w:pPr>
        <w:pStyle w:val="Title"/>
      </w:pPr>
      <w:r w:rsidRPr="00456183">
        <w:t xml:space="preserve">From Outages to Always-On: </w:t>
      </w:r>
      <w:r w:rsidR="00B4247D">
        <w:t>d</w:t>
      </w:r>
      <w:r w:rsidRPr="00456183">
        <w:t xml:space="preserve">ata </w:t>
      </w:r>
      <w:r w:rsidR="00B4247D">
        <w:t>s</w:t>
      </w:r>
      <w:r w:rsidRPr="00456183">
        <w:t xml:space="preserve">ervice </w:t>
      </w:r>
      <w:r w:rsidR="00B4247D">
        <w:t>and application-level t</w:t>
      </w:r>
      <w:r w:rsidRPr="00456183">
        <w:t xml:space="preserve">ips </w:t>
      </w:r>
    </w:p>
    <w:p w14:paraId="0112A39A" w14:textId="77777777" w:rsidR="00456183" w:rsidRDefault="00456183"/>
    <w:p w14:paraId="35CE2A81" w14:textId="28444AF5" w:rsidR="00456183" w:rsidRDefault="00456183" w:rsidP="00456183">
      <w:r w:rsidRPr="00456183">
        <w:t>I like to say that Azure is simple… until you go multi-region.</w:t>
      </w:r>
      <w:r>
        <w:t xml:space="preserve"> </w:t>
      </w:r>
    </w:p>
    <w:p w14:paraId="2DFD03C7" w14:textId="77777777" w:rsidR="00432630" w:rsidRPr="00432630" w:rsidRDefault="00432630" w:rsidP="00432630">
      <w:r w:rsidRPr="00432630">
        <w:t>Before getting into the details, let’s briefly revisit the difference between high availability (HA) and disaster recovery (DR).</w:t>
      </w:r>
    </w:p>
    <w:p w14:paraId="5E86A875" w14:textId="77777777" w:rsidR="00432630" w:rsidRPr="00432630" w:rsidRDefault="00432630" w:rsidP="00432630">
      <w:r w:rsidRPr="00432630">
        <w:t>HA and DR exist on a spectrum, with increasing levels of resilience depending on the type of failure you want to withstand:</w:t>
      </w:r>
    </w:p>
    <w:p w14:paraId="6EF96F10" w14:textId="4FB44C57" w:rsidR="00432630" w:rsidRPr="00432630" w:rsidRDefault="00432630" w:rsidP="00432630">
      <w:pPr>
        <w:numPr>
          <w:ilvl w:val="0"/>
          <w:numId w:val="2"/>
        </w:numPr>
      </w:pPr>
      <w:r w:rsidRPr="00432630">
        <w:rPr>
          <w:b/>
          <w:bCs/>
        </w:rPr>
        <w:t>Application-level failures</w:t>
      </w:r>
      <w:r w:rsidRPr="00432630">
        <w:t>: In some cases, you may simply want to tolerate application bugs—for example, a memory leak introduced by developers. Running multiple instances of the application on separate virtual machines, even on the same physical host, can already prevent a full outage when one instance exhausts its memory.</w:t>
      </w:r>
      <w:r>
        <w:t xml:space="preserve"> That is for instance, what you would get if you spin up 2 instances of an Azure App Service within the same zone (no zone redundancy).</w:t>
      </w:r>
    </w:p>
    <w:p w14:paraId="72269B7E" w14:textId="167CAA00" w:rsidR="00432630" w:rsidRPr="00432630" w:rsidRDefault="00432630" w:rsidP="00432630">
      <w:pPr>
        <w:numPr>
          <w:ilvl w:val="0"/>
          <w:numId w:val="2"/>
        </w:numPr>
      </w:pPr>
      <w:r w:rsidRPr="00432630">
        <w:rPr>
          <w:b/>
          <w:bCs/>
        </w:rPr>
        <w:t>Hardware failures</w:t>
      </w:r>
      <w:r w:rsidRPr="00432630">
        <w:t>: To handle server or component failures, workloads should be distributed across multiple racks.</w:t>
      </w:r>
      <w:r>
        <w:t xml:space="preserve"> That is what you would get if you’d host virtual machines on availability sets.</w:t>
      </w:r>
    </w:p>
    <w:p w14:paraId="4E281327" w14:textId="59D464B3" w:rsidR="00432630" w:rsidRPr="00432630" w:rsidRDefault="00432630" w:rsidP="00432630">
      <w:pPr>
        <w:numPr>
          <w:ilvl w:val="0"/>
          <w:numId w:val="2"/>
        </w:numPr>
      </w:pPr>
      <w:r w:rsidRPr="00432630">
        <w:rPr>
          <w:b/>
          <w:bCs/>
        </w:rPr>
        <w:t xml:space="preserve">Data </w:t>
      </w:r>
      <w:r w:rsidR="00832740" w:rsidRPr="00432630">
        <w:rPr>
          <w:b/>
          <w:bCs/>
        </w:rPr>
        <w:t>centre</w:t>
      </w:r>
      <w:r w:rsidRPr="00432630">
        <w:rPr>
          <w:b/>
          <w:bCs/>
        </w:rPr>
        <w:t>–level outages</w:t>
      </w:r>
      <w:r w:rsidRPr="00432630">
        <w:t xml:space="preserve">: To withstand more severe incidents, workloads should be spread across multiple data </w:t>
      </w:r>
      <w:proofErr w:type="spellStart"/>
      <w:r w:rsidRPr="00432630">
        <w:t>centers</w:t>
      </w:r>
      <w:proofErr w:type="spellEnd"/>
      <w:r w:rsidRPr="00432630">
        <w:t>, such as by deploying them across multiple availability zones.</w:t>
      </w:r>
      <w:r w:rsidR="00206F2C">
        <w:t xml:space="preserve"> You can achieve this by turning on zone-redundancy on Azure App Service or use zone-redundant node pools in AKS.</w:t>
      </w:r>
    </w:p>
    <w:p w14:paraId="7273AC09" w14:textId="5F32F828" w:rsidR="00432630" w:rsidRPr="00432630" w:rsidRDefault="00432630" w:rsidP="00432630">
      <w:pPr>
        <w:numPr>
          <w:ilvl w:val="0"/>
          <w:numId w:val="2"/>
        </w:numPr>
      </w:pPr>
      <w:r w:rsidRPr="00432630">
        <w:rPr>
          <w:b/>
          <w:bCs/>
        </w:rPr>
        <w:t>Regional outages</w:t>
      </w:r>
      <w:r w:rsidRPr="00432630">
        <w:t xml:space="preserve">: Finally, to survive major outages, </w:t>
      </w:r>
      <w:r w:rsidR="00206F2C">
        <w:t xml:space="preserve">such as an earthquake, a country-level power supply issue, etc., </w:t>
      </w:r>
      <w:r w:rsidRPr="00432630">
        <w:t xml:space="preserve">workloads must be deployed across geographically distant data </w:t>
      </w:r>
      <w:proofErr w:type="spellStart"/>
      <w:r w:rsidRPr="00432630">
        <w:t>centers</w:t>
      </w:r>
      <w:proofErr w:type="spellEnd"/>
      <w:r w:rsidR="00206F2C">
        <w:t>. You can achieve this by deploying workloads across multiple Azure regions in active/active or active/passive mode.</w:t>
      </w:r>
    </w:p>
    <w:p w14:paraId="299E0A74" w14:textId="72248D4D" w:rsidR="00206F2C" w:rsidRDefault="00206F2C" w:rsidP="00456183"/>
    <w:p w14:paraId="1E91C61E" w14:textId="76087153" w:rsidR="00F533E0" w:rsidRDefault="00206F2C" w:rsidP="00456183">
      <w:r>
        <w:t>In this article, I will highlight how to minimize downtime and friction for applications in case of major outage</w:t>
      </w:r>
      <w:r w:rsidR="00F533E0">
        <w:t xml:space="preserve"> impacting the </w:t>
      </w:r>
      <w:r w:rsidR="00F533E0" w:rsidRPr="00A46DCD">
        <w:rPr>
          <w:b/>
          <w:bCs/>
        </w:rPr>
        <w:t>availability</w:t>
      </w:r>
      <w:r w:rsidR="00F533E0">
        <w:t xml:space="preserve"> of a service. I’m not covering data corruption or cyber attacks (</w:t>
      </w:r>
      <w:proofErr w:type="spellStart"/>
      <w:r w:rsidR="00F533E0">
        <w:t>eg</w:t>
      </w:r>
      <w:proofErr w:type="spellEnd"/>
      <w:r w:rsidR="00F533E0">
        <w:t>: ransomware)</w:t>
      </w:r>
      <w:r w:rsidR="00A46DCD">
        <w:t>, which can only be recovered using a valid backup</w:t>
      </w:r>
      <w:r>
        <w:t>.</w:t>
      </w:r>
      <w:r w:rsidR="000A3040">
        <w:t xml:space="preserve"> So, I’m going to focus on the </w:t>
      </w:r>
      <w:r w:rsidR="000A3040" w:rsidRPr="00212732">
        <w:rPr>
          <w:b/>
          <w:bCs/>
        </w:rPr>
        <w:t>Recovery Time Objective (RTO)</w:t>
      </w:r>
      <w:r w:rsidR="000A3040">
        <w:t xml:space="preserve">, not on </w:t>
      </w:r>
      <w:r w:rsidR="000A3040" w:rsidRPr="00212732">
        <w:rPr>
          <w:b/>
          <w:bCs/>
        </w:rPr>
        <w:t>Recovery Point Objective (RPO)</w:t>
      </w:r>
      <w:r w:rsidR="000A3040">
        <w:t>.</w:t>
      </w:r>
      <w:r w:rsidR="00212732">
        <w:t xml:space="preserve"> </w:t>
      </w:r>
      <w:r w:rsidR="00D816E0">
        <w:t>Potential</w:t>
      </w:r>
      <w:r w:rsidR="00036F76">
        <w:t xml:space="preserve"> data loss and data corruption</w:t>
      </w:r>
      <w:r w:rsidR="00D816E0">
        <w:t xml:space="preserve"> are out of scope</w:t>
      </w:r>
      <w:r w:rsidR="00036F76">
        <w:t>.</w:t>
      </w:r>
      <w:r>
        <w:t xml:space="preserve"> </w:t>
      </w:r>
    </w:p>
    <w:p w14:paraId="2D0A8BD0" w14:textId="19A2121B" w:rsidR="00904C15" w:rsidRDefault="00904C15" w:rsidP="00904C15">
      <w:pPr>
        <w:pStyle w:val="Title"/>
      </w:pPr>
      <w:r>
        <w:t>Looking at Azure SQL</w:t>
      </w:r>
    </w:p>
    <w:p w14:paraId="634B7DDB" w14:textId="4B35331A" w:rsidR="00206F2C" w:rsidRDefault="001A0CF2" w:rsidP="00456183">
      <w:r>
        <w:t xml:space="preserve">Let’s first </w:t>
      </w:r>
      <w:r w:rsidR="00904C15">
        <w:t>analyse</w:t>
      </w:r>
      <w:r>
        <w:t xml:space="preserve"> the different </w:t>
      </w:r>
      <w:r w:rsidR="00DF4067">
        <w:t xml:space="preserve">data replication </w:t>
      </w:r>
      <w:r>
        <w:t xml:space="preserve">possibilities with Azure SQL. </w:t>
      </w:r>
      <w:r w:rsidRPr="00F533E0">
        <w:rPr>
          <w:i/>
          <w:iCs/>
        </w:rPr>
        <w:t>Table 1</w:t>
      </w:r>
      <w:r>
        <w:t xml:space="preserve"> summarizes the different capabilities.</w:t>
      </w:r>
    </w:p>
    <w:p w14:paraId="28D43239" w14:textId="77777777" w:rsidR="001A0CF2" w:rsidRDefault="001A0CF2" w:rsidP="00456183"/>
    <w:p w14:paraId="7DBEBFB5" w14:textId="77777777" w:rsidR="001A0CF2" w:rsidRDefault="001A0CF2" w:rsidP="00456183"/>
    <w:p w14:paraId="7D67B443" w14:textId="77777777" w:rsidR="001A0CF2" w:rsidRDefault="001A0CF2" w:rsidP="00456183"/>
    <w:p w14:paraId="3118B323" w14:textId="77777777" w:rsidR="001A0CF2" w:rsidRDefault="001A0CF2" w:rsidP="00456183"/>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3"/>
        <w:gridCol w:w="2712"/>
        <w:gridCol w:w="2315"/>
        <w:gridCol w:w="2936"/>
      </w:tblGrid>
      <w:tr w:rsidR="001A0CF2" w:rsidRPr="001A0CF2" w14:paraId="6AC936E6" w14:textId="77777777" w:rsidTr="001A0CF2">
        <w:trPr>
          <w:tblHeader/>
          <w:tblCellSpacing w:w="15" w:type="dxa"/>
        </w:trPr>
        <w:tc>
          <w:tcPr>
            <w:tcW w:w="0" w:type="auto"/>
            <w:vAlign w:val="center"/>
            <w:hideMark/>
          </w:tcPr>
          <w:p w14:paraId="778A2B9C" w14:textId="5F21E40C" w:rsidR="001A0CF2" w:rsidRPr="001A0CF2" w:rsidRDefault="001A0CF2" w:rsidP="001A0CF2">
            <w:pPr>
              <w:rPr>
                <w:b/>
                <w:bCs/>
              </w:rPr>
            </w:pPr>
          </w:p>
        </w:tc>
        <w:tc>
          <w:tcPr>
            <w:tcW w:w="0" w:type="auto"/>
            <w:vAlign w:val="center"/>
            <w:hideMark/>
          </w:tcPr>
          <w:p w14:paraId="0AB7F876" w14:textId="77777777" w:rsidR="001A0CF2" w:rsidRPr="001A0CF2" w:rsidRDefault="001A0CF2" w:rsidP="001A0CF2">
            <w:pPr>
              <w:rPr>
                <w:b/>
                <w:bCs/>
              </w:rPr>
            </w:pPr>
            <w:r w:rsidRPr="001A0CF2">
              <w:rPr>
                <w:b/>
                <w:bCs/>
              </w:rPr>
              <w:t>Geo-replica</w:t>
            </w:r>
          </w:p>
        </w:tc>
        <w:tc>
          <w:tcPr>
            <w:tcW w:w="0" w:type="auto"/>
            <w:vAlign w:val="center"/>
            <w:hideMark/>
          </w:tcPr>
          <w:p w14:paraId="4EC372D9" w14:textId="77777777" w:rsidR="001A0CF2" w:rsidRPr="001A0CF2" w:rsidRDefault="001A0CF2" w:rsidP="001A0CF2">
            <w:pPr>
              <w:rPr>
                <w:b/>
                <w:bCs/>
              </w:rPr>
            </w:pPr>
            <w:r w:rsidRPr="001A0CF2">
              <w:rPr>
                <w:b/>
                <w:bCs/>
              </w:rPr>
              <w:t>Named replica</w:t>
            </w:r>
          </w:p>
        </w:tc>
        <w:tc>
          <w:tcPr>
            <w:tcW w:w="0" w:type="auto"/>
            <w:vAlign w:val="center"/>
            <w:hideMark/>
          </w:tcPr>
          <w:p w14:paraId="3B19E093" w14:textId="77777777" w:rsidR="001A0CF2" w:rsidRPr="001A0CF2" w:rsidRDefault="001A0CF2" w:rsidP="001A0CF2">
            <w:pPr>
              <w:rPr>
                <w:b/>
                <w:bCs/>
              </w:rPr>
            </w:pPr>
            <w:r w:rsidRPr="001A0CF2">
              <w:rPr>
                <w:b/>
                <w:bCs/>
              </w:rPr>
              <w:t>Geo-restore</w:t>
            </w:r>
          </w:p>
        </w:tc>
      </w:tr>
      <w:tr w:rsidR="001A0CF2" w:rsidRPr="001A0CF2" w14:paraId="149AD251" w14:textId="77777777" w:rsidTr="001A0CF2">
        <w:trPr>
          <w:tblCellSpacing w:w="15" w:type="dxa"/>
        </w:trPr>
        <w:tc>
          <w:tcPr>
            <w:tcW w:w="0" w:type="auto"/>
            <w:vAlign w:val="center"/>
            <w:hideMark/>
          </w:tcPr>
          <w:p w14:paraId="444C0B0B" w14:textId="77777777" w:rsidR="001A0CF2" w:rsidRPr="001A0CF2" w:rsidRDefault="001A0CF2" w:rsidP="001A0CF2">
            <w:r w:rsidRPr="001A0CF2">
              <w:rPr>
                <w:b/>
                <w:bCs/>
              </w:rPr>
              <w:t>Definition</w:t>
            </w:r>
          </w:p>
        </w:tc>
        <w:tc>
          <w:tcPr>
            <w:tcW w:w="0" w:type="auto"/>
            <w:vAlign w:val="center"/>
            <w:hideMark/>
          </w:tcPr>
          <w:p w14:paraId="345077A5" w14:textId="77777777" w:rsidR="001A0CF2" w:rsidRPr="001A0CF2" w:rsidRDefault="001A0CF2" w:rsidP="001A0CF2">
            <w:r w:rsidRPr="001A0CF2">
              <w:t>Active geo-replication creates a continuously updated secondary database in another Azure region</w:t>
            </w:r>
          </w:p>
        </w:tc>
        <w:tc>
          <w:tcPr>
            <w:tcW w:w="0" w:type="auto"/>
            <w:vAlign w:val="center"/>
            <w:hideMark/>
          </w:tcPr>
          <w:p w14:paraId="0E0AB5D5" w14:textId="77777777" w:rsidR="001A0CF2" w:rsidRPr="001A0CF2" w:rsidRDefault="001A0CF2" w:rsidP="001A0CF2">
            <w:r w:rsidRPr="001A0CF2">
              <w:t>A read-only replica of the primary database in the same region (Hyperscale tier)</w:t>
            </w:r>
          </w:p>
        </w:tc>
        <w:tc>
          <w:tcPr>
            <w:tcW w:w="0" w:type="auto"/>
            <w:vAlign w:val="center"/>
            <w:hideMark/>
          </w:tcPr>
          <w:p w14:paraId="4BEE6B65" w14:textId="381FD977" w:rsidR="001A0CF2" w:rsidRPr="001A0CF2" w:rsidRDefault="001A0CF2" w:rsidP="001A0CF2">
            <w:r w:rsidRPr="001A0CF2">
              <w:t>Restore a database from geo-redundant backups stored in Azure Storage</w:t>
            </w:r>
            <w:r>
              <w:t xml:space="preserve"> (only possible when working with paired regions)</w:t>
            </w:r>
          </w:p>
        </w:tc>
      </w:tr>
      <w:tr w:rsidR="001A0CF2" w:rsidRPr="001A0CF2" w14:paraId="1F3EEC6C" w14:textId="77777777" w:rsidTr="001A0CF2">
        <w:trPr>
          <w:tblCellSpacing w:w="15" w:type="dxa"/>
        </w:trPr>
        <w:tc>
          <w:tcPr>
            <w:tcW w:w="0" w:type="auto"/>
            <w:vAlign w:val="center"/>
            <w:hideMark/>
          </w:tcPr>
          <w:p w14:paraId="128331FD" w14:textId="77777777" w:rsidR="001A0CF2" w:rsidRPr="001A0CF2" w:rsidRDefault="001A0CF2" w:rsidP="001A0CF2">
            <w:r w:rsidRPr="001A0CF2">
              <w:rPr>
                <w:b/>
                <w:bCs/>
              </w:rPr>
              <w:t>Use Case</w:t>
            </w:r>
          </w:p>
        </w:tc>
        <w:tc>
          <w:tcPr>
            <w:tcW w:w="0" w:type="auto"/>
            <w:vAlign w:val="center"/>
            <w:hideMark/>
          </w:tcPr>
          <w:p w14:paraId="4E21721A" w14:textId="77777777" w:rsidR="001A0CF2" w:rsidRPr="001A0CF2" w:rsidRDefault="001A0CF2" w:rsidP="001A0CF2">
            <w:r w:rsidRPr="001A0CF2">
              <w:t>Disaster recovery, business continuity, cross-region read scale-out</w:t>
            </w:r>
          </w:p>
        </w:tc>
        <w:tc>
          <w:tcPr>
            <w:tcW w:w="0" w:type="auto"/>
            <w:vAlign w:val="center"/>
            <w:hideMark/>
          </w:tcPr>
          <w:p w14:paraId="74233C50" w14:textId="77777777" w:rsidR="001A0CF2" w:rsidRPr="001A0CF2" w:rsidRDefault="001A0CF2" w:rsidP="001A0CF2">
            <w:r w:rsidRPr="001A0CF2">
              <w:t>Local read scale-out, offloading heavy read workloads</w:t>
            </w:r>
          </w:p>
        </w:tc>
        <w:tc>
          <w:tcPr>
            <w:tcW w:w="0" w:type="auto"/>
            <w:vAlign w:val="center"/>
            <w:hideMark/>
          </w:tcPr>
          <w:p w14:paraId="06CDC659" w14:textId="77777777" w:rsidR="001A0CF2" w:rsidRPr="001A0CF2" w:rsidRDefault="001A0CF2" w:rsidP="001A0CF2">
            <w:r w:rsidRPr="001A0CF2">
              <w:t>Recovery from accidental deletion or regional outage when replication wasn’t configured</w:t>
            </w:r>
          </w:p>
        </w:tc>
      </w:tr>
      <w:tr w:rsidR="001A0CF2" w:rsidRPr="001A0CF2" w14:paraId="526675EA" w14:textId="77777777" w:rsidTr="001A0CF2">
        <w:trPr>
          <w:tblCellSpacing w:w="15" w:type="dxa"/>
        </w:trPr>
        <w:tc>
          <w:tcPr>
            <w:tcW w:w="0" w:type="auto"/>
            <w:vAlign w:val="center"/>
            <w:hideMark/>
          </w:tcPr>
          <w:p w14:paraId="4CF3F22F" w14:textId="77777777" w:rsidR="001A0CF2" w:rsidRPr="001A0CF2" w:rsidRDefault="001A0CF2" w:rsidP="001A0CF2">
            <w:r w:rsidRPr="001A0CF2">
              <w:rPr>
                <w:b/>
                <w:bCs/>
              </w:rPr>
              <w:t>Failover</w:t>
            </w:r>
          </w:p>
        </w:tc>
        <w:tc>
          <w:tcPr>
            <w:tcW w:w="0" w:type="auto"/>
            <w:vAlign w:val="center"/>
            <w:hideMark/>
          </w:tcPr>
          <w:p w14:paraId="459EE671" w14:textId="77777777" w:rsidR="001A0CF2" w:rsidRPr="001A0CF2" w:rsidRDefault="001A0CF2" w:rsidP="001A0CF2">
            <w:r w:rsidRPr="001A0CF2">
              <w:t>Manual or automatic (via failover groups)</w:t>
            </w:r>
          </w:p>
        </w:tc>
        <w:tc>
          <w:tcPr>
            <w:tcW w:w="0" w:type="auto"/>
            <w:vAlign w:val="center"/>
            <w:hideMark/>
          </w:tcPr>
          <w:p w14:paraId="7BFB5011" w14:textId="77777777" w:rsidR="001A0CF2" w:rsidRPr="001A0CF2" w:rsidRDefault="001A0CF2" w:rsidP="001A0CF2">
            <w:r w:rsidRPr="001A0CF2">
              <w:t>No failover; purely for read scale-out</w:t>
            </w:r>
          </w:p>
        </w:tc>
        <w:tc>
          <w:tcPr>
            <w:tcW w:w="0" w:type="auto"/>
            <w:vAlign w:val="center"/>
            <w:hideMark/>
          </w:tcPr>
          <w:p w14:paraId="733BA644" w14:textId="77777777" w:rsidR="001A0CF2" w:rsidRPr="001A0CF2" w:rsidRDefault="001A0CF2" w:rsidP="001A0CF2">
            <w:r w:rsidRPr="001A0CF2">
              <w:t>No failover; requires restore operation</w:t>
            </w:r>
          </w:p>
        </w:tc>
      </w:tr>
    </w:tbl>
    <w:p w14:paraId="1FAF974C" w14:textId="77777777" w:rsidR="001A0CF2" w:rsidRDefault="001A0CF2" w:rsidP="00456183"/>
    <w:p w14:paraId="226ACAAF" w14:textId="4B0C9F4C" w:rsidR="001A0CF2" w:rsidRPr="001A0CF2" w:rsidRDefault="001A0CF2" w:rsidP="003F0DE2">
      <w:pPr>
        <w:jc w:val="center"/>
        <w:rPr>
          <w:i/>
          <w:iCs/>
        </w:rPr>
      </w:pPr>
      <w:r w:rsidRPr="001A0CF2">
        <w:rPr>
          <w:i/>
          <w:iCs/>
        </w:rPr>
        <w:t>Table 1 – Replication capabilities</w:t>
      </w:r>
    </w:p>
    <w:p w14:paraId="72CAD394" w14:textId="6FCC2B36" w:rsidR="00456183" w:rsidRDefault="00456183" w:rsidP="001A0CF2"/>
    <w:p w14:paraId="3EBF58A6" w14:textId="2DB1122A" w:rsidR="00F56785" w:rsidRDefault="00045EB7" w:rsidP="001A0CF2">
      <w:r w:rsidRPr="00045EB7">
        <w:t>We’ll set aside named replicas and geo-restore, as the former does not contribute to disaster recovery and the latter is likely to introduce significant downtime and potential data loss. This leaves geo-replication as the remaining option.</w:t>
      </w:r>
      <w:r w:rsidR="00F56785">
        <w:t xml:space="preserve"> As you might have understood by now, using Azure SQL’s built-in capabilities, you cannot achieve a full ACTIVE/ACTIVE setup since it doesn’t support multiple region writes. </w:t>
      </w:r>
    </w:p>
    <w:p w14:paraId="02F66CD8" w14:textId="230774B8" w:rsidR="001A0CF2" w:rsidRPr="00045EB7" w:rsidRDefault="00045EB7" w:rsidP="001A0CF2">
      <w:r w:rsidRPr="00045EB7">
        <w:rPr>
          <w:i/>
          <w:iCs/>
        </w:rPr>
        <w:t>Table 2</w:t>
      </w:r>
      <w:r w:rsidRPr="00045EB7">
        <w:t xml:space="preserve"> outlines the two available geo-replication techniques.</w:t>
      </w:r>
    </w:p>
    <w:p w14:paraId="60C7B65C" w14:textId="77777777" w:rsidR="003563F6" w:rsidRDefault="003563F6" w:rsidP="001A0CF2"/>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7"/>
        <w:gridCol w:w="2894"/>
        <w:gridCol w:w="3915"/>
      </w:tblGrid>
      <w:tr w:rsidR="00594875" w:rsidRPr="003563F6" w14:paraId="42E9CACF" w14:textId="77777777" w:rsidTr="003563F6">
        <w:trPr>
          <w:tblHeader/>
          <w:tblCellSpacing w:w="15" w:type="dxa"/>
        </w:trPr>
        <w:tc>
          <w:tcPr>
            <w:tcW w:w="0" w:type="auto"/>
            <w:vAlign w:val="center"/>
            <w:hideMark/>
          </w:tcPr>
          <w:p w14:paraId="5FCD46CC" w14:textId="68ABDCD5" w:rsidR="003563F6" w:rsidRPr="003563F6" w:rsidRDefault="003563F6" w:rsidP="003563F6">
            <w:pPr>
              <w:rPr>
                <w:b/>
                <w:bCs/>
              </w:rPr>
            </w:pPr>
          </w:p>
        </w:tc>
        <w:tc>
          <w:tcPr>
            <w:tcW w:w="0" w:type="auto"/>
            <w:vAlign w:val="center"/>
            <w:hideMark/>
          </w:tcPr>
          <w:p w14:paraId="6121D800" w14:textId="77777777" w:rsidR="003563F6" w:rsidRPr="003563F6" w:rsidRDefault="003563F6" w:rsidP="003563F6">
            <w:pPr>
              <w:rPr>
                <w:b/>
                <w:bCs/>
              </w:rPr>
            </w:pPr>
            <w:r w:rsidRPr="003563F6">
              <w:rPr>
                <w:b/>
                <w:bCs/>
              </w:rPr>
              <w:t>Geo-replication</w:t>
            </w:r>
          </w:p>
        </w:tc>
        <w:tc>
          <w:tcPr>
            <w:tcW w:w="0" w:type="auto"/>
            <w:vAlign w:val="center"/>
            <w:hideMark/>
          </w:tcPr>
          <w:p w14:paraId="6A686B50" w14:textId="77777777" w:rsidR="003563F6" w:rsidRPr="003563F6" w:rsidRDefault="003563F6" w:rsidP="003563F6">
            <w:pPr>
              <w:rPr>
                <w:b/>
                <w:bCs/>
              </w:rPr>
            </w:pPr>
            <w:r w:rsidRPr="003563F6">
              <w:rPr>
                <w:b/>
                <w:bCs/>
              </w:rPr>
              <w:t>Failover Groups</w:t>
            </w:r>
          </w:p>
        </w:tc>
      </w:tr>
      <w:tr w:rsidR="00594875" w:rsidRPr="003563F6" w14:paraId="5AFC793C" w14:textId="77777777" w:rsidTr="003563F6">
        <w:trPr>
          <w:tblCellSpacing w:w="15" w:type="dxa"/>
        </w:trPr>
        <w:tc>
          <w:tcPr>
            <w:tcW w:w="0" w:type="auto"/>
            <w:vAlign w:val="center"/>
            <w:hideMark/>
          </w:tcPr>
          <w:p w14:paraId="1E162C83" w14:textId="77777777" w:rsidR="003563F6" w:rsidRPr="003563F6" w:rsidRDefault="003563F6" w:rsidP="003563F6">
            <w:r w:rsidRPr="003563F6">
              <w:rPr>
                <w:b/>
                <w:bCs/>
              </w:rPr>
              <w:t>Scope</w:t>
            </w:r>
          </w:p>
        </w:tc>
        <w:tc>
          <w:tcPr>
            <w:tcW w:w="0" w:type="auto"/>
            <w:vAlign w:val="center"/>
            <w:hideMark/>
          </w:tcPr>
          <w:p w14:paraId="53B651BD" w14:textId="77777777" w:rsidR="003563F6" w:rsidRPr="003563F6" w:rsidRDefault="003563F6" w:rsidP="003563F6">
            <w:r w:rsidRPr="003563F6">
              <w:t>Individual databases</w:t>
            </w:r>
          </w:p>
        </w:tc>
        <w:tc>
          <w:tcPr>
            <w:tcW w:w="0" w:type="auto"/>
            <w:vAlign w:val="center"/>
            <w:hideMark/>
          </w:tcPr>
          <w:p w14:paraId="146AA9B0" w14:textId="555F2A62" w:rsidR="003563F6" w:rsidRPr="003563F6" w:rsidRDefault="003563F6" w:rsidP="003563F6">
            <w:r>
              <w:t>One or more</w:t>
            </w:r>
            <w:r w:rsidRPr="003563F6">
              <w:t xml:space="preserve"> databases</w:t>
            </w:r>
          </w:p>
        </w:tc>
      </w:tr>
      <w:tr w:rsidR="00594875" w:rsidRPr="003563F6" w14:paraId="780E844B" w14:textId="77777777" w:rsidTr="003563F6">
        <w:trPr>
          <w:tblCellSpacing w:w="15" w:type="dxa"/>
        </w:trPr>
        <w:tc>
          <w:tcPr>
            <w:tcW w:w="0" w:type="auto"/>
            <w:vAlign w:val="center"/>
            <w:hideMark/>
          </w:tcPr>
          <w:p w14:paraId="22C3EAC2" w14:textId="77777777" w:rsidR="003563F6" w:rsidRPr="003563F6" w:rsidRDefault="003563F6" w:rsidP="003563F6">
            <w:r w:rsidRPr="003563F6">
              <w:rPr>
                <w:b/>
                <w:bCs/>
              </w:rPr>
              <w:t>Failover</w:t>
            </w:r>
          </w:p>
        </w:tc>
        <w:tc>
          <w:tcPr>
            <w:tcW w:w="0" w:type="auto"/>
            <w:vAlign w:val="center"/>
            <w:hideMark/>
          </w:tcPr>
          <w:p w14:paraId="5111E6E6" w14:textId="77777777" w:rsidR="003563F6" w:rsidRPr="003563F6" w:rsidRDefault="003563F6" w:rsidP="003563F6">
            <w:r w:rsidRPr="003563F6">
              <w:t>Manual only</w:t>
            </w:r>
          </w:p>
        </w:tc>
        <w:tc>
          <w:tcPr>
            <w:tcW w:w="0" w:type="auto"/>
            <w:vAlign w:val="center"/>
            <w:hideMark/>
          </w:tcPr>
          <w:p w14:paraId="36D3D7E7" w14:textId="77777777" w:rsidR="003563F6" w:rsidRPr="003563F6" w:rsidRDefault="003563F6" w:rsidP="003563F6">
            <w:r w:rsidRPr="003563F6">
              <w:t>Automatic or manual</w:t>
            </w:r>
          </w:p>
        </w:tc>
      </w:tr>
      <w:tr w:rsidR="00594875" w:rsidRPr="003563F6" w14:paraId="090117E4" w14:textId="77777777" w:rsidTr="003563F6">
        <w:trPr>
          <w:tblCellSpacing w:w="15" w:type="dxa"/>
        </w:trPr>
        <w:tc>
          <w:tcPr>
            <w:tcW w:w="0" w:type="auto"/>
            <w:vAlign w:val="center"/>
            <w:hideMark/>
          </w:tcPr>
          <w:p w14:paraId="392FBE26" w14:textId="77777777" w:rsidR="003563F6" w:rsidRPr="003563F6" w:rsidRDefault="003563F6" w:rsidP="003563F6">
            <w:r w:rsidRPr="003563F6">
              <w:rPr>
                <w:b/>
                <w:bCs/>
              </w:rPr>
              <w:t>Connection string handling</w:t>
            </w:r>
          </w:p>
        </w:tc>
        <w:tc>
          <w:tcPr>
            <w:tcW w:w="0" w:type="auto"/>
            <w:vAlign w:val="center"/>
            <w:hideMark/>
          </w:tcPr>
          <w:p w14:paraId="779E844E" w14:textId="46A66BBA" w:rsidR="003563F6" w:rsidRPr="003563F6" w:rsidRDefault="003563F6" w:rsidP="003563F6">
            <w:r w:rsidRPr="003563F6">
              <w:t>Requires manual update after failover</w:t>
            </w:r>
            <w:r>
              <w:t xml:space="preserve"> (*)</w:t>
            </w:r>
          </w:p>
        </w:tc>
        <w:tc>
          <w:tcPr>
            <w:tcW w:w="0" w:type="auto"/>
            <w:vAlign w:val="center"/>
            <w:hideMark/>
          </w:tcPr>
          <w:p w14:paraId="17468FA3" w14:textId="7AEBD5CA" w:rsidR="003563F6" w:rsidRPr="003563F6" w:rsidRDefault="00594875" w:rsidP="003563F6">
            <w:r>
              <w:t>No impact on clients when they use the listener endpoints</w:t>
            </w:r>
          </w:p>
        </w:tc>
      </w:tr>
    </w:tbl>
    <w:p w14:paraId="40B1DAF9" w14:textId="7B348F5F" w:rsidR="003563F6" w:rsidRPr="003F0DE2" w:rsidRDefault="003F0DE2" w:rsidP="003F0DE2">
      <w:pPr>
        <w:jc w:val="center"/>
        <w:rPr>
          <w:i/>
          <w:iCs/>
        </w:rPr>
      </w:pPr>
      <w:r w:rsidRPr="003F0DE2">
        <w:rPr>
          <w:i/>
          <w:iCs/>
        </w:rPr>
        <w:t>Table 2 – Geo replication options</w:t>
      </w:r>
    </w:p>
    <w:p w14:paraId="03E1C715" w14:textId="7881E551" w:rsidR="00456183" w:rsidRDefault="00045EB7">
      <w:r w:rsidRPr="00045EB7">
        <w:t xml:space="preserve">While failover groups are transparent to clients as long as they use the built-in listener endpoints, geo-replication may require updates to connection strings or DNS records to point to the new primary after a failover. </w:t>
      </w:r>
      <w:r w:rsidR="004E7027">
        <w:t xml:space="preserve">(*) </w:t>
      </w:r>
      <w:r w:rsidRPr="00045EB7">
        <w:t>That said, the actual impact depends on where</w:t>
      </w:r>
      <w:r w:rsidR="00B77025">
        <w:t xml:space="preserve"> </w:t>
      </w:r>
      <w:r w:rsidRPr="00045EB7">
        <w:t>the client application is located</w:t>
      </w:r>
      <w:r w:rsidR="00B77025">
        <w:t xml:space="preserve"> as well as how you deploy to both regions</w:t>
      </w:r>
      <w:r w:rsidRPr="00045EB7">
        <w:t>. Let’s look at this in more detail.</w:t>
      </w:r>
    </w:p>
    <w:p w14:paraId="7818874E" w14:textId="77777777" w:rsidR="003F0DE2" w:rsidRDefault="003F0DE2"/>
    <w:p w14:paraId="39945802" w14:textId="2A63FA19" w:rsidR="003F0DE2" w:rsidRDefault="00A23433">
      <w:r>
        <w:object w:dxaOrig="14356" w:dyaOrig="11205" w14:anchorId="40B682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8pt;height:351.85pt" o:ole="">
            <v:imagedata r:id="rId8" o:title=""/>
          </v:shape>
          <o:OLEObject Type="Embed" ProgID="Visio.Drawing.15" ShapeID="_x0000_i1025" DrawAspect="Content" ObjectID="_1828105157" r:id="rId9"/>
        </w:object>
      </w:r>
    </w:p>
    <w:p w14:paraId="19969AC6" w14:textId="3085A36C" w:rsidR="003F0DE2" w:rsidRPr="003F0DE2" w:rsidRDefault="003F0DE2" w:rsidP="003F0DE2">
      <w:pPr>
        <w:jc w:val="center"/>
        <w:rPr>
          <w:i/>
          <w:iCs/>
        </w:rPr>
      </w:pPr>
      <w:r w:rsidRPr="003F0DE2">
        <w:rPr>
          <w:i/>
          <w:iCs/>
        </w:rPr>
        <w:t>Figure 1 – SQL geo replication with active geo replication</w:t>
      </w:r>
    </w:p>
    <w:p w14:paraId="2238F5F5" w14:textId="58A3279B" w:rsidR="003F0DE2" w:rsidRDefault="00520145">
      <w:r>
        <w:t xml:space="preserve">In a setup shown as in </w:t>
      </w:r>
      <w:r w:rsidRPr="00D53F62">
        <w:rPr>
          <w:i/>
          <w:iCs/>
        </w:rPr>
        <w:t>Figure 1</w:t>
      </w:r>
      <w:r>
        <w:t>, under normal circumstances:</w:t>
      </w:r>
    </w:p>
    <w:p w14:paraId="76AB8ABE" w14:textId="18FB72E9" w:rsidR="00520145" w:rsidRDefault="00520145" w:rsidP="00520145">
      <w:pPr>
        <w:pStyle w:val="ListParagraph"/>
        <w:numPr>
          <w:ilvl w:val="0"/>
          <w:numId w:val="3"/>
        </w:numPr>
      </w:pPr>
      <w:r>
        <w:t>Workloads in the primary region (Belgium Central) can connect to the primary server in read/write mode</w:t>
      </w:r>
    </w:p>
    <w:p w14:paraId="5C17B70B" w14:textId="40063706" w:rsidR="00520145" w:rsidRDefault="00520145" w:rsidP="00520145">
      <w:pPr>
        <w:pStyle w:val="ListParagraph"/>
        <w:numPr>
          <w:ilvl w:val="0"/>
          <w:numId w:val="3"/>
        </w:numPr>
      </w:pPr>
      <w:r>
        <w:t xml:space="preserve">Workloads in the primary region can perform read-only activities against the secondary replica, providing they tolerate the extra latency incurred by the </w:t>
      </w:r>
      <w:r w:rsidR="00C71848">
        <w:t xml:space="preserve">roundtrip to the </w:t>
      </w:r>
      <w:r>
        <w:t>remote region (France Central).</w:t>
      </w:r>
      <w:r w:rsidR="00C71848">
        <w:t xml:space="preserve"> </w:t>
      </w:r>
    </w:p>
    <w:p w14:paraId="5E30BEAD" w14:textId="119C3973" w:rsidR="00C71848" w:rsidRDefault="00C71848" w:rsidP="00520145">
      <w:pPr>
        <w:pStyle w:val="ListParagraph"/>
        <w:numPr>
          <w:ilvl w:val="0"/>
          <w:numId w:val="3"/>
        </w:numPr>
      </w:pPr>
      <w:r>
        <w:t xml:space="preserve">Workloads in the secondary region </w:t>
      </w:r>
      <w:r w:rsidR="00D53F62">
        <w:t xml:space="preserve">or on-premises </w:t>
      </w:r>
      <w:r w:rsidR="00F16585">
        <w:t xml:space="preserve">(if any), </w:t>
      </w:r>
      <w:r>
        <w:t>could perform read-only operations against the read replica with no extra latency.</w:t>
      </w:r>
      <w:r w:rsidR="00D53F62">
        <w:t xml:space="preserve"> </w:t>
      </w:r>
    </w:p>
    <w:p w14:paraId="188713C5" w14:textId="7D348002" w:rsidR="00F16585" w:rsidRDefault="00F16585" w:rsidP="00520145">
      <w:pPr>
        <w:pStyle w:val="ListParagraph"/>
        <w:numPr>
          <w:ilvl w:val="0"/>
          <w:numId w:val="3"/>
        </w:numPr>
      </w:pPr>
      <w:r>
        <w:t>Read-only heavy workloads are typically using a named replica instead of a geo-replica but in this case, your named replica would not be available at all in case of regional outage.</w:t>
      </w:r>
    </w:p>
    <w:p w14:paraId="7AA34E2C" w14:textId="3BB02AAE" w:rsidR="00AB0291" w:rsidRDefault="00AB0291">
      <w:r w:rsidRPr="00AB0291">
        <w:t xml:space="preserve">The setup shown in </w:t>
      </w:r>
      <w:r w:rsidRPr="00301768">
        <w:rPr>
          <w:i/>
          <w:iCs/>
        </w:rPr>
        <w:t>Figure 1</w:t>
      </w:r>
      <w:r w:rsidRPr="00AB0291">
        <w:t xml:space="preserve"> enables a database-only failover, as both regions expose private endpoints to their respective SQL servers and use their own dedicated DNS zones. Although Private DNS zones are global by nature, I recommend keeping them regional to avoid record-name conflicts. With a single shared DNS zone, a failover would require DNS updates, since it would not be possible to maintain four records in the same zone pointing to only two servers.</w:t>
      </w:r>
    </w:p>
    <w:p w14:paraId="1E0D07B4" w14:textId="00B6BCB5" w:rsidR="00DD4ED1" w:rsidRDefault="00C71848">
      <w:r>
        <w:t xml:space="preserve">In case of failover, SQL servers switch roles: the primary becomes secondary and vice versa. This concretely means that the connection string </w:t>
      </w:r>
      <w:r w:rsidRPr="00A97CDB">
        <w:rPr>
          <w:rFonts w:ascii="Courier New" w:hAnsi="Courier New" w:cs="Courier New"/>
        </w:rPr>
        <w:t>primary.database.windows.net</w:t>
      </w:r>
      <w:r>
        <w:t xml:space="preserve"> targets the read/write region in a normal situation but a read-only</w:t>
      </w:r>
      <w:r w:rsidR="00777CF1">
        <w:t xml:space="preserve"> or unavailable</w:t>
      </w:r>
      <w:r>
        <w:t xml:space="preserve"> one after </w:t>
      </w:r>
      <w:r>
        <w:lastRenderedPageBreak/>
        <w:t xml:space="preserve">failover. </w:t>
      </w:r>
      <w:r w:rsidR="00301768">
        <w:t>Workloads using this connection string would either stop working (if the regional outage persist), either talk to a read-only database</w:t>
      </w:r>
      <w:r w:rsidR="00D3452C">
        <w:t xml:space="preserve"> once the failover completed</w:t>
      </w:r>
      <w:r w:rsidR="00301768">
        <w:t xml:space="preserve">. </w:t>
      </w:r>
      <w:r>
        <w:t xml:space="preserve">Similarly, the connection string </w:t>
      </w:r>
      <w:r w:rsidRPr="00A97CDB">
        <w:rPr>
          <w:rFonts w:ascii="Courier New" w:hAnsi="Courier New" w:cs="Courier New"/>
        </w:rPr>
        <w:t>secondary.database.windows.net</w:t>
      </w:r>
      <w:r>
        <w:t xml:space="preserve"> </w:t>
      </w:r>
      <w:r w:rsidR="00673EB4">
        <w:t xml:space="preserve">usually </w:t>
      </w:r>
      <w:r>
        <w:t>target</w:t>
      </w:r>
      <w:r w:rsidR="00673EB4">
        <w:t>ing</w:t>
      </w:r>
      <w:r>
        <w:t xml:space="preserve"> the read-only region under normal circumstances </w:t>
      </w:r>
      <w:r w:rsidR="00673EB4">
        <w:t>now targets</w:t>
      </w:r>
      <w:r w:rsidR="00EE34FD">
        <w:t xml:space="preserve"> the</w:t>
      </w:r>
      <w:r>
        <w:t xml:space="preserve"> read-write one after failover.</w:t>
      </w:r>
    </w:p>
    <w:p w14:paraId="3D959CC0" w14:textId="57421AF3" w:rsidR="003E1289" w:rsidRDefault="00DD4ED1">
      <w:r>
        <w:t>Knowing this, a few options exist</w:t>
      </w:r>
      <w:r w:rsidR="003E1289">
        <w:t>:</w:t>
      </w:r>
    </w:p>
    <w:p w14:paraId="564CC76E" w14:textId="77777777" w:rsidR="003E1289" w:rsidRDefault="003E1289"/>
    <w:p w14:paraId="040091A8" w14:textId="4E4CA565" w:rsidR="00D86E0E" w:rsidRDefault="00066135" w:rsidP="0054073E">
      <w:pPr>
        <w:pStyle w:val="ListParagraph"/>
        <w:numPr>
          <w:ilvl w:val="0"/>
          <w:numId w:val="4"/>
        </w:numPr>
      </w:pPr>
      <w:r w:rsidRPr="00066135">
        <w:t>You may choose to fail over everything</w:t>
      </w:r>
      <w:r w:rsidR="00BF0FB7">
        <w:t xml:space="preserve"> (</w:t>
      </w:r>
      <w:proofErr w:type="spellStart"/>
      <w:r w:rsidR="00BF0FB7">
        <w:t>database+compute</w:t>
      </w:r>
      <w:proofErr w:type="spellEnd"/>
      <w:r w:rsidR="00BF0FB7">
        <w:t>)</w:t>
      </w:r>
      <w:r w:rsidRPr="00066135">
        <w:t xml:space="preserve">. In that scenario, workloads running in the secondary region can use their default </w:t>
      </w:r>
      <w:r w:rsidRPr="00CD2593">
        <w:rPr>
          <w:i/>
          <w:iCs/>
        </w:rPr>
        <w:t>secondary</w:t>
      </w:r>
      <w:r w:rsidRPr="00066135">
        <w:t xml:space="preserve"> connection string, which will automatically target the new primary after failover. This approach requires </w:t>
      </w:r>
      <w:r w:rsidR="00B142E2">
        <w:t>t</w:t>
      </w:r>
      <w:r w:rsidRPr="00066135">
        <w:t xml:space="preserve">he deployment pipeline </w:t>
      </w:r>
      <w:r w:rsidR="00B142E2">
        <w:t>to</w:t>
      </w:r>
      <w:r w:rsidRPr="00066135">
        <w:t xml:space="preserve"> be region-aware, detect the target region, and apply the appropriate connection string. When deployed in the primary region, the application should use </w:t>
      </w:r>
      <w:r w:rsidRPr="00A97CDB">
        <w:rPr>
          <w:rFonts w:ascii="Courier New" w:hAnsi="Courier New" w:cs="Courier New"/>
        </w:rPr>
        <w:t>primary.database.windows.net</w:t>
      </w:r>
      <w:r w:rsidRPr="00066135">
        <w:t xml:space="preserve">, while in the secondary region it should already be configured with </w:t>
      </w:r>
      <w:r w:rsidRPr="00A97CDB">
        <w:rPr>
          <w:rFonts w:ascii="Courier New" w:hAnsi="Courier New" w:cs="Courier New"/>
        </w:rPr>
        <w:t>secondary.database.windows.net</w:t>
      </w:r>
      <w:r w:rsidRPr="00066135">
        <w:t>. This design eliminates the need for any connection string changes after failover.</w:t>
      </w:r>
      <w:r w:rsidR="00D86E0E">
        <w:t xml:space="preserve"> </w:t>
      </w:r>
      <w:r w:rsidR="009A21BF">
        <w:t>If your webapps, K8s pods, etc. are already up and running, the only thing you still have to do is route traffic to them.</w:t>
      </w:r>
      <w:r w:rsidR="00D86E0E">
        <w:br/>
      </w:r>
    </w:p>
    <w:p w14:paraId="13D9D0C3" w14:textId="0E119799" w:rsidR="00DD4ED1" w:rsidRDefault="00D86E0E" w:rsidP="0054073E">
      <w:pPr>
        <w:pStyle w:val="ListParagraph"/>
        <w:numPr>
          <w:ilvl w:val="0"/>
          <w:numId w:val="4"/>
        </w:numPr>
      </w:pPr>
      <w:r>
        <w:t xml:space="preserve">You may choose to redeploy the compute </w:t>
      </w:r>
      <w:r w:rsidR="002834C2">
        <w:t xml:space="preserve">infrastructure </w:t>
      </w:r>
      <w:r>
        <w:t xml:space="preserve">(web apps, etc.) to the secondary region only in case of regional outage. This approach is </w:t>
      </w:r>
      <w:r w:rsidR="00B91014">
        <w:t xml:space="preserve">cheaper but </w:t>
      </w:r>
      <w:r>
        <w:t xml:space="preserve">risky as you’re not guaranteed to have the available capacity. However, such an approach allows you to adjust your pipelines, specify the right connection string and simply redeploy your infrastructure and/or application package. </w:t>
      </w:r>
      <w:r w:rsidR="00803B4A">
        <w:br/>
      </w:r>
    </w:p>
    <w:p w14:paraId="2819E233" w14:textId="25BC738C" w:rsidR="00CD2593" w:rsidRDefault="00CD2593" w:rsidP="00CD2593">
      <w:pPr>
        <w:pStyle w:val="NormalWeb"/>
        <w:numPr>
          <w:ilvl w:val="0"/>
          <w:numId w:val="4"/>
        </w:numPr>
      </w:pPr>
      <w:r>
        <w:t xml:space="preserve">If you want to deploy the application </w:t>
      </w:r>
      <w:r w:rsidR="00BE2A5E">
        <w:t>with the exact same settings</w:t>
      </w:r>
      <w:r>
        <w:t xml:space="preserve"> in both regions, you’ll need to update the connection string used by workloads in the secondary region, since </w:t>
      </w:r>
      <w:r w:rsidRPr="00A97CDB">
        <w:rPr>
          <w:rFonts w:ascii="Courier New" w:eastAsiaTheme="minorHAnsi" w:hAnsi="Courier New" w:cs="Courier New"/>
          <w:sz w:val="22"/>
          <w:szCs w:val="22"/>
          <w:lang w:eastAsia="en-US"/>
        </w:rPr>
        <w:t>primary.database.windows.net</w:t>
      </w:r>
      <w:r>
        <w:t xml:space="preserve"> will now resolve to an unavailable server after failover. If the original primary later comes back online, it will return as a secondary (read-only) replica, which would not support write operations.</w:t>
      </w:r>
      <w:r w:rsidR="00900DBB">
        <w:t xml:space="preserve"> You can as well make your application failover aware (</w:t>
      </w:r>
      <w:r w:rsidR="00FA1FB5">
        <w:t>**</w:t>
      </w:r>
      <w:r w:rsidR="00900DBB">
        <w:t>).</w:t>
      </w:r>
      <w:r w:rsidR="00777CF1">
        <w:br/>
      </w:r>
    </w:p>
    <w:p w14:paraId="6CB296F6" w14:textId="13D52226" w:rsidR="00DB76DC" w:rsidRDefault="00BE651C" w:rsidP="00BE651C">
      <w:r w:rsidRPr="00BE651C">
        <w:t xml:space="preserve">You can’t simply update DNS, </w:t>
      </w:r>
      <w:r w:rsidR="0075390C">
        <w:t xml:space="preserve">meaning making secondary target primary and vice versa, </w:t>
      </w:r>
      <w:r w:rsidRPr="00BE651C">
        <w:t>because the FQDN (</w:t>
      </w:r>
      <w:r w:rsidRPr="00BE651C">
        <w:rPr>
          <w:rFonts w:ascii="Courier New" w:hAnsi="Courier New" w:cs="Courier New"/>
        </w:rPr>
        <w:t>primary-or-secondary.database.windows.net</w:t>
      </w:r>
      <w:r w:rsidRPr="00BE651C">
        <w:t>) is validated by the target server, and the names must match—so redirecting it to a different server would fail.</w:t>
      </w:r>
      <w:r w:rsidR="004E1453">
        <w:t xml:space="preserve"> </w:t>
      </w:r>
    </w:p>
    <w:p w14:paraId="0D7A2714" w14:textId="77777777" w:rsidR="00BE2A5E" w:rsidRDefault="004E1453" w:rsidP="00BE651C">
      <w:r>
        <w:t xml:space="preserve">In conclusion, </w:t>
      </w:r>
      <w:r w:rsidR="00DB76DC">
        <w:t xml:space="preserve">when using active geo-replication as the replication technique, </w:t>
      </w:r>
      <w:r>
        <w:t>you should make your applications failover-aware</w:t>
      </w:r>
      <w:r w:rsidR="000A0E09">
        <w:t xml:space="preserve"> (**)</w:t>
      </w:r>
      <w:r>
        <w:t xml:space="preserve"> and pre-provision both connection strings</w:t>
      </w:r>
      <w:r w:rsidR="00DB76DC">
        <w:t xml:space="preserve"> and implement the failover/retry logic in the application code itself. You may wrap your Entity Framework context into a </w:t>
      </w:r>
      <w:r w:rsidR="00DB76DC" w:rsidRPr="00DB76DC">
        <w:rPr>
          <w:b/>
          <w:bCs/>
        </w:rPr>
        <w:t>factory</w:t>
      </w:r>
      <w:r w:rsidR="00DB76DC">
        <w:t xml:space="preserve"> to abstract away the retry logic. Given we typically use a </w:t>
      </w:r>
      <w:r w:rsidR="00DB76DC" w:rsidRPr="00DB76DC">
        <w:rPr>
          <w:b/>
          <w:bCs/>
        </w:rPr>
        <w:t>scoped</w:t>
      </w:r>
      <w:r w:rsidR="00DB76DC">
        <w:t xml:space="preserve"> lifetime, you may expect some HTTP requests to fail (in case of an API) but new instances targeting the right server would ultimately succeed without having to restart the application.</w:t>
      </w:r>
      <w:r w:rsidR="00BE2A5E">
        <w:t xml:space="preserve"> You may as well use a geo-redundant Azure App Configuration and failover it along SQL, then switch the primary server connection string after failover. The SDK allows you to monitor a sentinel key and to reload the configuration without having to restart the application:</w:t>
      </w:r>
    </w:p>
    <w:p w14:paraId="23F091AF" w14:textId="77777777" w:rsidR="00BE2A5E" w:rsidRDefault="00BE2A5E" w:rsidP="00BE651C"/>
    <w:p w14:paraId="0C6AED95" w14:textId="77777777" w:rsidR="00BE2A5E" w:rsidRPr="00BE2A5E" w:rsidRDefault="00BE2A5E" w:rsidP="00BE2A5E">
      <w:pPr>
        <w:pStyle w:val="cod"/>
        <w:rPr>
          <w:highlight w:val="lightGray"/>
        </w:rPr>
      </w:pPr>
      <w:proofErr w:type="spellStart"/>
      <w:r w:rsidRPr="00BE2A5E">
        <w:rPr>
          <w:highlight w:val="lightGray"/>
        </w:rPr>
        <w:lastRenderedPageBreak/>
        <w:t>configBuilder.AddAzureAppConfiguration</w:t>
      </w:r>
      <w:proofErr w:type="spellEnd"/>
      <w:r w:rsidRPr="00BE2A5E">
        <w:rPr>
          <w:highlight w:val="lightGray"/>
        </w:rPr>
        <w:t>(options =&gt;</w:t>
      </w:r>
    </w:p>
    <w:p w14:paraId="7D291CEE" w14:textId="77777777" w:rsidR="00BE2A5E" w:rsidRPr="00BE2A5E" w:rsidRDefault="00BE2A5E" w:rsidP="00BE2A5E">
      <w:pPr>
        <w:pStyle w:val="cod"/>
        <w:rPr>
          <w:highlight w:val="lightGray"/>
        </w:rPr>
      </w:pPr>
      <w:r w:rsidRPr="00BE2A5E">
        <w:rPr>
          <w:highlight w:val="lightGray"/>
        </w:rPr>
        <w:t>{</w:t>
      </w:r>
    </w:p>
    <w:p w14:paraId="2D47D252" w14:textId="77777777" w:rsidR="00BE2A5E" w:rsidRPr="00BE2A5E" w:rsidRDefault="00BE2A5E" w:rsidP="00BE2A5E">
      <w:pPr>
        <w:pStyle w:val="cod"/>
        <w:rPr>
          <w:highlight w:val="lightGray"/>
        </w:rPr>
      </w:pPr>
      <w:r w:rsidRPr="00BE2A5E">
        <w:rPr>
          <w:highlight w:val="lightGray"/>
        </w:rPr>
        <w:t xml:space="preserve">    </w:t>
      </w:r>
      <w:proofErr w:type="spellStart"/>
      <w:r w:rsidRPr="00BE2A5E">
        <w:rPr>
          <w:highlight w:val="lightGray"/>
        </w:rPr>
        <w:t>options.Connect</w:t>
      </w:r>
      <w:proofErr w:type="spellEnd"/>
      <w:r w:rsidRPr="00BE2A5E">
        <w:rPr>
          <w:highlight w:val="lightGray"/>
        </w:rPr>
        <w:t xml:space="preserve">(new Uri("&lt;your-app-config-endpoint&gt;"), new </w:t>
      </w:r>
      <w:proofErr w:type="spellStart"/>
      <w:r w:rsidRPr="00BE2A5E">
        <w:rPr>
          <w:highlight w:val="lightGray"/>
        </w:rPr>
        <w:t>DefaultAzureCredential</w:t>
      </w:r>
      <w:proofErr w:type="spellEnd"/>
      <w:r w:rsidRPr="00BE2A5E">
        <w:rPr>
          <w:highlight w:val="lightGray"/>
        </w:rPr>
        <w:t>())</w:t>
      </w:r>
    </w:p>
    <w:p w14:paraId="375C5102" w14:textId="77777777" w:rsidR="00BE2A5E" w:rsidRPr="00BE2A5E" w:rsidRDefault="00BE2A5E" w:rsidP="00BE2A5E">
      <w:pPr>
        <w:pStyle w:val="cod"/>
        <w:rPr>
          <w:highlight w:val="lightGray"/>
        </w:rPr>
      </w:pPr>
      <w:r w:rsidRPr="00BE2A5E">
        <w:rPr>
          <w:highlight w:val="lightGray"/>
        </w:rPr>
        <w:t xml:space="preserve">           // Load all keys that start with `</w:t>
      </w:r>
      <w:proofErr w:type="spellStart"/>
      <w:r w:rsidRPr="00BE2A5E">
        <w:rPr>
          <w:highlight w:val="lightGray"/>
        </w:rPr>
        <w:t>TestApp</w:t>
      </w:r>
      <w:proofErr w:type="spellEnd"/>
      <w:r w:rsidRPr="00BE2A5E">
        <w:rPr>
          <w:highlight w:val="lightGray"/>
        </w:rPr>
        <w:t>:` and have no label</w:t>
      </w:r>
    </w:p>
    <w:p w14:paraId="6B9C7C8F" w14:textId="77777777" w:rsidR="00BE2A5E" w:rsidRPr="00BE2A5E" w:rsidRDefault="00BE2A5E" w:rsidP="00BE2A5E">
      <w:pPr>
        <w:pStyle w:val="cod"/>
        <w:rPr>
          <w:highlight w:val="lightGray"/>
        </w:rPr>
      </w:pPr>
      <w:r w:rsidRPr="00BE2A5E">
        <w:rPr>
          <w:highlight w:val="lightGray"/>
        </w:rPr>
        <w:t xml:space="preserve">           .Select(</w:t>
      </w:r>
      <w:proofErr w:type="spellStart"/>
      <w:r w:rsidRPr="00BE2A5E">
        <w:rPr>
          <w:highlight w:val="lightGray"/>
        </w:rPr>
        <w:t>keyFilter</w:t>
      </w:r>
      <w:proofErr w:type="spellEnd"/>
      <w:r w:rsidRPr="00BE2A5E">
        <w:rPr>
          <w:highlight w:val="lightGray"/>
        </w:rPr>
        <w:t>: "</w:t>
      </w:r>
      <w:proofErr w:type="spellStart"/>
      <w:r w:rsidRPr="00BE2A5E">
        <w:rPr>
          <w:highlight w:val="lightGray"/>
        </w:rPr>
        <w:t>TestApp</w:t>
      </w:r>
      <w:proofErr w:type="spellEnd"/>
      <w:r w:rsidRPr="00BE2A5E">
        <w:rPr>
          <w:highlight w:val="lightGray"/>
        </w:rPr>
        <w:t xml:space="preserve">:*", </w:t>
      </w:r>
      <w:proofErr w:type="spellStart"/>
      <w:r w:rsidRPr="00BE2A5E">
        <w:rPr>
          <w:highlight w:val="lightGray"/>
        </w:rPr>
        <w:t>labelFilter</w:t>
      </w:r>
      <w:proofErr w:type="spellEnd"/>
      <w:r w:rsidRPr="00BE2A5E">
        <w:rPr>
          <w:highlight w:val="lightGray"/>
        </w:rPr>
        <w:t xml:space="preserve">: </w:t>
      </w:r>
      <w:proofErr w:type="spellStart"/>
      <w:r w:rsidRPr="00BE2A5E">
        <w:rPr>
          <w:highlight w:val="lightGray"/>
        </w:rPr>
        <w:t>LabelFilter.Null</w:t>
      </w:r>
      <w:proofErr w:type="spellEnd"/>
      <w:r w:rsidRPr="00BE2A5E">
        <w:rPr>
          <w:highlight w:val="lightGray"/>
        </w:rPr>
        <w:t>)</w:t>
      </w:r>
    </w:p>
    <w:p w14:paraId="6D637B0C" w14:textId="77777777" w:rsidR="00BE2A5E" w:rsidRPr="00BE2A5E" w:rsidRDefault="00BE2A5E" w:rsidP="00BE2A5E">
      <w:pPr>
        <w:pStyle w:val="cod"/>
        <w:rPr>
          <w:highlight w:val="lightGray"/>
        </w:rPr>
      </w:pPr>
      <w:r w:rsidRPr="00BE2A5E">
        <w:rPr>
          <w:highlight w:val="lightGray"/>
        </w:rPr>
        <w:t xml:space="preserve">           .</w:t>
      </w:r>
      <w:proofErr w:type="spellStart"/>
      <w:r w:rsidRPr="00BE2A5E">
        <w:rPr>
          <w:highlight w:val="lightGray"/>
        </w:rPr>
        <w:t>ConfigureRefresh</w:t>
      </w:r>
      <w:proofErr w:type="spellEnd"/>
      <w:r w:rsidRPr="00BE2A5E">
        <w:rPr>
          <w:highlight w:val="lightGray"/>
        </w:rPr>
        <w:t>(</w:t>
      </w:r>
      <w:proofErr w:type="spellStart"/>
      <w:r w:rsidRPr="00BE2A5E">
        <w:rPr>
          <w:highlight w:val="lightGray"/>
        </w:rPr>
        <w:t>refreshOptions</w:t>
      </w:r>
      <w:proofErr w:type="spellEnd"/>
      <w:r w:rsidRPr="00BE2A5E">
        <w:rPr>
          <w:highlight w:val="lightGray"/>
        </w:rPr>
        <w:t xml:space="preserve"> =&gt;</w:t>
      </w:r>
    </w:p>
    <w:p w14:paraId="1C747A5E" w14:textId="77777777" w:rsidR="00BE2A5E" w:rsidRPr="00BE2A5E" w:rsidRDefault="00BE2A5E" w:rsidP="00BE2A5E">
      <w:pPr>
        <w:pStyle w:val="cod"/>
        <w:rPr>
          <w:highlight w:val="lightGray"/>
        </w:rPr>
      </w:pPr>
      <w:r w:rsidRPr="00BE2A5E">
        <w:rPr>
          <w:highlight w:val="lightGray"/>
        </w:rPr>
        <w:t xml:space="preserve">           {</w:t>
      </w:r>
    </w:p>
    <w:p w14:paraId="3B871721" w14:textId="77777777" w:rsidR="00BE2A5E" w:rsidRPr="00BE2A5E" w:rsidRDefault="00BE2A5E" w:rsidP="00BE2A5E">
      <w:pPr>
        <w:pStyle w:val="cod"/>
        <w:rPr>
          <w:highlight w:val="lightGray"/>
        </w:rPr>
      </w:pPr>
      <w:r w:rsidRPr="00BE2A5E">
        <w:rPr>
          <w:highlight w:val="lightGray"/>
        </w:rPr>
        <w:t xml:space="preserve">               // Trigger full configuration refresh only if the `</w:t>
      </w:r>
      <w:proofErr w:type="spellStart"/>
      <w:r w:rsidRPr="00BE2A5E">
        <w:rPr>
          <w:highlight w:val="lightGray"/>
        </w:rPr>
        <w:t>SentinelKey</w:t>
      </w:r>
      <w:proofErr w:type="spellEnd"/>
      <w:r w:rsidRPr="00BE2A5E">
        <w:rPr>
          <w:highlight w:val="lightGray"/>
        </w:rPr>
        <w:t>` changes.</w:t>
      </w:r>
    </w:p>
    <w:p w14:paraId="488F228E" w14:textId="77777777" w:rsidR="00BE2A5E" w:rsidRPr="00BE2A5E" w:rsidRDefault="00BE2A5E" w:rsidP="00BE2A5E">
      <w:pPr>
        <w:pStyle w:val="cod"/>
        <w:rPr>
          <w:highlight w:val="lightGray"/>
        </w:rPr>
      </w:pPr>
      <w:r w:rsidRPr="00BE2A5E">
        <w:rPr>
          <w:highlight w:val="lightGray"/>
        </w:rPr>
        <w:t xml:space="preserve">               </w:t>
      </w:r>
      <w:proofErr w:type="spellStart"/>
      <w:r w:rsidRPr="00BE2A5E">
        <w:rPr>
          <w:highlight w:val="lightGray"/>
        </w:rPr>
        <w:t>refreshOptions.Register</w:t>
      </w:r>
      <w:proofErr w:type="spellEnd"/>
      <w:r w:rsidRPr="00BE2A5E">
        <w:rPr>
          <w:highlight w:val="lightGray"/>
        </w:rPr>
        <w:t>("</w:t>
      </w:r>
      <w:proofErr w:type="spellStart"/>
      <w:r w:rsidRPr="00BE2A5E">
        <w:rPr>
          <w:highlight w:val="lightGray"/>
        </w:rPr>
        <w:t>SentinelKey</w:t>
      </w:r>
      <w:proofErr w:type="spellEnd"/>
      <w:r w:rsidRPr="00BE2A5E">
        <w:rPr>
          <w:highlight w:val="lightGray"/>
        </w:rPr>
        <w:t xml:space="preserve">", </w:t>
      </w:r>
      <w:proofErr w:type="spellStart"/>
      <w:r w:rsidRPr="00BE2A5E">
        <w:rPr>
          <w:highlight w:val="lightGray"/>
        </w:rPr>
        <w:t>refreshAll</w:t>
      </w:r>
      <w:proofErr w:type="spellEnd"/>
      <w:r w:rsidRPr="00BE2A5E">
        <w:rPr>
          <w:highlight w:val="lightGray"/>
        </w:rPr>
        <w:t>: true);</w:t>
      </w:r>
    </w:p>
    <w:p w14:paraId="362D8C0F" w14:textId="77777777" w:rsidR="00BE2A5E" w:rsidRPr="00BE2A5E" w:rsidRDefault="00BE2A5E" w:rsidP="00BE2A5E">
      <w:pPr>
        <w:pStyle w:val="cod"/>
        <w:rPr>
          <w:highlight w:val="lightGray"/>
        </w:rPr>
      </w:pPr>
      <w:r w:rsidRPr="00BE2A5E">
        <w:rPr>
          <w:highlight w:val="lightGray"/>
        </w:rPr>
        <w:t xml:space="preserve">           });</w:t>
      </w:r>
    </w:p>
    <w:p w14:paraId="208259BF" w14:textId="77777777" w:rsidR="00BE2A5E" w:rsidRPr="00BE2A5E" w:rsidRDefault="00BE2A5E" w:rsidP="00BE2A5E">
      <w:pPr>
        <w:pStyle w:val="cod"/>
      </w:pPr>
      <w:r w:rsidRPr="00BE2A5E">
        <w:rPr>
          <w:highlight w:val="lightGray"/>
        </w:rPr>
        <w:t>});</w:t>
      </w:r>
    </w:p>
    <w:p w14:paraId="3241AAD3" w14:textId="7AF188D5" w:rsidR="00BE651C" w:rsidRDefault="00D24C7B" w:rsidP="00D24C7B">
      <w:r>
        <w:t xml:space="preserve">More on App Configuration and the sentinel key </w:t>
      </w:r>
      <w:hyperlink r:id="rId10" w:history="1">
        <w:r w:rsidRPr="00C45E0E">
          <w:rPr>
            <w:rStyle w:val="Hyperlink"/>
          </w:rPr>
          <w:t>https://learn.microsoft.com/en-us/azure/azure-app-configuration/howto-best-practices?tabs=dotnet</w:t>
        </w:r>
      </w:hyperlink>
    </w:p>
    <w:p w14:paraId="1DD37D88" w14:textId="1517D677" w:rsidR="00832740" w:rsidRDefault="00B82CA9">
      <w:r w:rsidRPr="00B82CA9">
        <w:t xml:space="preserve">As an alternative to geo-replication, you can use </w:t>
      </w:r>
      <w:r w:rsidRPr="00B82CA9">
        <w:rPr>
          <w:b/>
          <w:bCs/>
        </w:rPr>
        <w:t>failover groups</w:t>
      </w:r>
      <w:r w:rsidRPr="00B82CA9">
        <w:t xml:space="preserve">, which allow one or more databases to fail over together to another server. A key advantage is the presence of two stable listeners: one for </w:t>
      </w:r>
      <w:r w:rsidRPr="00B82CA9">
        <w:rPr>
          <w:b/>
          <w:bCs/>
        </w:rPr>
        <w:t>read-only</w:t>
      </w:r>
      <w:r w:rsidRPr="00B82CA9">
        <w:t xml:space="preserve"> traffic and one for </w:t>
      </w:r>
      <w:r w:rsidRPr="00B82CA9">
        <w:rPr>
          <w:b/>
          <w:bCs/>
        </w:rPr>
        <w:t>read/write</w:t>
      </w:r>
      <w:r w:rsidRPr="00B82CA9">
        <w:t xml:space="preserve"> operations. These listeners remain constant and always point to the current primary server. During a failover, applications continue connecting through the listeners rather than directly to a specific SQL server, eliminating the need for connection string changes.</w:t>
      </w:r>
    </w:p>
    <w:p w14:paraId="2D3D98EF" w14:textId="77777777" w:rsidR="00A43074" w:rsidRDefault="00A43074"/>
    <w:p w14:paraId="189511AA" w14:textId="50DAED13" w:rsidR="00EB0682" w:rsidRDefault="00EB0682">
      <w:r w:rsidRPr="00CD15EC">
        <w:rPr>
          <w:i/>
          <w:iCs/>
        </w:rPr>
        <w:t>Figure 2</w:t>
      </w:r>
      <w:r>
        <w:t xml:space="preserve"> illustrates the situation when the primary region is working fine.</w:t>
      </w:r>
    </w:p>
    <w:p w14:paraId="1C289F7C" w14:textId="13860FC6" w:rsidR="00A43074" w:rsidRDefault="00EB0682">
      <w:r>
        <w:object w:dxaOrig="14356" w:dyaOrig="12060" w14:anchorId="0F1444BA">
          <v:shape id="_x0000_i1026" type="#_x0000_t75" style="width:450.8pt;height:378.8pt" o:ole="">
            <v:imagedata r:id="rId11" o:title=""/>
          </v:shape>
          <o:OLEObject Type="Embed" ProgID="Visio.Drawing.15" ShapeID="_x0000_i1026" DrawAspect="Content" ObjectID="_1828105158" r:id="rId12"/>
        </w:object>
      </w:r>
    </w:p>
    <w:p w14:paraId="7D65E396" w14:textId="68FC20D6" w:rsidR="002144E3" w:rsidRPr="003F0DE2" w:rsidRDefault="002144E3" w:rsidP="002144E3">
      <w:pPr>
        <w:jc w:val="center"/>
        <w:rPr>
          <w:i/>
          <w:iCs/>
        </w:rPr>
      </w:pPr>
      <w:r w:rsidRPr="003F0DE2">
        <w:rPr>
          <w:i/>
          <w:iCs/>
        </w:rPr>
        <w:t xml:space="preserve">Figure </w:t>
      </w:r>
      <w:r>
        <w:rPr>
          <w:i/>
          <w:iCs/>
        </w:rPr>
        <w:t>2</w:t>
      </w:r>
      <w:r w:rsidRPr="003F0DE2">
        <w:rPr>
          <w:i/>
          <w:iCs/>
        </w:rPr>
        <w:t xml:space="preserve"> – </w:t>
      </w:r>
      <w:r>
        <w:rPr>
          <w:i/>
          <w:iCs/>
        </w:rPr>
        <w:t>Failover group before failover</w:t>
      </w:r>
    </w:p>
    <w:p w14:paraId="3DBFAD3D" w14:textId="77777777" w:rsidR="002144E3" w:rsidRDefault="002144E3"/>
    <w:p w14:paraId="197A75F5" w14:textId="77777777" w:rsidR="00EB0682" w:rsidRDefault="00EB0682">
      <w:r>
        <w:t>We see that clients connect to listener endpoints. The failover group comes with two endpoints:</w:t>
      </w:r>
    </w:p>
    <w:p w14:paraId="07D9ADE6" w14:textId="7CE02836" w:rsidR="00EB0682" w:rsidRDefault="00EB0682" w:rsidP="00EB0682">
      <w:pPr>
        <w:pStyle w:val="ListParagraph"/>
        <w:numPr>
          <w:ilvl w:val="0"/>
          <w:numId w:val="5"/>
        </w:numPr>
      </w:pPr>
      <w:r>
        <w:t>&lt;</w:t>
      </w:r>
      <w:proofErr w:type="spellStart"/>
      <w:r>
        <w:t>failovergroupname</w:t>
      </w:r>
      <w:proofErr w:type="spellEnd"/>
      <w:r>
        <w:t>&gt;.database.windows.net</w:t>
      </w:r>
    </w:p>
    <w:p w14:paraId="75C9C165" w14:textId="4991FFE4" w:rsidR="00EB0682" w:rsidRDefault="00EB0682" w:rsidP="00EB0682">
      <w:pPr>
        <w:pStyle w:val="ListParagraph"/>
        <w:numPr>
          <w:ilvl w:val="0"/>
          <w:numId w:val="5"/>
        </w:numPr>
      </w:pPr>
      <w:r>
        <w:t>&lt;</w:t>
      </w:r>
      <w:proofErr w:type="spellStart"/>
      <w:r>
        <w:t>failovergroupname</w:t>
      </w:r>
      <w:proofErr w:type="spellEnd"/>
      <w:r>
        <w:t>&gt;.secondary.database.windows.net</w:t>
      </w:r>
    </w:p>
    <w:p w14:paraId="4E273B8F" w14:textId="0022A7E6" w:rsidR="00A43074" w:rsidRDefault="00EB0682">
      <w:r>
        <w:t>The</w:t>
      </w:r>
      <w:r w:rsidR="00CD15EC">
        <w:t>se</w:t>
      </w:r>
      <w:r>
        <w:t xml:space="preserve"> public DNS records are managed by Microsoft</w:t>
      </w:r>
      <w:r w:rsidR="00CD15EC">
        <w:t xml:space="preserve"> and they work as aliases to the replicated servers. The read-write endpoint will always target the server that has the primary role. In Figure 2, it currently points to </w:t>
      </w:r>
      <w:r w:rsidR="00CD15EC" w:rsidRPr="00CD15EC">
        <w:rPr>
          <w:rFonts w:ascii="Courier New" w:hAnsi="Courier New" w:cs="Courier New"/>
        </w:rPr>
        <w:t>primary.database.windows.net</w:t>
      </w:r>
      <w:r w:rsidR="00CD15EC">
        <w:t xml:space="preserve">, our server in Belgium Central. </w:t>
      </w:r>
    </w:p>
    <w:p w14:paraId="45ED38C0" w14:textId="3950341F" w:rsidR="00CD15EC" w:rsidRDefault="00CD15EC">
      <w:r w:rsidRPr="00CD15EC">
        <w:rPr>
          <w:i/>
          <w:iCs/>
        </w:rPr>
        <w:t>Figure 3</w:t>
      </w:r>
      <w:r>
        <w:t xml:space="preserve"> shows the situation after failover.</w:t>
      </w:r>
    </w:p>
    <w:p w14:paraId="66FAE43E" w14:textId="77777777" w:rsidR="00A43074" w:rsidRDefault="00A43074"/>
    <w:p w14:paraId="2ACF7FED" w14:textId="10F94FA1" w:rsidR="00A43074" w:rsidRDefault="00CD15EC">
      <w:r>
        <w:object w:dxaOrig="14356" w:dyaOrig="12060" w14:anchorId="3C7E02B6">
          <v:shape id="_x0000_i1027" type="#_x0000_t75" style="width:450.8pt;height:378.8pt" o:ole="">
            <v:imagedata r:id="rId13" o:title=""/>
          </v:shape>
          <o:OLEObject Type="Embed" ProgID="Visio.Drawing.15" ShapeID="_x0000_i1027" DrawAspect="Content" ObjectID="_1828105159" r:id="rId14"/>
        </w:object>
      </w:r>
    </w:p>
    <w:p w14:paraId="0A3EF417" w14:textId="47A2AB51" w:rsidR="001741EE" w:rsidRPr="003F0DE2" w:rsidRDefault="001741EE" w:rsidP="001741EE">
      <w:pPr>
        <w:jc w:val="center"/>
        <w:rPr>
          <w:i/>
          <w:iCs/>
        </w:rPr>
      </w:pPr>
      <w:r w:rsidRPr="003F0DE2">
        <w:rPr>
          <w:i/>
          <w:iCs/>
        </w:rPr>
        <w:t xml:space="preserve">Figure </w:t>
      </w:r>
      <w:r>
        <w:rPr>
          <w:i/>
          <w:iCs/>
        </w:rPr>
        <w:t>3</w:t>
      </w:r>
      <w:r w:rsidRPr="003F0DE2">
        <w:rPr>
          <w:i/>
          <w:iCs/>
        </w:rPr>
        <w:t xml:space="preserve"> – </w:t>
      </w:r>
      <w:r>
        <w:rPr>
          <w:i/>
          <w:iCs/>
        </w:rPr>
        <w:t>Failover group after failover</w:t>
      </w:r>
    </w:p>
    <w:p w14:paraId="6CF157E7" w14:textId="77777777" w:rsidR="00A43074" w:rsidRDefault="00A43074"/>
    <w:p w14:paraId="327B0203" w14:textId="11C6CBE7" w:rsidR="00832740" w:rsidRDefault="00CD15EC">
      <w:r>
        <w:t xml:space="preserve">We see that this time, the read/write endpoint points to </w:t>
      </w:r>
      <w:r w:rsidRPr="00CD15EC">
        <w:rPr>
          <w:rFonts w:ascii="Courier New" w:hAnsi="Courier New" w:cs="Courier New"/>
        </w:rPr>
        <w:t>secondary.database.windows.net</w:t>
      </w:r>
      <w:r>
        <w:t>, our server in France Central, which has become the new primary.</w:t>
      </w:r>
    </w:p>
    <w:p w14:paraId="2D4AA031" w14:textId="3FCD8998" w:rsidR="003D3456" w:rsidRDefault="003D3456">
      <w:r>
        <w:t>To help you test this setup, I have created a GitHub repo</w:t>
      </w:r>
      <w:r w:rsidR="00904C15">
        <w:t xml:space="preserve"> </w:t>
      </w:r>
      <w:hyperlink r:id="rId15" w:history="1">
        <w:r w:rsidR="00904C15" w:rsidRPr="00F5515E">
          <w:rPr>
            <w:rStyle w:val="Hyperlink"/>
          </w:rPr>
          <w:t>https://github.com/stephaneey/azure-and-k8s-architecture/tree/main/availability-samples/sql</w:t>
        </w:r>
      </w:hyperlink>
      <w:r w:rsidR="00904C15">
        <w:t xml:space="preserve"> </w:t>
      </w:r>
      <w:r>
        <w:t xml:space="preserve">where you can find </w:t>
      </w:r>
      <w:r w:rsidR="00904C15">
        <w:t>both a sample console application and some Terraform code. You can find the explanations on how to deploy and test this in the repo itself.</w:t>
      </w:r>
    </w:p>
    <w:p w14:paraId="1ACB1840" w14:textId="0B962491" w:rsidR="00FA0F02" w:rsidRDefault="00FA0F02">
      <w:r>
        <w:t>Next, let’s look at how to maximize availability using Cosmos DB.</w:t>
      </w:r>
    </w:p>
    <w:p w14:paraId="4E15E300" w14:textId="77777777" w:rsidR="00904C15" w:rsidRDefault="00904C15"/>
    <w:p w14:paraId="4FFE2D25" w14:textId="0128963E" w:rsidR="00904C15" w:rsidRDefault="00904C15" w:rsidP="00904C15">
      <w:pPr>
        <w:pStyle w:val="Title"/>
      </w:pPr>
      <w:r>
        <w:t>Looking at Cosmos DB</w:t>
      </w:r>
    </w:p>
    <w:p w14:paraId="003FD355" w14:textId="77777777" w:rsidR="00904C15" w:rsidRDefault="00904C15"/>
    <w:p w14:paraId="1547AB97" w14:textId="6857DBFF" w:rsidR="00FA0F02" w:rsidRDefault="00FA0F02">
      <w:r w:rsidRPr="00FA0F02">
        <w:t xml:space="preserve">As of January 2026, Cosmos DB is the only Azure service that supports true active/active read-write deployments through its multi-region writes capability. For scenarios that do not rely on </w:t>
      </w:r>
      <w:r w:rsidRPr="00FA0F02">
        <w:lastRenderedPageBreak/>
        <w:t>relational models or strict referential integrity—and where eventual consistency (most commonly session consistency) is acceptable—Cosmos DB is the preferred choice.</w:t>
      </w:r>
      <w:r>
        <w:t xml:space="preserve"> </w:t>
      </w:r>
    </w:p>
    <w:p w14:paraId="549D0BCC" w14:textId="1AE5CB4F" w:rsidR="008819E7" w:rsidRDefault="008819E7">
      <w:r w:rsidRPr="008819E7">
        <w:rPr>
          <w:i/>
          <w:iCs/>
        </w:rPr>
        <w:t>Figure 4</w:t>
      </w:r>
      <w:r>
        <w:t xml:space="preserve"> represents an API platform spanning two continents (Europe and US) and leverage the multi-region writes feature.</w:t>
      </w:r>
    </w:p>
    <w:p w14:paraId="5D937F7F" w14:textId="77777777" w:rsidR="00FA0F02" w:rsidRDefault="00FA0F02"/>
    <w:p w14:paraId="6A9A8226" w14:textId="0BB922A5" w:rsidR="00FA0F02" w:rsidRDefault="008819E7">
      <w:r>
        <w:object w:dxaOrig="19058" w:dyaOrig="14475" w14:anchorId="0325FDDC">
          <v:shape id="_x0000_i1031" type="#_x0000_t75" style="width:450.8pt;height:342.45pt" o:ole="">
            <v:imagedata r:id="rId16" o:title=""/>
          </v:shape>
          <o:OLEObject Type="Embed" ProgID="Visio.Drawing.15" ShapeID="_x0000_i1031" DrawAspect="Content" ObjectID="_1828105160" r:id="rId17"/>
        </w:object>
      </w:r>
    </w:p>
    <w:p w14:paraId="487A395A" w14:textId="1FF0D3DF" w:rsidR="008819E7" w:rsidRPr="008819E7" w:rsidRDefault="008819E7" w:rsidP="008819E7">
      <w:pPr>
        <w:jc w:val="center"/>
        <w:rPr>
          <w:i/>
          <w:iCs/>
        </w:rPr>
      </w:pPr>
      <w:r w:rsidRPr="008819E7">
        <w:rPr>
          <w:i/>
          <w:iCs/>
        </w:rPr>
        <w:t>Figure 4 – Leveraging Cosmos DB multi-region writes for a global API platform</w:t>
      </w:r>
    </w:p>
    <w:p w14:paraId="22B2213F" w14:textId="77777777" w:rsidR="008819E7" w:rsidRDefault="008819E7"/>
    <w:p w14:paraId="4730BBD8" w14:textId="0B1677F9" w:rsidR="008819E7" w:rsidRDefault="008819E7">
      <w:r>
        <w:t xml:space="preserve">Note: the raw diagram is available here </w:t>
      </w:r>
      <w:hyperlink r:id="rId18" w:history="1">
        <w:r w:rsidRPr="00A1535D">
          <w:rPr>
            <w:rStyle w:val="Hyperlink"/>
          </w:rPr>
          <w:t>https://github.com/PacktPublishing/The-Azure-Cloud-Native-Architecture-Mapbook-Second-Edition/blob/main/Chapter03/diagrams/diagrams.vsdx</w:t>
        </w:r>
      </w:hyperlink>
    </w:p>
    <w:p w14:paraId="565D0305" w14:textId="14E967FF" w:rsidR="008819E7" w:rsidRDefault="00471732">
      <w:r w:rsidRPr="00471732">
        <w:t>I delivered a 25-minute live demo on this topic during a Microsoft API Management event (</w:t>
      </w:r>
      <w:hyperlink r:id="rId19" w:history="1">
        <w:r w:rsidR="00D510CD" w:rsidRPr="00A1535D">
          <w:rPr>
            <w:rStyle w:val="Hyperlink"/>
          </w:rPr>
          <w:t>https://www.youtube.com/watch?v=dbwvhGVV3mU</w:t>
        </w:r>
      </w:hyperlink>
      <w:r w:rsidR="00D510CD">
        <w:t xml:space="preserve"> </w:t>
      </w:r>
      <w:r w:rsidRPr="00471732">
        <w:t>starting at minute 53 of the recording). Microsoft slightly fast-forwarded the video, so the pace is a bit quicker, but it remains easy to follow.</w:t>
      </w:r>
    </w:p>
    <w:p w14:paraId="72BE6B21" w14:textId="77777777" w:rsidR="00041874" w:rsidRDefault="00041874">
      <w:r>
        <w:t xml:space="preserve">In a nutshell, </w:t>
      </w:r>
      <w:r w:rsidR="008819E7">
        <w:t xml:space="preserve">US callers are sent to the US backend and EU callers to the EU backend. </w:t>
      </w:r>
      <w:r>
        <w:t>What is interesting in this architecture is that every layer is failure-resistant.</w:t>
      </w:r>
    </w:p>
    <w:p w14:paraId="1C8A509A" w14:textId="027A536C" w:rsidR="00041874" w:rsidRDefault="00041874">
      <w:r>
        <w:t xml:space="preserve">The entry point, Front Door uses geo-proximity by default but is able to send US callers to EU and vice versa in case the regional backend is unhealthy. API Management’s regional gateways forward to their regional backends. </w:t>
      </w:r>
    </w:p>
    <w:p w14:paraId="55BEA73D" w14:textId="501149D1" w:rsidR="008819E7" w:rsidRDefault="008819E7">
      <w:r>
        <w:lastRenderedPageBreak/>
        <w:t>Each of the backends hosted on app services is leveraging the Cosmos DB SDK</w:t>
      </w:r>
      <w:r w:rsidR="00041874">
        <w:t>,</w:t>
      </w:r>
      <w:r>
        <w:t xml:space="preserve"> </w:t>
      </w:r>
      <w:r w:rsidR="00471732">
        <w:t xml:space="preserve">that is smart enough to detect </w:t>
      </w:r>
      <w:r w:rsidR="00041874">
        <w:t xml:space="preserve">whether the corresponding Cosmos DB region is available or not. The API will seamlessly switch to the available region in case of a regional failure impacting only Cosmos DB. </w:t>
      </w:r>
      <w:r w:rsidR="00DD1516">
        <w:t>That’s what I’m going to focus on in this article.</w:t>
      </w:r>
    </w:p>
    <w:p w14:paraId="20B8B93F" w14:textId="3E942282" w:rsidR="00DD1516" w:rsidRDefault="005A695B">
      <w:r>
        <w:t>Figure xxx focuses on the backend part.</w:t>
      </w:r>
    </w:p>
    <w:p w14:paraId="1D56CD8F" w14:textId="77777777" w:rsidR="005A695B" w:rsidRDefault="005A695B"/>
    <w:p w14:paraId="1DB761EC" w14:textId="4E25EC71" w:rsidR="005A695B" w:rsidRDefault="005A695B">
      <w:r>
        <w:object w:dxaOrig="11970" w:dyaOrig="12540" w14:anchorId="3AC23755">
          <v:shape id="_x0000_i1042" type="#_x0000_t75" style="width:451.4pt;height:472.7pt" o:ole="">
            <v:imagedata r:id="rId20" o:title=""/>
          </v:shape>
          <o:OLEObject Type="Embed" ProgID="Visio.Drawing.15" ShapeID="_x0000_i1042" DrawAspect="Content" ObjectID="_1828105161" r:id="rId21"/>
        </w:object>
      </w:r>
    </w:p>
    <w:p w14:paraId="4E122340" w14:textId="22C29393" w:rsidR="005A695B" w:rsidRDefault="005A695B">
      <w:r>
        <w:t>Figure xxx – focusing on backend</w:t>
      </w:r>
    </w:p>
    <w:p w14:paraId="154D0591" w14:textId="77777777" w:rsidR="005A695B" w:rsidRDefault="005A695B"/>
    <w:p w14:paraId="6828DDC3" w14:textId="1BDD009D" w:rsidR="005A695B" w:rsidRDefault="0046328D">
      <w:r>
        <w:t xml:space="preserve">My US and EU app services talk respectively to their regional Cosmos DB endpoint. Note that each region has three private endpoints, which makes it possible from EU to go to the US and vice versa through the private endpoint plumbing. If, for some reason, the EU backend cannot talk to the EU Cosmos endpoint, it will take the US path. Of course, there is an impact on </w:t>
      </w:r>
      <w:r>
        <w:lastRenderedPageBreak/>
        <w:t xml:space="preserve">latency but the solution keeps working and doesn’t even need to be restarted. In case of a full regional outage (say entire EU is down), Front Door would direct all </w:t>
      </w:r>
      <w:r w:rsidR="00DF46A4">
        <w:t>API calls</w:t>
      </w:r>
      <w:r>
        <w:t xml:space="preserve"> to the US backend.</w:t>
      </w:r>
      <w:r w:rsidR="00DF46A4">
        <w:t xml:space="preserve"> This architecture can resist to both local outages and regional ones. </w:t>
      </w:r>
      <w:r>
        <w:t xml:space="preserve"> </w:t>
      </w:r>
    </w:p>
    <w:p w14:paraId="14C337E7" w14:textId="29DEFBB3" w:rsidR="008819E7" w:rsidRDefault="008819E7"/>
    <w:p w14:paraId="7DE18858" w14:textId="5CDCF233" w:rsidR="008819E7" w:rsidRDefault="00533C2C">
      <w:r>
        <w:t xml:space="preserve">To help you test this built-in resilience using Cosmos, I have developed a sample API along with the Infrastructure as Code bits that deploy a simplified setup </w:t>
      </w:r>
    </w:p>
    <w:p w14:paraId="25A8A7F1" w14:textId="77777777" w:rsidR="008819E7" w:rsidRDefault="008819E7"/>
    <w:p w14:paraId="6A65F49D" w14:textId="6A6AD4F9" w:rsidR="008819E7" w:rsidRDefault="008819E7"/>
    <w:p w14:paraId="2C6D0014" w14:textId="77777777" w:rsidR="008819E7" w:rsidRDefault="008819E7"/>
    <w:p w14:paraId="21C39355" w14:textId="77777777" w:rsidR="008819E7" w:rsidRDefault="008819E7"/>
    <w:p w14:paraId="4E9FFDA0" w14:textId="1DAA4962" w:rsidR="008819E7" w:rsidRDefault="00533C2C">
      <w:r>
        <w:object w:dxaOrig="6240" w:dyaOrig="4770" w14:anchorId="4520FD82">
          <v:shape id="_x0000_i1044" type="#_x0000_t75" style="width:311.8pt;height:238.55pt" o:ole="">
            <v:imagedata r:id="rId22" o:title=""/>
          </v:shape>
          <o:OLEObject Type="Embed" ProgID="Visio.Drawing.15" ShapeID="_x0000_i1044" DrawAspect="Content" ObjectID="_1828105162" r:id="rId23"/>
        </w:object>
      </w:r>
    </w:p>
    <w:p w14:paraId="0B0064C5" w14:textId="1F794839" w:rsidR="008819E7" w:rsidRDefault="008819E7"/>
    <w:sectPr w:rsidR="008819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7477CC"/>
    <w:multiLevelType w:val="hybridMultilevel"/>
    <w:tmpl w:val="1B04ECBC"/>
    <w:lvl w:ilvl="0" w:tplc="C7EE806C">
      <w:start w:val="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4F413393"/>
    <w:multiLevelType w:val="hybridMultilevel"/>
    <w:tmpl w:val="DC8CA08A"/>
    <w:lvl w:ilvl="0" w:tplc="93C0ADB0">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51EC1F3B"/>
    <w:multiLevelType w:val="multilevel"/>
    <w:tmpl w:val="88B85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B66430"/>
    <w:multiLevelType w:val="hybridMultilevel"/>
    <w:tmpl w:val="C03655A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7E013177"/>
    <w:multiLevelType w:val="hybridMultilevel"/>
    <w:tmpl w:val="2DC2BA9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900599216">
    <w:abstractNumId w:val="1"/>
  </w:num>
  <w:num w:numId="2" w16cid:durableId="766192334">
    <w:abstractNumId w:val="2"/>
  </w:num>
  <w:num w:numId="3" w16cid:durableId="35353868">
    <w:abstractNumId w:val="4"/>
  </w:num>
  <w:num w:numId="4" w16cid:durableId="626352947">
    <w:abstractNumId w:val="3"/>
  </w:num>
  <w:num w:numId="5" w16cid:durableId="2003965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6183"/>
    <w:rsid w:val="00036F76"/>
    <w:rsid w:val="00041874"/>
    <w:rsid w:val="00045EB7"/>
    <w:rsid w:val="00066135"/>
    <w:rsid w:val="000A0E09"/>
    <w:rsid w:val="000A3040"/>
    <w:rsid w:val="00106E02"/>
    <w:rsid w:val="00166494"/>
    <w:rsid w:val="001741EE"/>
    <w:rsid w:val="001A0CF2"/>
    <w:rsid w:val="00206F2C"/>
    <w:rsid w:val="00212732"/>
    <w:rsid w:val="002144E3"/>
    <w:rsid w:val="0026509F"/>
    <w:rsid w:val="002834C2"/>
    <w:rsid w:val="00301768"/>
    <w:rsid w:val="003563F6"/>
    <w:rsid w:val="003C5BFD"/>
    <w:rsid w:val="003D3456"/>
    <w:rsid w:val="003D3A7F"/>
    <w:rsid w:val="003E1289"/>
    <w:rsid w:val="003F0DE2"/>
    <w:rsid w:val="003F1018"/>
    <w:rsid w:val="00432630"/>
    <w:rsid w:val="00456183"/>
    <w:rsid w:val="0046328D"/>
    <w:rsid w:val="00471732"/>
    <w:rsid w:val="004E1453"/>
    <w:rsid w:val="004E7027"/>
    <w:rsid w:val="00520145"/>
    <w:rsid w:val="00533C2C"/>
    <w:rsid w:val="00553C70"/>
    <w:rsid w:val="00594875"/>
    <w:rsid w:val="005A695B"/>
    <w:rsid w:val="00673EB4"/>
    <w:rsid w:val="0075390C"/>
    <w:rsid w:val="00777CF1"/>
    <w:rsid w:val="00803B4A"/>
    <w:rsid w:val="00824430"/>
    <w:rsid w:val="00832740"/>
    <w:rsid w:val="00851A0A"/>
    <w:rsid w:val="008819E7"/>
    <w:rsid w:val="008B14F2"/>
    <w:rsid w:val="008C23BF"/>
    <w:rsid w:val="00900DBB"/>
    <w:rsid w:val="00904C15"/>
    <w:rsid w:val="00955B64"/>
    <w:rsid w:val="009A21BF"/>
    <w:rsid w:val="00A23433"/>
    <w:rsid w:val="00A43074"/>
    <w:rsid w:val="00A46DCD"/>
    <w:rsid w:val="00A66CDE"/>
    <w:rsid w:val="00A8377A"/>
    <w:rsid w:val="00A97CDB"/>
    <w:rsid w:val="00AB0291"/>
    <w:rsid w:val="00AC7852"/>
    <w:rsid w:val="00B142E2"/>
    <w:rsid w:val="00B4247D"/>
    <w:rsid w:val="00B71E14"/>
    <w:rsid w:val="00B77025"/>
    <w:rsid w:val="00B82CA9"/>
    <w:rsid w:val="00B91014"/>
    <w:rsid w:val="00BB55BD"/>
    <w:rsid w:val="00BE2A5E"/>
    <w:rsid w:val="00BE651C"/>
    <w:rsid w:val="00BF0FB7"/>
    <w:rsid w:val="00C71848"/>
    <w:rsid w:val="00CD15EC"/>
    <w:rsid w:val="00CD2593"/>
    <w:rsid w:val="00D24C7B"/>
    <w:rsid w:val="00D271E9"/>
    <w:rsid w:val="00D3452C"/>
    <w:rsid w:val="00D510CD"/>
    <w:rsid w:val="00D53F62"/>
    <w:rsid w:val="00D558CC"/>
    <w:rsid w:val="00D67588"/>
    <w:rsid w:val="00D816E0"/>
    <w:rsid w:val="00D861B4"/>
    <w:rsid w:val="00D86E0E"/>
    <w:rsid w:val="00DB76DC"/>
    <w:rsid w:val="00DD1516"/>
    <w:rsid w:val="00DD4ED1"/>
    <w:rsid w:val="00DF4067"/>
    <w:rsid w:val="00DF46A4"/>
    <w:rsid w:val="00EB0682"/>
    <w:rsid w:val="00EE34FD"/>
    <w:rsid w:val="00EF3195"/>
    <w:rsid w:val="00F13240"/>
    <w:rsid w:val="00F16585"/>
    <w:rsid w:val="00F533E0"/>
    <w:rsid w:val="00F56785"/>
    <w:rsid w:val="00F678E2"/>
    <w:rsid w:val="00FA0F02"/>
    <w:rsid w:val="00FA1FB5"/>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9CBB3"/>
  <w15:chartTrackingRefBased/>
  <w15:docId w15:val="{4E21CA10-96D4-46A2-8BA7-154F6AE6F1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561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561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561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61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61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61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61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61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61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61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561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561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61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61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61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61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61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6183"/>
    <w:rPr>
      <w:rFonts w:eastAsiaTheme="majorEastAsia" w:cstheme="majorBidi"/>
      <w:color w:val="272727" w:themeColor="text1" w:themeTint="D8"/>
    </w:rPr>
  </w:style>
  <w:style w:type="paragraph" w:styleId="Title">
    <w:name w:val="Title"/>
    <w:basedOn w:val="Normal"/>
    <w:next w:val="Normal"/>
    <w:link w:val="TitleChar"/>
    <w:uiPriority w:val="10"/>
    <w:qFormat/>
    <w:rsid w:val="004561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61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61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61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6183"/>
    <w:pPr>
      <w:spacing w:before="160"/>
      <w:jc w:val="center"/>
    </w:pPr>
    <w:rPr>
      <w:i/>
      <w:iCs/>
      <w:color w:val="404040" w:themeColor="text1" w:themeTint="BF"/>
    </w:rPr>
  </w:style>
  <w:style w:type="character" w:customStyle="1" w:styleId="QuoteChar">
    <w:name w:val="Quote Char"/>
    <w:basedOn w:val="DefaultParagraphFont"/>
    <w:link w:val="Quote"/>
    <w:uiPriority w:val="29"/>
    <w:rsid w:val="00456183"/>
    <w:rPr>
      <w:i/>
      <w:iCs/>
      <w:color w:val="404040" w:themeColor="text1" w:themeTint="BF"/>
    </w:rPr>
  </w:style>
  <w:style w:type="paragraph" w:styleId="ListParagraph">
    <w:name w:val="List Paragraph"/>
    <w:basedOn w:val="Normal"/>
    <w:uiPriority w:val="34"/>
    <w:qFormat/>
    <w:rsid w:val="00456183"/>
    <w:pPr>
      <w:ind w:left="720"/>
      <w:contextualSpacing/>
    </w:pPr>
  </w:style>
  <w:style w:type="character" w:styleId="IntenseEmphasis">
    <w:name w:val="Intense Emphasis"/>
    <w:basedOn w:val="DefaultParagraphFont"/>
    <w:uiPriority w:val="21"/>
    <w:qFormat/>
    <w:rsid w:val="00456183"/>
    <w:rPr>
      <w:i/>
      <w:iCs/>
      <w:color w:val="0F4761" w:themeColor="accent1" w:themeShade="BF"/>
    </w:rPr>
  </w:style>
  <w:style w:type="paragraph" w:styleId="IntenseQuote">
    <w:name w:val="Intense Quote"/>
    <w:basedOn w:val="Normal"/>
    <w:next w:val="Normal"/>
    <w:link w:val="IntenseQuoteChar"/>
    <w:uiPriority w:val="30"/>
    <w:qFormat/>
    <w:rsid w:val="004561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6183"/>
    <w:rPr>
      <w:i/>
      <w:iCs/>
      <w:color w:val="0F4761" w:themeColor="accent1" w:themeShade="BF"/>
    </w:rPr>
  </w:style>
  <w:style w:type="character" w:styleId="IntenseReference">
    <w:name w:val="Intense Reference"/>
    <w:basedOn w:val="DefaultParagraphFont"/>
    <w:uiPriority w:val="32"/>
    <w:qFormat/>
    <w:rsid w:val="00456183"/>
    <w:rPr>
      <w:b/>
      <w:bCs/>
      <w:smallCaps/>
      <w:color w:val="0F4761" w:themeColor="accent1" w:themeShade="BF"/>
      <w:spacing w:val="5"/>
    </w:rPr>
  </w:style>
  <w:style w:type="paragraph" w:styleId="NormalWeb">
    <w:name w:val="Normal (Web)"/>
    <w:basedOn w:val="Normal"/>
    <w:uiPriority w:val="99"/>
    <w:semiHidden/>
    <w:unhideWhenUsed/>
    <w:rsid w:val="00CD2593"/>
    <w:pPr>
      <w:spacing w:before="100" w:beforeAutospacing="1" w:after="100" w:afterAutospacing="1" w:line="240" w:lineRule="auto"/>
    </w:pPr>
    <w:rPr>
      <w:rFonts w:ascii="Times New Roman" w:eastAsia="Times New Roman" w:hAnsi="Times New Roman" w:cs="Times New Roman"/>
      <w:sz w:val="24"/>
      <w:szCs w:val="24"/>
      <w:lang w:eastAsia="en-BE"/>
    </w:rPr>
  </w:style>
  <w:style w:type="character" w:styleId="HTMLCode">
    <w:name w:val="HTML Code"/>
    <w:basedOn w:val="DefaultParagraphFont"/>
    <w:uiPriority w:val="99"/>
    <w:semiHidden/>
    <w:unhideWhenUsed/>
    <w:rsid w:val="00CD2593"/>
    <w:rPr>
      <w:rFonts w:ascii="Courier New" w:eastAsia="Times New Roman" w:hAnsi="Courier New" w:cs="Courier New"/>
      <w:sz w:val="20"/>
      <w:szCs w:val="20"/>
    </w:rPr>
  </w:style>
  <w:style w:type="paragraph" w:customStyle="1" w:styleId="code">
    <w:name w:val="code"/>
    <w:basedOn w:val="Normal"/>
    <w:link w:val="codeChar"/>
    <w:rsid w:val="00BE2A5E"/>
  </w:style>
  <w:style w:type="character" w:customStyle="1" w:styleId="codeChar">
    <w:name w:val="code Char"/>
    <w:basedOn w:val="DefaultParagraphFont"/>
    <w:link w:val="code"/>
    <w:rsid w:val="00BE2A5E"/>
    <w:rPr>
      <w:lang w:val="en-BE"/>
    </w:rPr>
  </w:style>
  <w:style w:type="paragraph" w:customStyle="1" w:styleId="cod">
    <w:name w:val="cod"/>
    <w:basedOn w:val="code"/>
    <w:link w:val="codChar"/>
    <w:qFormat/>
    <w:rsid w:val="00BE2A5E"/>
    <w:rPr>
      <w:rFonts w:ascii="Courier New" w:hAnsi="Courier New" w:cs="Courier New"/>
      <w:sz w:val="20"/>
      <w:szCs w:val="20"/>
    </w:rPr>
  </w:style>
  <w:style w:type="character" w:customStyle="1" w:styleId="codChar">
    <w:name w:val="cod Char"/>
    <w:basedOn w:val="codeChar"/>
    <w:link w:val="cod"/>
    <w:rsid w:val="00BE2A5E"/>
    <w:rPr>
      <w:rFonts w:ascii="Courier New" w:hAnsi="Courier New" w:cs="Courier New"/>
      <w:sz w:val="20"/>
      <w:szCs w:val="20"/>
      <w:lang w:val="en-BE"/>
    </w:rPr>
  </w:style>
  <w:style w:type="character" w:styleId="Hyperlink">
    <w:name w:val="Hyperlink"/>
    <w:basedOn w:val="DefaultParagraphFont"/>
    <w:uiPriority w:val="99"/>
    <w:unhideWhenUsed/>
    <w:rsid w:val="00D24C7B"/>
    <w:rPr>
      <w:color w:val="467886" w:themeColor="hyperlink"/>
      <w:u w:val="single"/>
    </w:rPr>
  </w:style>
  <w:style w:type="character" w:styleId="UnresolvedMention">
    <w:name w:val="Unresolved Mention"/>
    <w:basedOn w:val="DefaultParagraphFont"/>
    <w:uiPriority w:val="99"/>
    <w:semiHidden/>
    <w:unhideWhenUsed/>
    <w:rsid w:val="00D24C7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6934009">
      <w:bodyDiv w:val="1"/>
      <w:marLeft w:val="0"/>
      <w:marRight w:val="0"/>
      <w:marTop w:val="0"/>
      <w:marBottom w:val="0"/>
      <w:divBdr>
        <w:top w:val="none" w:sz="0" w:space="0" w:color="auto"/>
        <w:left w:val="none" w:sz="0" w:space="0" w:color="auto"/>
        <w:bottom w:val="none" w:sz="0" w:space="0" w:color="auto"/>
        <w:right w:val="none" w:sz="0" w:space="0" w:color="auto"/>
      </w:divBdr>
    </w:div>
    <w:div w:id="672490403">
      <w:bodyDiv w:val="1"/>
      <w:marLeft w:val="0"/>
      <w:marRight w:val="0"/>
      <w:marTop w:val="0"/>
      <w:marBottom w:val="0"/>
      <w:divBdr>
        <w:top w:val="none" w:sz="0" w:space="0" w:color="auto"/>
        <w:left w:val="none" w:sz="0" w:space="0" w:color="auto"/>
        <w:bottom w:val="none" w:sz="0" w:space="0" w:color="auto"/>
        <w:right w:val="none" w:sz="0" w:space="0" w:color="auto"/>
      </w:divBdr>
    </w:div>
    <w:div w:id="754321089">
      <w:bodyDiv w:val="1"/>
      <w:marLeft w:val="0"/>
      <w:marRight w:val="0"/>
      <w:marTop w:val="0"/>
      <w:marBottom w:val="0"/>
      <w:divBdr>
        <w:top w:val="none" w:sz="0" w:space="0" w:color="auto"/>
        <w:left w:val="none" w:sz="0" w:space="0" w:color="auto"/>
        <w:bottom w:val="none" w:sz="0" w:space="0" w:color="auto"/>
        <w:right w:val="none" w:sz="0" w:space="0" w:color="auto"/>
      </w:divBdr>
      <w:divsChild>
        <w:div w:id="907228462">
          <w:marLeft w:val="0"/>
          <w:marRight w:val="0"/>
          <w:marTop w:val="0"/>
          <w:marBottom w:val="0"/>
          <w:divBdr>
            <w:top w:val="none" w:sz="0" w:space="0" w:color="auto"/>
            <w:left w:val="none" w:sz="0" w:space="0" w:color="auto"/>
            <w:bottom w:val="none" w:sz="0" w:space="0" w:color="auto"/>
            <w:right w:val="none" w:sz="0" w:space="0" w:color="auto"/>
          </w:divBdr>
          <w:divsChild>
            <w:div w:id="1501385361">
              <w:marLeft w:val="0"/>
              <w:marRight w:val="0"/>
              <w:marTop w:val="0"/>
              <w:marBottom w:val="0"/>
              <w:divBdr>
                <w:top w:val="none" w:sz="0" w:space="0" w:color="auto"/>
                <w:left w:val="none" w:sz="0" w:space="0" w:color="auto"/>
                <w:bottom w:val="none" w:sz="0" w:space="0" w:color="auto"/>
                <w:right w:val="none" w:sz="0" w:space="0" w:color="auto"/>
              </w:divBdr>
              <w:divsChild>
                <w:div w:id="1009719884">
                  <w:marLeft w:val="0"/>
                  <w:marRight w:val="0"/>
                  <w:marTop w:val="0"/>
                  <w:marBottom w:val="0"/>
                  <w:divBdr>
                    <w:top w:val="none" w:sz="0" w:space="0" w:color="auto"/>
                    <w:left w:val="none" w:sz="0" w:space="0" w:color="auto"/>
                    <w:bottom w:val="none" w:sz="0" w:space="0" w:color="auto"/>
                    <w:right w:val="none" w:sz="0" w:space="0" w:color="auto"/>
                  </w:divBdr>
                  <w:divsChild>
                    <w:div w:id="257062925">
                      <w:marLeft w:val="0"/>
                      <w:marRight w:val="0"/>
                      <w:marTop w:val="0"/>
                      <w:marBottom w:val="0"/>
                      <w:divBdr>
                        <w:top w:val="none" w:sz="0" w:space="0" w:color="auto"/>
                        <w:left w:val="none" w:sz="0" w:space="0" w:color="auto"/>
                        <w:bottom w:val="none" w:sz="0" w:space="0" w:color="auto"/>
                        <w:right w:val="none" w:sz="0" w:space="0" w:color="auto"/>
                      </w:divBdr>
                      <w:divsChild>
                        <w:div w:id="629016417">
                          <w:marLeft w:val="0"/>
                          <w:marRight w:val="0"/>
                          <w:marTop w:val="0"/>
                          <w:marBottom w:val="0"/>
                          <w:divBdr>
                            <w:top w:val="none" w:sz="0" w:space="0" w:color="auto"/>
                            <w:left w:val="none" w:sz="0" w:space="0" w:color="auto"/>
                            <w:bottom w:val="none" w:sz="0" w:space="0" w:color="auto"/>
                            <w:right w:val="none" w:sz="0" w:space="0" w:color="auto"/>
                          </w:divBdr>
                          <w:divsChild>
                            <w:div w:id="626396452">
                              <w:marLeft w:val="0"/>
                              <w:marRight w:val="0"/>
                              <w:marTop w:val="0"/>
                              <w:marBottom w:val="0"/>
                              <w:divBdr>
                                <w:top w:val="none" w:sz="0" w:space="0" w:color="auto"/>
                                <w:left w:val="none" w:sz="0" w:space="0" w:color="auto"/>
                                <w:bottom w:val="none" w:sz="0" w:space="0" w:color="auto"/>
                                <w:right w:val="none" w:sz="0" w:space="0" w:color="auto"/>
                              </w:divBdr>
                              <w:divsChild>
                                <w:div w:id="17094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7559840">
      <w:bodyDiv w:val="1"/>
      <w:marLeft w:val="0"/>
      <w:marRight w:val="0"/>
      <w:marTop w:val="0"/>
      <w:marBottom w:val="0"/>
      <w:divBdr>
        <w:top w:val="none" w:sz="0" w:space="0" w:color="auto"/>
        <w:left w:val="none" w:sz="0" w:space="0" w:color="auto"/>
        <w:bottom w:val="none" w:sz="0" w:space="0" w:color="auto"/>
        <w:right w:val="none" w:sz="0" w:space="0" w:color="auto"/>
      </w:divBdr>
    </w:div>
    <w:div w:id="945574991">
      <w:bodyDiv w:val="1"/>
      <w:marLeft w:val="0"/>
      <w:marRight w:val="0"/>
      <w:marTop w:val="0"/>
      <w:marBottom w:val="0"/>
      <w:divBdr>
        <w:top w:val="none" w:sz="0" w:space="0" w:color="auto"/>
        <w:left w:val="none" w:sz="0" w:space="0" w:color="auto"/>
        <w:bottom w:val="none" w:sz="0" w:space="0" w:color="auto"/>
        <w:right w:val="none" w:sz="0" w:space="0" w:color="auto"/>
      </w:divBdr>
    </w:div>
    <w:div w:id="1113667004">
      <w:bodyDiv w:val="1"/>
      <w:marLeft w:val="0"/>
      <w:marRight w:val="0"/>
      <w:marTop w:val="0"/>
      <w:marBottom w:val="0"/>
      <w:divBdr>
        <w:top w:val="none" w:sz="0" w:space="0" w:color="auto"/>
        <w:left w:val="none" w:sz="0" w:space="0" w:color="auto"/>
        <w:bottom w:val="none" w:sz="0" w:space="0" w:color="auto"/>
        <w:right w:val="none" w:sz="0" w:space="0" w:color="auto"/>
      </w:divBdr>
      <w:divsChild>
        <w:div w:id="187374375">
          <w:marLeft w:val="0"/>
          <w:marRight w:val="0"/>
          <w:marTop w:val="0"/>
          <w:marBottom w:val="0"/>
          <w:divBdr>
            <w:top w:val="none" w:sz="0" w:space="0" w:color="auto"/>
            <w:left w:val="none" w:sz="0" w:space="0" w:color="auto"/>
            <w:bottom w:val="none" w:sz="0" w:space="0" w:color="auto"/>
            <w:right w:val="none" w:sz="0" w:space="0" w:color="auto"/>
          </w:divBdr>
          <w:divsChild>
            <w:div w:id="377509447">
              <w:marLeft w:val="0"/>
              <w:marRight w:val="0"/>
              <w:marTop w:val="0"/>
              <w:marBottom w:val="0"/>
              <w:divBdr>
                <w:top w:val="none" w:sz="0" w:space="0" w:color="auto"/>
                <w:left w:val="none" w:sz="0" w:space="0" w:color="auto"/>
                <w:bottom w:val="none" w:sz="0" w:space="0" w:color="auto"/>
                <w:right w:val="none" w:sz="0" w:space="0" w:color="auto"/>
              </w:divBdr>
              <w:divsChild>
                <w:div w:id="663553155">
                  <w:marLeft w:val="0"/>
                  <w:marRight w:val="0"/>
                  <w:marTop w:val="0"/>
                  <w:marBottom w:val="0"/>
                  <w:divBdr>
                    <w:top w:val="none" w:sz="0" w:space="0" w:color="auto"/>
                    <w:left w:val="none" w:sz="0" w:space="0" w:color="auto"/>
                    <w:bottom w:val="none" w:sz="0" w:space="0" w:color="auto"/>
                    <w:right w:val="none" w:sz="0" w:space="0" w:color="auto"/>
                  </w:divBdr>
                  <w:divsChild>
                    <w:div w:id="1578631489">
                      <w:marLeft w:val="0"/>
                      <w:marRight w:val="0"/>
                      <w:marTop w:val="0"/>
                      <w:marBottom w:val="0"/>
                      <w:divBdr>
                        <w:top w:val="none" w:sz="0" w:space="0" w:color="auto"/>
                        <w:left w:val="none" w:sz="0" w:space="0" w:color="auto"/>
                        <w:bottom w:val="none" w:sz="0" w:space="0" w:color="auto"/>
                        <w:right w:val="none" w:sz="0" w:space="0" w:color="auto"/>
                      </w:divBdr>
                      <w:divsChild>
                        <w:div w:id="18242142">
                          <w:marLeft w:val="0"/>
                          <w:marRight w:val="0"/>
                          <w:marTop w:val="0"/>
                          <w:marBottom w:val="0"/>
                          <w:divBdr>
                            <w:top w:val="none" w:sz="0" w:space="0" w:color="auto"/>
                            <w:left w:val="none" w:sz="0" w:space="0" w:color="auto"/>
                            <w:bottom w:val="none" w:sz="0" w:space="0" w:color="auto"/>
                            <w:right w:val="none" w:sz="0" w:space="0" w:color="auto"/>
                          </w:divBdr>
                          <w:divsChild>
                            <w:div w:id="313922531">
                              <w:marLeft w:val="0"/>
                              <w:marRight w:val="0"/>
                              <w:marTop w:val="0"/>
                              <w:marBottom w:val="0"/>
                              <w:divBdr>
                                <w:top w:val="none" w:sz="0" w:space="0" w:color="auto"/>
                                <w:left w:val="none" w:sz="0" w:space="0" w:color="auto"/>
                                <w:bottom w:val="none" w:sz="0" w:space="0" w:color="auto"/>
                                <w:right w:val="none" w:sz="0" w:space="0" w:color="auto"/>
                              </w:divBdr>
                              <w:divsChild>
                                <w:div w:id="4307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9861104">
      <w:bodyDiv w:val="1"/>
      <w:marLeft w:val="0"/>
      <w:marRight w:val="0"/>
      <w:marTop w:val="0"/>
      <w:marBottom w:val="0"/>
      <w:divBdr>
        <w:top w:val="none" w:sz="0" w:space="0" w:color="auto"/>
        <w:left w:val="none" w:sz="0" w:space="0" w:color="auto"/>
        <w:bottom w:val="none" w:sz="0" w:space="0" w:color="auto"/>
        <w:right w:val="none" w:sz="0" w:space="0" w:color="auto"/>
      </w:divBdr>
      <w:divsChild>
        <w:div w:id="524371441">
          <w:marLeft w:val="0"/>
          <w:marRight w:val="0"/>
          <w:marTop w:val="0"/>
          <w:marBottom w:val="0"/>
          <w:divBdr>
            <w:top w:val="none" w:sz="0" w:space="0" w:color="auto"/>
            <w:left w:val="none" w:sz="0" w:space="0" w:color="auto"/>
            <w:bottom w:val="none" w:sz="0" w:space="0" w:color="auto"/>
            <w:right w:val="none" w:sz="0" w:space="0" w:color="auto"/>
          </w:divBdr>
          <w:divsChild>
            <w:div w:id="353271751">
              <w:marLeft w:val="0"/>
              <w:marRight w:val="0"/>
              <w:marTop w:val="0"/>
              <w:marBottom w:val="0"/>
              <w:divBdr>
                <w:top w:val="none" w:sz="0" w:space="0" w:color="auto"/>
                <w:left w:val="none" w:sz="0" w:space="0" w:color="auto"/>
                <w:bottom w:val="none" w:sz="0" w:space="0" w:color="auto"/>
                <w:right w:val="none" w:sz="0" w:space="0" w:color="auto"/>
              </w:divBdr>
              <w:divsChild>
                <w:div w:id="399257033">
                  <w:marLeft w:val="0"/>
                  <w:marRight w:val="0"/>
                  <w:marTop w:val="0"/>
                  <w:marBottom w:val="0"/>
                  <w:divBdr>
                    <w:top w:val="none" w:sz="0" w:space="0" w:color="auto"/>
                    <w:left w:val="none" w:sz="0" w:space="0" w:color="auto"/>
                    <w:bottom w:val="none" w:sz="0" w:space="0" w:color="auto"/>
                    <w:right w:val="none" w:sz="0" w:space="0" w:color="auto"/>
                  </w:divBdr>
                  <w:divsChild>
                    <w:div w:id="677851480">
                      <w:marLeft w:val="0"/>
                      <w:marRight w:val="0"/>
                      <w:marTop w:val="0"/>
                      <w:marBottom w:val="0"/>
                      <w:divBdr>
                        <w:top w:val="none" w:sz="0" w:space="0" w:color="auto"/>
                        <w:left w:val="none" w:sz="0" w:space="0" w:color="auto"/>
                        <w:bottom w:val="none" w:sz="0" w:space="0" w:color="auto"/>
                        <w:right w:val="none" w:sz="0" w:space="0" w:color="auto"/>
                      </w:divBdr>
                      <w:divsChild>
                        <w:div w:id="1998339471">
                          <w:marLeft w:val="0"/>
                          <w:marRight w:val="0"/>
                          <w:marTop w:val="0"/>
                          <w:marBottom w:val="0"/>
                          <w:divBdr>
                            <w:top w:val="none" w:sz="0" w:space="0" w:color="auto"/>
                            <w:left w:val="none" w:sz="0" w:space="0" w:color="auto"/>
                            <w:bottom w:val="none" w:sz="0" w:space="0" w:color="auto"/>
                            <w:right w:val="none" w:sz="0" w:space="0" w:color="auto"/>
                          </w:divBdr>
                          <w:divsChild>
                            <w:div w:id="858737032">
                              <w:marLeft w:val="0"/>
                              <w:marRight w:val="0"/>
                              <w:marTop w:val="0"/>
                              <w:marBottom w:val="0"/>
                              <w:divBdr>
                                <w:top w:val="none" w:sz="0" w:space="0" w:color="auto"/>
                                <w:left w:val="none" w:sz="0" w:space="0" w:color="auto"/>
                                <w:bottom w:val="none" w:sz="0" w:space="0" w:color="auto"/>
                                <w:right w:val="none" w:sz="0" w:space="0" w:color="auto"/>
                              </w:divBdr>
                              <w:divsChild>
                                <w:div w:id="14793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2378492">
      <w:bodyDiv w:val="1"/>
      <w:marLeft w:val="0"/>
      <w:marRight w:val="0"/>
      <w:marTop w:val="0"/>
      <w:marBottom w:val="0"/>
      <w:divBdr>
        <w:top w:val="none" w:sz="0" w:space="0" w:color="auto"/>
        <w:left w:val="none" w:sz="0" w:space="0" w:color="auto"/>
        <w:bottom w:val="none" w:sz="0" w:space="0" w:color="auto"/>
        <w:right w:val="none" w:sz="0" w:space="0" w:color="auto"/>
      </w:divBdr>
    </w:div>
    <w:div w:id="1647122013">
      <w:bodyDiv w:val="1"/>
      <w:marLeft w:val="0"/>
      <w:marRight w:val="0"/>
      <w:marTop w:val="0"/>
      <w:marBottom w:val="0"/>
      <w:divBdr>
        <w:top w:val="none" w:sz="0" w:space="0" w:color="auto"/>
        <w:left w:val="none" w:sz="0" w:space="0" w:color="auto"/>
        <w:bottom w:val="none" w:sz="0" w:space="0" w:color="auto"/>
        <w:right w:val="none" w:sz="0" w:space="0" w:color="auto"/>
      </w:divBdr>
      <w:divsChild>
        <w:div w:id="527137536">
          <w:marLeft w:val="0"/>
          <w:marRight w:val="0"/>
          <w:marTop w:val="0"/>
          <w:marBottom w:val="0"/>
          <w:divBdr>
            <w:top w:val="none" w:sz="0" w:space="0" w:color="auto"/>
            <w:left w:val="none" w:sz="0" w:space="0" w:color="auto"/>
            <w:bottom w:val="none" w:sz="0" w:space="0" w:color="auto"/>
            <w:right w:val="none" w:sz="0" w:space="0" w:color="auto"/>
          </w:divBdr>
          <w:divsChild>
            <w:div w:id="1781802027">
              <w:marLeft w:val="0"/>
              <w:marRight w:val="0"/>
              <w:marTop w:val="0"/>
              <w:marBottom w:val="0"/>
              <w:divBdr>
                <w:top w:val="none" w:sz="0" w:space="0" w:color="auto"/>
                <w:left w:val="none" w:sz="0" w:space="0" w:color="auto"/>
                <w:bottom w:val="none" w:sz="0" w:space="0" w:color="auto"/>
                <w:right w:val="none" w:sz="0" w:space="0" w:color="auto"/>
              </w:divBdr>
              <w:divsChild>
                <w:div w:id="1590306601">
                  <w:marLeft w:val="0"/>
                  <w:marRight w:val="0"/>
                  <w:marTop w:val="0"/>
                  <w:marBottom w:val="0"/>
                  <w:divBdr>
                    <w:top w:val="none" w:sz="0" w:space="0" w:color="auto"/>
                    <w:left w:val="none" w:sz="0" w:space="0" w:color="auto"/>
                    <w:bottom w:val="none" w:sz="0" w:space="0" w:color="auto"/>
                    <w:right w:val="none" w:sz="0" w:space="0" w:color="auto"/>
                  </w:divBdr>
                  <w:divsChild>
                    <w:div w:id="369889026">
                      <w:marLeft w:val="0"/>
                      <w:marRight w:val="0"/>
                      <w:marTop w:val="0"/>
                      <w:marBottom w:val="0"/>
                      <w:divBdr>
                        <w:top w:val="none" w:sz="0" w:space="0" w:color="auto"/>
                        <w:left w:val="none" w:sz="0" w:space="0" w:color="auto"/>
                        <w:bottom w:val="none" w:sz="0" w:space="0" w:color="auto"/>
                        <w:right w:val="none" w:sz="0" w:space="0" w:color="auto"/>
                      </w:divBdr>
                      <w:divsChild>
                        <w:div w:id="1005715827">
                          <w:marLeft w:val="0"/>
                          <w:marRight w:val="0"/>
                          <w:marTop w:val="0"/>
                          <w:marBottom w:val="0"/>
                          <w:divBdr>
                            <w:top w:val="none" w:sz="0" w:space="0" w:color="auto"/>
                            <w:left w:val="none" w:sz="0" w:space="0" w:color="auto"/>
                            <w:bottom w:val="none" w:sz="0" w:space="0" w:color="auto"/>
                            <w:right w:val="none" w:sz="0" w:space="0" w:color="auto"/>
                          </w:divBdr>
                          <w:divsChild>
                            <w:div w:id="181363227">
                              <w:marLeft w:val="0"/>
                              <w:marRight w:val="0"/>
                              <w:marTop w:val="0"/>
                              <w:marBottom w:val="0"/>
                              <w:divBdr>
                                <w:top w:val="none" w:sz="0" w:space="0" w:color="auto"/>
                                <w:left w:val="none" w:sz="0" w:space="0" w:color="auto"/>
                                <w:bottom w:val="none" w:sz="0" w:space="0" w:color="auto"/>
                                <w:right w:val="none" w:sz="0" w:space="0" w:color="auto"/>
                              </w:divBdr>
                              <w:divsChild>
                                <w:div w:id="112755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2166018">
      <w:bodyDiv w:val="1"/>
      <w:marLeft w:val="0"/>
      <w:marRight w:val="0"/>
      <w:marTop w:val="0"/>
      <w:marBottom w:val="0"/>
      <w:divBdr>
        <w:top w:val="none" w:sz="0" w:space="0" w:color="auto"/>
        <w:left w:val="none" w:sz="0" w:space="0" w:color="auto"/>
        <w:bottom w:val="none" w:sz="0" w:space="0" w:color="auto"/>
        <w:right w:val="none" w:sz="0" w:space="0" w:color="auto"/>
      </w:divBdr>
      <w:divsChild>
        <w:div w:id="759065530">
          <w:marLeft w:val="0"/>
          <w:marRight w:val="0"/>
          <w:marTop w:val="0"/>
          <w:marBottom w:val="0"/>
          <w:divBdr>
            <w:top w:val="none" w:sz="0" w:space="0" w:color="auto"/>
            <w:left w:val="none" w:sz="0" w:space="0" w:color="auto"/>
            <w:bottom w:val="none" w:sz="0" w:space="0" w:color="auto"/>
            <w:right w:val="none" w:sz="0" w:space="0" w:color="auto"/>
          </w:divBdr>
          <w:divsChild>
            <w:div w:id="1768891929">
              <w:marLeft w:val="0"/>
              <w:marRight w:val="0"/>
              <w:marTop w:val="0"/>
              <w:marBottom w:val="0"/>
              <w:divBdr>
                <w:top w:val="none" w:sz="0" w:space="0" w:color="auto"/>
                <w:left w:val="none" w:sz="0" w:space="0" w:color="auto"/>
                <w:bottom w:val="none" w:sz="0" w:space="0" w:color="auto"/>
                <w:right w:val="none" w:sz="0" w:space="0" w:color="auto"/>
              </w:divBdr>
              <w:divsChild>
                <w:div w:id="1418863815">
                  <w:marLeft w:val="0"/>
                  <w:marRight w:val="0"/>
                  <w:marTop w:val="0"/>
                  <w:marBottom w:val="0"/>
                  <w:divBdr>
                    <w:top w:val="none" w:sz="0" w:space="0" w:color="auto"/>
                    <w:left w:val="none" w:sz="0" w:space="0" w:color="auto"/>
                    <w:bottom w:val="none" w:sz="0" w:space="0" w:color="auto"/>
                    <w:right w:val="none" w:sz="0" w:space="0" w:color="auto"/>
                  </w:divBdr>
                  <w:divsChild>
                    <w:div w:id="2095781101">
                      <w:marLeft w:val="0"/>
                      <w:marRight w:val="0"/>
                      <w:marTop w:val="0"/>
                      <w:marBottom w:val="0"/>
                      <w:divBdr>
                        <w:top w:val="none" w:sz="0" w:space="0" w:color="auto"/>
                        <w:left w:val="none" w:sz="0" w:space="0" w:color="auto"/>
                        <w:bottom w:val="none" w:sz="0" w:space="0" w:color="auto"/>
                        <w:right w:val="none" w:sz="0" w:space="0" w:color="auto"/>
                      </w:divBdr>
                      <w:divsChild>
                        <w:div w:id="1751468130">
                          <w:marLeft w:val="0"/>
                          <w:marRight w:val="0"/>
                          <w:marTop w:val="0"/>
                          <w:marBottom w:val="0"/>
                          <w:divBdr>
                            <w:top w:val="none" w:sz="0" w:space="0" w:color="auto"/>
                            <w:left w:val="none" w:sz="0" w:space="0" w:color="auto"/>
                            <w:bottom w:val="none" w:sz="0" w:space="0" w:color="auto"/>
                            <w:right w:val="none" w:sz="0" w:space="0" w:color="auto"/>
                          </w:divBdr>
                          <w:divsChild>
                            <w:div w:id="1755777935">
                              <w:marLeft w:val="0"/>
                              <w:marRight w:val="0"/>
                              <w:marTop w:val="0"/>
                              <w:marBottom w:val="0"/>
                              <w:divBdr>
                                <w:top w:val="none" w:sz="0" w:space="0" w:color="auto"/>
                                <w:left w:val="none" w:sz="0" w:space="0" w:color="auto"/>
                                <w:bottom w:val="none" w:sz="0" w:space="0" w:color="auto"/>
                                <w:right w:val="none" w:sz="0" w:space="0" w:color="auto"/>
                              </w:divBdr>
                              <w:divsChild>
                                <w:div w:id="89616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9610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3.emf"/><Relationship Id="rId18" Type="http://schemas.openxmlformats.org/officeDocument/2006/relationships/hyperlink" Target="https://github.com/PacktPublishing/The-Azure-Cloud-Native-Architecture-Mapbook-Second-Edition/blob/main/Chapter03/diagrams/diagrams.vsdx" TargetMode="External"/><Relationship Id="rId3" Type="http://schemas.openxmlformats.org/officeDocument/2006/relationships/customXml" Target="../customXml/item3.xml"/><Relationship Id="rId21" Type="http://schemas.openxmlformats.org/officeDocument/2006/relationships/package" Target="embeddings/Microsoft_Visio_Drawing4.vsdx"/><Relationship Id="rId7" Type="http://schemas.openxmlformats.org/officeDocument/2006/relationships/webSettings" Target="webSettings.xml"/><Relationship Id="rId12" Type="http://schemas.openxmlformats.org/officeDocument/2006/relationships/package" Target="embeddings/Microsoft_Visio_Drawing1.vsdx"/><Relationship Id="rId17" Type="http://schemas.openxmlformats.org/officeDocument/2006/relationships/package" Target="embeddings/Microsoft_Visio_Drawing3.vsdx"/><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emf"/><Relationship Id="rId20" Type="http://schemas.openxmlformats.org/officeDocument/2006/relationships/image" Target="media/image5.em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github.com/stephaneey/azure-and-k8s-architecture/tree/main/availability-samples/sql" TargetMode="External"/><Relationship Id="rId23" Type="http://schemas.openxmlformats.org/officeDocument/2006/relationships/package" Target="embeddings/Microsoft_Visio_Drawing5.vsdx"/><Relationship Id="rId10" Type="http://schemas.openxmlformats.org/officeDocument/2006/relationships/hyperlink" Target="https://learn.microsoft.com/en-us/azure/azure-app-configuration/howto-best-practices?tabs=dotnet" TargetMode="External"/><Relationship Id="rId19" Type="http://schemas.openxmlformats.org/officeDocument/2006/relationships/hyperlink" Target="https://www.youtube.com/watch?v=dbwvhGVV3mU" TargetMode="External"/><Relationship Id="rId4" Type="http://schemas.openxmlformats.org/officeDocument/2006/relationships/numbering" Target="numbering.xml"/><Relationship Id="rId9" Type="http://schemas.openxmlformats.org/officeDocument/2006/relationships/package" Target="embeddings/Microsoft_Visio_Drawing.vsdx"/><Relationship Id="rId14" Type="http://schemas.openxmlformats.org/officeDocument/2006/relationships/package" Target="embeddings/Microsoft_Visio_Drawing2.vsdx"/><Relationship Id="rId22" Type="http://schemas.openxmlformats.org/officeDocument/2006/relationships/image" Target="media/image6.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30F96404DD11DB41900A6C6AF87E43D7" ma:contentTypeVersion="4" ma:contentTypeDescription="Create a new document." ma:contentTypeScope="" ma:versionID="0b0ac92e3baa54adf7a92566d03f2a6f">
  <xsd:schema xmlns:xsd="http://www.w3.org/2001/XMLSchema" xmlns:xs="http://www.w3.org/2001/XMLSchema" xmlns:p="http://schemas.microsoft.com/office/2006/metadata/properties" xmlns:ns3="3a987ac3-9e61-49c5-98c1-8bbe84f98d36" targetNamespace="http://schemas.microsoft.com/office/2006/metadata/properties" ma:root="true" ma:fieldsID="f77556eb7406870f3578b1f7e11f4d55" ns3:_="">
    <xsd:import namespace="3a987ac3-9e61-49c5-98c1-8bbe84f98d3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a987ac3-9e61-49c5-98c1-8bbe84f98d3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2615C9E-1B69-412A-8A46-98FF85609F3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DC3EBC2-74AA-42F8-AB36-1372D190F3AE}">
  <ds:schemaRefs>
    <ds:schemaRef ds:uri="http://schemas.microsoft.com/sharepoint/v3/contenttype/forms"/>
  </ds:schemaRefs>
</ds:datastoreItem>
</file>

<file path=customXml/itemProps3.xml><?xml version="1.0" encoding="utf-8"?>
<ds:datastoreItem xmlns:ds="http://schemas.openxmlformats.org/officeDocument/2006/customXml" ds:itemID="{082BCA42-5E9F-43B9-A0A9-5723DC615C8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a987ac3-9e61-49c5-98c1-8bbe84f98d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2138</Words>
  <Characters>12189</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sponsor</dc:creator>
  <cp:keywords/>
  <dc:description/>
  <cp:lastModifiedBy>sponsor</cp:lastModifiedBy>
  <cp:revision>13</cp:revision>
  <dcterms:created xsi:type="dcterms:W3CDTF">2025-12-20T18:21:00Z</dcterms:created>
  <dcterms:modified xsi:type="dcterms:W3CDTF">2025-12-24T17:12:00Z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0x01010030F96404DD11DB41900A6C6AF87E43D7</vt:lpwstr>
  </property>
</Properties>
</file>