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D9A2" w14:textId="784081F7" w:rsidR="00106E02" w:rsidRDefault="00456183" w:rsidP="00456183">
      <w:pPr>
        <w:pStyle w:val="Title"/>
      </w:pPr>
      <w:r w:rsidRPr="00456183">
        <w:t xml:space="preserve">From Outages to Always-On: </w:t>
      </w:r>
      <w:r w:rsidR="00B4247D">
        <w:t>d</w:t>
      </w:r>
      <w:r w:rsidRPr="00456183">
        <w:t xml:space="preserve">ata </w:t>
      </w:r>
      <w:r w:rsidR="00B4247D">
        <w:t>s</w:t>
      </w:r>
      <w:r w:rsidRPr="00456183">
        <w:t xml:space="preserve">ervice </w:t>
      </w:r>
      <w:r w:rsidR="00B4247D">
        <w:t>and application-level t</w:t>
      </w:r>
      <w:r w:rsidRPr="00456183">
        <w:t xml:space="preserve">ips </w:t>
      </w:r>
    </w:p>
    <w:p w14:paraId="0112A39A" w14:textId="77777777" w:rsidR="00456183" w:rsidRDefault="00456183"/>
    <w:p w14:paraId="35CE2A81" w14:textId="28444AF5" w:rsidR="00456183" w:rsidRDefault="00456183" w:rsidP="00456183">
      <w:r w:rsidRPr="00456183">
        <w:t>I like to say that Azure is simple… until you go multi-region.</w:t>
      </w:r>
      <w:r>
        <w:t xml:space="preserve"> </w:t>
      </w:r>
    </w:p>
    <w:p w14:paraId="2DFD03C7" w14:textId="77777777" w:rsidR="00432630" w:rsidRPr="00432630" w:rsidRDefault="00432630" w:rsidP="00432630">
      <w:r w:rsidRPr="00432630">
        <w:t>Before getting into the details, let’s briefly revisit the difference between high availability (HA) and disaster recovery (DR).</w:t>
      </w:r>
    </w:p>
    <w:p w14:paraId="5E86A875" w14:textId="77777777" w:rsidR="00432630" w:rsidRPr="00432630" w:rsidRDefault="00432630" w:rsidP="00432630">
      <w:r w:rsidRPr="00432630">
        <w:t>HA and DR exist on a spectrum, with increasing levels of resilience depending on the type of failure you want to withstand:</w:t>
      </w:r>
    </w:p>
    <w:p w14:paraId="6EF96F10" w14:textId="49E5ECEF" w:rsidR="00432630" w:rsidRPr="00432630" w:rsidRDefault="00432630" w:rsidP="00432630">
      <w:pPr>
        <w:numPr>
          <w:ilvl w:val="0"/>
          <w:numId w:val="2"/>
        </w:numPr>
      </w:pPr>
      <w:r w:rsidRPr="00432630">
        <w:rPr>
          <w:b/>
          <w:bCs/>
        </w:rPr>
        <w:t>Application-level failures</w:t>
      </w:r>
      <w:r w:rsidRPr="00432630">
        <w:t xml:space="preserve">: In some cases, you may simply want to tolerate application bugs—for example, a memory leak introduced by developers. Running multiple instances of the application on separate virtual machines, even on the same physical host, can already prevent a full outage when one instance exhausts its </w:t>
      </w:r>
      <w:r w:rsidR="00534D13">
        <w:t xml:space="preserve">allocated </w:t>
      </w:r>
      <w:r w:rsidRPr="00432630">
        <w:t>memory.</w:t>
      </w:r>
      <w:r>
        <w:t xml:space="preserve"> That is for instance, what you would get if you spin up 2 instances of an Azure App Service within the same zone (no zone redundancy).</w:t>
      </w:r>
      <w:r w:rsidR="00534D13">
        <w:t xml:space="preserve"> </w:t>
      </w:r>
    </w:p>
    <w:p w14:paraId="72269B7E" w14:textId="54009714" w:rsidR="00432630" w:rsidRPr="00432630" w:rsidRDefault="00432630" w:rsidP="00432630">
      <w:pPr>
        <w:numPr>
          <w:ilvl w:val="0"/>
          <w:numId w:val="2"/>
        </w:numPr>
      </w:pPr>
      <w:r w:rsidRPr="00432630">
        <w:rPr>
          <w:b/>
          <w:bCs/>
        </w:rPr>
        <w:t>Hardware failures</w:t>
      </w:r>
      <w:r w:rsidRPr="00432630">
        <w:t xml:space="preserve">: To handle </w:t>
      </w:r>
      <w:r w:rsidR="00534D13">
        <w:t>hardware</w:t>
      </w:r>
      <w:r w:rsidRPr="00432630">
        <w:t xml:space="preserve"> failures, workloads should be distributed across multiple racks.</w:t>
      </w:r>
      <w:r>
        <w:t xml:space="preserve"> That is what you would get if you’d host virtual machines on availability sets.</w:t>
      </w:r>
    </w:p>
    <w:p w14:paraId="4E281327" w14:textId="202BABB6" w:rsidR="00432630" w:rsidRPr="00432630" w:rsidRDefault="00432630" w:rsidP="00432630">
      <w:pPr>
        <w:numPr>
          <w:ilvl w:val="0"/>
          <w:numId w:val="2"/>
        </w:numPr>
      </w:pPr>
      <w:r w:rsidRPr="00432630">
        <w:rPr>
          <w:b/>
          <w:bCs/>
        </w:rPr>
        <w:t xml:space="preserve">Data </w:t>
      </w:r>
      <w:r w:rsidR="00832740" w:rsidRPr="00432630">
        <w:rPr>
          <w:b/>
          <w:bCs/>
        </w:rPr>
        <w:t>centre</w:t>
      </w:r>
      <w:r w:rsidRPr="00432630">
        <w:rPr>
          <w:b/>
          <w:bCs/>
        </w:rPr>
        <w:t>–level outages</w:t>
      </w:r>
      <w:r w:rsidRPr="00432630">
        <w:t xml:space="preserve">: To withstand more severe incidents, workloads should be spread across multiple data </w:t>
      </w:r>
      <w:proofErr w:type="spellStart"/>
      <w:r w:rsidRPr="00432630">
        <w:t>centers</w:t>
      </w:r>
      <w:proofErr w:type="spellEnd"/>
      <w:r w:rsidRPr="00432630">
        <w:t>, such as by deploying them across multiple availability zones.</w:t>
      </w:r>
      <w:r w:rsidR="00206F2C">
        <w:t xml:space="preserve"> You can achieve this by turning on zone-redundancy on Azure App Service or use zone-redundant node pools in AKS.</w:t>
      </w:r>
      <w:r w:rsidR="00534D13">
        <w:t xml:space="preserve"> With such a setup, you should survive a local disaster such as fire, flooding, etc.</w:t>
      </w:r>
    </w:p>
    <w:p w14:paraId="7273AC09" w14:textId="6D7D4178" w:rsidR="00432630" w:rsidRPr="00432630" w:rsidRDefault="00432630" w:rsidP="00432630">
      <w:pPr>
        <w:numPr>
          <w:ilvl w:val="0"/>
          <w:numId w:val="2"/>
        </w:numPr>
      </w:pPr>
      <w:r w:rsidRPr="00432630">
        <w:rPr>
          <w:b/>
          <w:bCs/>
        </w:rPr>
        <w:t>Regional outages</w:t>
      </w:r>
      <w:r w:rsidRPr="00432630">
        <w:t xml:space="preserve">: Finally, to survive major outages, </w:t>
      </w:r>
      <w:r w:rsidR="00206F2C">
        <w:t>such as a</w:t>
      </w:r>
      <w:r w:rsidR="00534D13">
        <w:t xml:space="preserve"> major</w:t>
      </w:r>
      <w:r w:rsidR="00206F2C">
        <w:t xml:space="preserve"> earthquake, a country-level power supply issue, etc., </w:t>
      </w:r>
      <w:r w:rsidRPr="00432630">
        <w:t xml:space="preserve">workloads must be deployed across geographically distant data </w:t>
      </w:r>
      <w:proofErr w:type="spellStart"/>
      <w:r w:rsidRPr="00432630">
        <w:t>centers</w:t>
      </w:r>
      <w:proofErr w:type="spellEnd"/>
      <w:r w:rsidR="00206F2C">
        <w:t>. You can achieve this by deploying workloads across multiple Azure regions in active/active or active/passive mode.</w:t>
      </w:r>
    </w:p>
    <w:p w14:paraId="299E0A74" w14:textId="72248D4D" w:rsidR="00206F2C" w:rsidRDefault="00206F2C" w:rsidP="00456183"/>
    <w:p w14:paraId="1E91C61E" w14:textId="5FE635DF" w:rsidR="00F533E0" w:rsidRDefault="00206F2C" w:rsidP="00456183">
      <w:r>
        <w:t>In this article, I will highlight how to minimize downtime and friction for applications in case of major outage</w:t>
      </w:r>
      <w:r w:rsidR="00F533E0">
        <w:t xml:space="preserve"> impacting the </w:t>
      </w:r>
      <w:r w:rsidR="00F533E0" w:rsidRPr="00A46DCD">
        <w:rPr>
          <w:b/>
          <w:bCs/>
        </w:rPr>
        <w:t>availability</w:t>
      </w:r>
      <w:r w:rsidR="00F533E0">
        <w:t xml:space="preserve"> of a service. I’m not covering data corruption or cyber attacks (</w:t>
      </w:r>
      <w:proofErr w:type="spellStart"/>
      <w:r w:rsidR="00F533E0">
        <w:t>eg</w:t>
      </w:r>
      <w:proofErr w:type="spellEnd"/>
      <w:r w:rsidR="00F533E0">
        <w:t>: ransomware)</w:t>
      </w:r>
      <w:r w:rsidR="00A46DCD">
        <w:t>, which can only be recovered using a valid backup</w:t>
      </w:r>
      <w:r>
        <w:t>.</w:t>
      </w:r>
      <w:r w:rsidR="000A3040">
        <w:t xml:space="preserve"> So, I’m going to focus on the </w:t>
      </w:r>
      <w:r w:rsidR="000A3040" w:rsidRPr="00212732">
        <w:rPr>
          <w:b/>
          <w:bCs/>
        </w:rPr>
        <w:t>Recovery Time Objective (RTO)</w:t>
      </w:r>
      <w:r w:rsidR="000A3040">
        <w:t xml:space="preserve">, not on </w:t>
      </w:r>
      <w:r w:rsidR="000A3040" w:rsidRPr="00212732">
        <w:rPr>
          <w:b/>
          <w:bCs/>
        </w:rPr>
        <w:t>Recovery Point Objective (RPO)</w:t>
      </w:r>
      <w:r w:rsidR="000A3040">
        <w:t>.</w:t>
      </w:r>
      <w:r w:rsidR="00212732">
        <w:t xml:space="preserve"> </w:t>
      </w:r>
      <w:r w:rsidR="00D816E0">
        <w:t>Potential</w:t>
      </w:r>
      <w:r w:rsidR="00036F76">
        <w:t xml:space="preserve"> data loss and data corruption</w:t>
      </w:r>
      <w:r w:rsidR="00D816E0">
        <w:t xml:space="preserve"> are out of scope</w:t>
      </w:r>
      <w:r w:rsidR="00036F76">
        <w:t>.</w:t>
      </w:r>
      <w:r>
        <w:t xml:space="preserve"> </w:t>
      </w:r>
      <w:r w:rsidR="00534D13">
        <w:t>Although RPO is out of scope, nearly every application relies on a data store to persist state, making the data component a very important piece of the solution.</w:t>
      </w:r>
    </w:p>
    <w:p w14:paraId="2D0A8BD0" w14:textId="19A2121B" w:rsidR="00904C15" w:rsidRDefault="00904C15" w:rsidP="00904C15">
      <w:pPr>
        <w:pStyle w:val="Title"/>
      </w:pPr>
      <w:r>
        <w:t>Looking at Azure SQL</w:t>
      </w:r>
    </w:p>
    <w:p w14:paraId="634B7DDB" w14:textId="4B35331A" w:rsidR="00206F2C" w:rsidRDefault="001A0CF2" w:rsidP="00456183">
      <w:r>
        <w:t xml:space="preserve">Let’s first </w:t>
      </w:r>
      <w:r w:rsidR="00904C15">
        <w:t>analyse</w:t>
      </w:r>
      <w:r>
        <w:t xml:space="preserve"> the different </w:t>
      </w:r>
      <w:r w:rsidR="00DF4067">
        <w:t xml:space="preserve">data replication </w:t>
      </w:r>
      <w:r>
        <w:t xml:space="preserve">possibilities with Azure SQL. </w:t>
      </w:r>
      <w:r w:rsidRPr="00F533E0">
        <w:rPr>
          <w:i/>
          <w:iCs/>
        </w:rPr>
        <w:t>Table 1</w:t>
      </w:r>
      <w:r>
        <w:t xml:space="preserve"> summarizes the different capabilities.</w:t>
      </w:r>
    </w:p>
    <w:p w14:paraId="28D43239" w14:textId="77777777" w:rsidR="001A0CF2" w:rsidRDefault="001A0CF2" w:rsidP="00456183"/>
    <w:p w14:paraId="7DBEBFB5" w14:textId="77777777" w:rsidR="001A0CF2" w:rsidRDefault="001A0CF2" w:rsidP="00456183"/>
    <w:p w14:paraId="7D67B443" w14:textId="77777777" w:rsidR="001A0CF2" w:rsidRDefault="001A0CF2" w:rsidP="00456183"/>
    <w:p w14:paraId="3118B323" w14:textId="77777777" w:rsidR="001A0CF2" w:rsidRDefault="001A0CF2" w:rsidP="0045618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466"/>
        <w:gridCol w:w="2838"/>
        <w:gridCol w:w="1741"/>
      </w:tblGrid>
      <w:tr w:rsidR="005723D4" w:rsidRPr="001A0CF2" w14:paraId="6AC936E6" w14:textId="77777777" w:rsidTr="001A0CF2">
        <w:trPr>
          <w:tblHeader/>
          <w:tblCellSpacing w:w="15" w:type="dxa"/>
        </w:trPr>
        <w:tc>
          <w:tcPr>
            <w:tcW w:w="0" w:type="auto"/>
            <w:vAlign w:val="center"/>
            <w:hideMark/>
          </w:tcPr>
          <w:p w14:paraId="778A2B9C" w14:textId="5F21E40C" w:rsidR="001A0CF2" w:rsidRPr="001A0CF2" w:rsidRDefault="001A0CF2" w:rsidP="001A0CF2">
            <w:pPr>
              <w:rPr>
                <w:b/>
                <w:bCs/>
              </w:rPr>
            </w:pPr>
          </w:p>
        </w:tc>
        <w:tc>
          <w:tcPr>
            <w:tcW w:w="0" w:type="auto"/>
            <w:vAlign w:val="center"/>
            <w:hideMark/>
          </w:tcPr>
          <w:p w14:paraId="0AB7F876" w14:textId="56B95FFA" w:rsidR="001A0CF2" w:rsidRPr="001A0CF2" w:rsidRDefault="00214FA9" w:rsidP="001A0CF2">
            <w:pPr>
              <w:rPr>
                <w:b/>
                <w:bCs/>
              </w:rPr>
            </w:pPr>
            <w:r w:rsidRPr="001A0CF2">
              <w:rPr>
                <w:b/>
                <w:bCs/>
              </w:rPr>
              <w:t>Definition</w:t>
            </w:r>
          </w:p>
        </w:tc>
        <w:tc>
          <w:tcPr>
            <w:tcW w:w="0" w:type="auto"/>
            <w:vAlign w:val="center"/>
            <w:hideMark/>
          </w:tcPr>
          <w:p w14:paraId="4EC372D9" w14:textId="77FEB257" w:rsidR="001A0CF2" w:rsidRPr="001A0CF2" w:rsidRDefault="00214FA9" w:rsidP="001A0CF2">
            <w:pPr>
              <w:rPr>
                <w:b/>
                <w:bCs/>
              </w:rPr>
            </w:pPr>
            <w:r w:rsidRPr="001A0CF2">
              <w:rPr>
                <w:b/>
                <w:bCs/>
              </w:rPr>
              <w:t>Use Case</w:t>
            </w:r>
          </w:p>
        </w:tc>
        <w:tc>
          <w:tcPr>
            <w:tcW w:w="0" w:type="auto"/>
            <w:vAlign w:val="center"/>
            <w:hideMark/>
          </w:tcPr>
          <w:p w14:paraId="3B19E093" w14:textId="0587D06D" w:rsidR="001A0CF2" w:rsidRPr="001A0CF2" w:rsidRDefault="00214FA9" w:rsidP="001A0CF2">
            <w:pPr>
              <w:rPr>
                <w:b/>
                <w:bCs/>
              </w:rPr>
            </w:pPr>
            <w:r w:rsidRPr="001A0CF2">
              <w:rPr>
                <w:b/>
                <w:bCs/>
              </w:rPr>
              <w:t>Failover</w:t>
            </w:r>
          </w:p>
        </w:tc>
      </w:tr>
      <w:tr w:rsidR="005723D4" w:rsidRPr="001A0CF2" w14:paraId="149AD251" w14:textId="77777777" w:rsidTr="001A0CF2">
        <w:trPr>
          <w:tblCellSpacing w:w="15" w:type="dxa"/>
        </w:trPr>
        <w:tc>
          <w:tcPr>
            <w:tcW w:w="0" w:type="auto"/>
            <w:vAlign w:val="center"/>
            <w:hideMark/>
          </w:tcPr>
          <w:p w14:paraId="444C0B0B" w14:textId="6CA6D153" w:rsidR="001A0CF2" w:rsidRPr="001A0CF2" w:rsidRDefault="00214FA9" w:rsidP="001A0CF2">
            <w:r w:rsidRPr="001A0CF2">
              <w:rPr>
                <w:b/>
                <w:bCs/>
              </w:rPr>
              <w:t xml:space="preserve">Geo-replica </w:t>
            </w:r>
          </w:p>
        </w:tc>
        <w:tc>
          <w:tcPr>
            <w:tcW w:w="0" w:type="auto"/>
            <w:vAlign w:val="center"/>
            <w:hideMark/>
          </w:tcPr>
          <w:p w14:paraId="345077A5" w14:textId="77777777" w:rsidR="001A0CF2" w:rsidRPr="001A0CF2" w:rsidRDefault="001A0CF2" w:rsidP="001A0CF2">
            <w:r w:rsidRPr="001A0CF2">
              <w:t>Active geo-replication creates a continuously updated secondary database in another Azure region</w:t>
            </w:r>
          </w:p>
        </w:tc>
        <w:tc>
          <w:tcPr>
            <w:tcW w:w="0" w:type="auto"/>
            <w:vAlign w:val="center"/>
            <w:hideMark/>
          </w:tcPr>
          <w:p w14:paraId="0E0AB5D5" w14:textId="6B241B73" w:rsidR="001A0CF2" w:rsidRPr="001A0CF2" w:rsidRDefault="00214FA9" w:rsidP="001A0CF2">
            <w:r w:rsidRPr="001A0CF2">
              <w:t xml:space="preserve">Disaster recovery, business continuity, cross-region read scale-out </w:t>
            </w:r>
          </w:p>
        </w:tc>
        <w:tc>
          <w:tcPr>
            <w:tcW w:w="0" w:type="auto"/>
            <w:vAlign w:val="center"/>
            <w:hideMark/>
          </w:tcPr>
          <w:p w14:paraId="4BEE6B65" w14:textId="20E8DF0E" w:rsidR="001A0CF2" w:rsidRPr="001A0CF2" w:rsidRDefault="00214FA9" w:rsidP="001A0CF2">
            <w:r w:rsidRPr="001A0CF2">
              <w:t>Manual or automatic (via failover groups)</w:t>
            </w:r>
          </w:p>
        </w:tc>
      </w:tr>
      <w:tr w:rsidR="005723D4" w:rsidRPr="001A0CF2" w14:paraId="1F3EEC6C" w14:textId="77777777" w:rsidTr="001A0CF2">
        <w:trPr>
          <w:tblCellSpacing w:w="15" w:type="dxa"/>
        </w:trPr>
        <w:tc>
          <w:tcPr>
            <w:tcW w:w="0" w:type="auto"/>
            <w:vAlign w:val="center"/>
            <w:hideMark/>
          </w:tcPr>
          <w:p w14:paraId="128331FD" w14:textId="43D9076D" w:rsidR="001A0CF2" w:rsidRPr="001A0CF2" w:rsidRDefault="00214FA9" w:rsidP="001A0CF2">
            <w:r w:rsidRPr="001A0CF2">
              <w:rPr>
                <w:b/>
                <w:bCs/>
              </w:rPr>
              <w:t xml:space="preserve">Named replica </w:t>
            </w:r>
          </w:p>
        </w:tc>
        <w:tc>
          <w:tcPr>
            <w:tcW w:w="0" w:type="auto"/>
            <w:vAlign w:val="center"/>
            <w:hideMark/>
          </w:tcPr>
          <w:p w14:paraId="4E21721A" w14:textId="633DF327" w:rsidR="001A0CF2" w:rsidRPr="001A0CF2" w:rsidRDefault="00214FA9" w:rsidP="001A0CF2">
            <w:r w:rsidRPr="001A0CF2">
              <w:t>A read-only replica of the primary database in the same region</w:t>
            </w:r>
          </w:p>
        </w:tc>
        <w:tc>
          <w:tcPr>
            <w:tcW w:w="0" w:type="auto"/>
            <w:vAlign w:val="center"/>
            <w:hideMark/>
          </w:tcPr>
          <w:p w14:paraId="74233C50" w14:textId="77777777" w:rsidR="001A0CF2" w:rsidRPr="001A0CF2" w:rsidRDefault="001A0CF2" w:rsidP="001A0CF2">
            <w:r w:rsidRPr="001A0CF2">
              <w:t>Local read scale-out, offloading heavy read workloads</w:t>
            </w:r>
          </w:p>
        </w:tc>
        <w:tc>
          <w:tcPr>
            <w:tcW w:w="0" w:type="auto"/>
            <w:vAlign w:val="center"/>
            <w:hideMark/>
          </w:tcPr>
          <w:p w14:paraId="06CDC659" w14:textId="6F40AD7E" w:rsidR="001A0CF2" w:rsidRPr="001A0CF2" w:rsidRDefault="00214FA9" w:rsidP="001A0CF2">
            <w:r w:rsidRPr="001A0CF2">
              <w:t xml:space="preserve">No failover; purely for read scale-out </w:t>
            </w:r>
          </w:p>
        </w:tc>
      </w:tr>
      <w:tr w:rsidR="005723D4" w:rsidRPr="001A0CF2" w14:paraId="526675EA" w14:textId="77777777" w:rsidTr="001A0CF2">
        <w:trPr>
          <w:tblCellSpacing w:w="15" w:type="dxa"/>
        </w:trPr>
        <w:tc>
          <w:tcPr>
            <w:tcW w:w="0" w:type="auto"/>
            <w:vAlign w:val="center"/>
            <w:hideMark/>
          </w:tcPr>
          <w:p w14:paraId="4CF3F22F" w14:textId="5895CA89" w:rsidR="001A0CF2" w:rsidRPr="001A0CF2" w:rsidRDefault="00214FA9" w:rsidP="001A0CF2">
            <w:r w:rsidRPr="001A0CF2">
              <w:rPr>
                <w:b/>
                <w:bCs/>
              </w:rPr>
              <w:t xml:space="preserve">Geo-restore </w:t>
            </w:r>
          </w:p>
        </w:tc>
        <w:tc>
          <w:tcPr>
            <w:tcW w:w="0" w:type="auto"/>
            <w:vAlign w:val="center"/>
            <w:hideMark/>
          </w:tcPr>
          <w:p w14:paraId="459EE671" w14:textId="01144F8F" w:rsidR="001A0CF2" w:rsidRPr="001A0CF2" w:rsidRDefault="00303915" w:rsidP="001A0CF2">
            <w:r>
              <w:t>Uses geo-replicated backups to perform a restore operation</w:t>
            </w:r>
            <w:r w:rsidR="005723D4">
              <w:t>. Only possible when working with paired regions.</w:t>
            </w:r>
          </w:p>
        </w:tc>
        <w:tc>
          <w:tcPr>
            <w:tcW w:w="0" w:type="auto"/>
            <w:vAlign w:val="center"/>
            <w:hideMark/>
          </w:tcPr>
          <w:p w14:paraId="7BFB5011" w14:textId="65FF5960" w:rsidR="001A0CF2" w:rsidRPr="001A0CF2" w:rsidRDefault="005723D4" w:rsidP="001A0CF2">
            <w:r w:rsidRPr="001A0CF2">
              <w:t>Recovery from accidental deletion or regional outage when replication wasn’t configured</w:t>
            </w:r>
            <w:r w:rsidR="00303915">
              <w:t xml:space="preserve"> </w:t>
            </w:r>
          </w:p>
        </w:tc>
        <w:tc>
          <w:tcPr>
            <w:tcW w:w="0" w:type="auto"/>
            <w:vAlign w:val="center"/>
            <w:hideMark/>
          </w:tcPr>
          <w:p w14:paraId="733BA644" w14:textId="28C75791" w:rsidR="001A0CF2" w:rsidRPr="001A0CF2" w:rsidRDefault="0077539E" w:rsidP="001A0CF2">
            <w:r>
              <w:t>No failover.</w:t>
            </w:r>
          </w:p>
        </w:tc>
      </w:tr>
    </w:tbl>
    <w:p w14:paraId="1FAF974C" w14:textId="77777777" w:rsidR="001A0CF2" w:rsidRDefault="001A0CF2" w:rsidP="00456183"/>
    <w:p w14:paraId="226ACAAF" w14:textId="4B0C9F4C" w:rsidR="001A0CF2" w:rsidRPr="001A0CF2" w:rsidRDefault="001A0CF2" w:rsidP="003F0DE2">
      <w:pPr>
        <w:jc w:val="center"/>
        <w:rPr>
          <w:i/>
          <w:iCs/>
        </w:rPr>
      </w:pPr>
      <w:r w:rsidRPr="001A0CF2">
        <w:rPr>
          <w:i/>
          <w:iCs/>
        </w:rPr>
        <w:t>Table 1 – Replication capabilities</w:t>
      </w:r>
    </w:p>
    <w:p w14:paraId="72CAD394" w14:textId="6FCC2B36" w:rsidR="00456183" w:rsidRDefault="00456183" w:rsidP="001A0CF2"/>
    <w:p w14:paraId="3EBF58A6" w14:textId="1E761618" w:rsidR="00F56785" w:rsidRDefault="00045EB7" w:rsidP="001A0CF2">
      <w:r w:rsidRPr="00045EB7">
        <w:t>We’ll set aside named replicas and geo-restore, as the former does not contribute to disaster recovery and the latter is likely to introduce significant downtime and potential data loss. This leaves geo-replication as the remaining option.</w:t>
      </w:r>
      <w:r w:rsidR="00F56785">
        <w:t xml:space="preserve"> As you might have understood by now, using Azure SQL’s built-in capabilities, you cannot achieve a full ACTIVE/ACTIVE setup since it doesn’t support multi</w:t>
      </w:r>
      <w:r w:rsidR="00F87984">
        <w:t>-</w:t>
      </w:r>
      <w:r w:rsidR="00F56785">
        <w:t xml:space="preserve">region writes. </w:t>
      </w:r>
      <w:r w:rsidR="00F87984">
        <w:t>This means that you can only have one read-write region and the secondary region(s) are read only.</w:t>
      </w:r>
    </w:p>
    <w:p w14:paraId="02F66CD8" w14:textId="230774B8" w:rsidR="001A0CF2" w:rsidRPr="00045EB7" w:rsidRDefault="00045EB7" w:rsidP="001A0CF2">
      <w:r w:rsidRPr="00045EB7">
        <w:rPr>
          <w:i/>
          <w:iCs/>
        </w:rPr>
        <w:t>Table 2</w:t>
      </w:r>
      <w:r w:rsidRPr="00045EB7">
        <w:t xml:space="preserve"> outlines the two available geo-replication techniques.</w:t>
      </w:r>
    </w:p>
    <w:p w14:paraId="60C7B65C" w14:textId="77777777" w:rsidR="003563F6" w:rsidRDefault="003563F6" w:rsidP="001A0CF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2894"/>
        <w:gridCol w:w="3915"/>
      </w:tblGrid>
      <w:tr w:rsidR="00594875" w:rsidRPr="003563F6" w14:paraId="42E9CACF" w14:textId="77777777" w:rsidTr="003563F6">
        <w:trPr>
          <w:tblHeader/>
          <w:tblCellSpacing w:w="15" w:type="dxa"/>
        </w:trPr>
        <w:tc>
          <w:tcPr>
            <w:tcW w:w="0" w:type="auto"/>
            <w:vAlign w:val="center"/>
            <w:hideMark/>
          </w:tcPr>
          <w:p w14:paraId="5FCD46CC" w14:textId="68ABDCD5" w:rsidR="003563F6" w:rsidRPr="003563F6" w:rsidRDefault="003563F6" w:rsidP="003563F6">
            <w:pPr>
              <w:rPr>
                <w:b/>
                <w:bCs/>
              </w:rPr>
            </w:pPr>
          </w:p>
        </w:tc>
        <w:tc>
          <w:tcPr>
            <w:tcW w:w="0" w:type="auto"/>
            <w:vAlign w:val="center"/>
            <w:hideMark/>
          </w:tcPr>
          <w:p w14:paraId="6121D800" w14:textId="77777777" w:rsidR="003563F6" w:rsidRPr="003563F6" w:rsidRDefault="003563F6" w:rsidP="003563F6">
            <w:pPr>
              <w:rPr>
                <w:b/>
                <w:bCs/>
              </w:rPr>
            </w:pPr>
            <w:r w:rsidRPr="003563F6">
              <w:rPr>
                <w:b/>
                <w:bCs/>
              </w:rPr>
              <w:t>Geo-replication</w:t>
            </w:r>
          </w:p>
        </w:tc>
        <w:tc>
          <w:tcPr>
            <w:tcW w:w="0" w:type="auto"/>
            <w:vAlign w:val="center"/>
            <w:hideMark/>
          </w:tcPr>
          <w:p w14:paraId="6A686B50" w14:textId="77777777" w:rsidR="003563F6" w:rsidRPr="003563F6" w:rsidRDefault="003563F6" w:rsidP="003563F6">
            <w:pPr>
              <w:rPr>
                <w:b/>
                <w:bCs/>
              </w:rPr>
            </w:pPr>
            <w:r w:rsidRPr="003563F6">
              <w:rPr>
                <w:b/>
                <w:bCs/>
              </w:rPr>
              <w:t>Failover Groups</w:t>
            </w:r>
          </w:p>
        </w:tc>
      </w:tr>
      <w:tr w:rsidR="00594875" w:rsidRPr="003563F6" w14:paraId="5AFC793C" w14:textId="77777777" w:rsidTr="003563F6">
        <w:trPr>
          <w:tblCellSpacing w:w="15" w:type="dxa"/>
        </w:trPr>
        <w:tc>
          <w:tcPr>
            <w:tcW w:w="0" w:type="auto"/>
            <w:vAlign w:val="center"/>
            <w:hideMark/>
          </w:tcPr>
          <w:p w14:paraId="1E162C83" w14:textId="77777777" w:rsidR="003563F6" w:rsidRPr="003563F6" w:rsidRDefault="003563F6" w:rsidP="003563F6">
            <w:r w:rsidRPr="003563F6">
              <w:rPr>
                <w:b/>
                <w:bCs/>
              </w:rPr>
              <w:t>Scope</w:t>
            </w:r>
          </w:p>
        </w:tc>
        <w:tc>
          <w:tcPr>
            <w:tcW w:w="0" w:type="auto"/>
            <w:vAlign w:val="center"/>
            <w:hideMark/>
          </w:tcPr>
          <w:p w14:paraId="53B651BD" w14:textId="77777777" w:rsidR="003563F6" w:rsidRPr="003563F6" w:rsidRDefault="003563F6" w:rsidP="003563F6">
            <w:r w:rsidRPr="003563F6">
              <w:t>Individual databases</w:t>
            </w:r>
          </w:p>
        </w:tc>
        <w:tc>
          <w:tcPr>
            <w:tcW w:w="0" w:type="auto"/>
            <w:vAlign w:val="center"/>
            <w:hideMark/>
          </w:tcPr>
          <w:p w14:paraId="146AA9B0" w14:textId="555F2A62" w:rsidR="003563F6" w:rsidRPr="003563F6" w:rsidRDefault="003563F6" w:rsidP="003563F6">
            <w:r>
              <w:t>One or more</w:t>
            </w:r>
            <w:r w:rsidRPr="003563F6">
              <w:t xml:space="preserve"> databases</w:t>
            </w:r>
          </w:p>
        </w:tc>
      </w:tr>
      <w:tr w:rsidR="00594875" w:rsidRPr="003563F6" w14:paraId="780E844B" w14:textId="77777777" w:rsidTr="003563F6">
        <w:trPr>
          <w:tblCellSpacing w:w="15" w:type="dxa"/>
        </w:trPr>
        <w:tc>
          <w:tcPr>
            <w:tcW w:w="0" w:type="auto"/>
            <w:vAlign w:val="center"/>
            <w:hideMark/>
          </w:tcPr>
          <w:p w14:paraId="22C3EAC2" w14:textId="77777777" w:rsidR="003563F6" w:rsidRPr="003563F6" w:rsidRDefault="003563F6" w:rsidP="003563F6">
            <w:r w:rsidRPr="003563F6">
              <w:rPr>
                <w:b/>
                <w:bCs/>
              </w:rPr>
              <w:t>Failover</w:t>
            </w:r>
          </w:p>
        </w:tc>
        <w:tc>
          <w:tcPr>
            <w:tcW w:w="0" w:type="auto"/>
            <w:vAlign w:val="center"/>
            <w:hideMark/>
          </w:tcPr>
          <w:p w14:paraId="5111E6E6" w14:textId="77777777" w:rsidR="003563F6" w:rsidRPr="003563F6" w:rsidRDefault="003563F6" w:rsidP="003563F6">
            <w:r w:rsidRPr="003563F6">
              <w:t>Manual only</w:t>
            </w:r>
          </w:p>
        </w:tc>
        <w:tc>
          <w:tcPr>
            <w:tcW w:w="0" w:type="auto"/>
            <w:vAlign w:val="center"/>
            <w:hideMark/>
          </w:tcPr>
          <w:p w14:paraId="36D3D7E7" w14:textId="77777777" w:rsidR="003563F6" w:rsidRPr="003563F6" w:rsidRDefault="003563F6" w:rsidP="003563F6">
            <w:r w:rsidRPr="003563F6">
              <w:t>Automatic or manual</w:t>
            </w:r>
          </w:p>
        </w:tc>
      </w:tr>
      <w:tr w:rsidR="00594875" w:rsidRPr="003563F6" w14:paraId="090117E4" w14:textId="77777777" w:rsidTr="003563F6">
        <w:trPr>
          <w:tblCellSpacing w:w="15" w:type="dxa"/>
        </w:trPr>
        <w:tc>
          <w:tcPr>
            <w:tcW w:w="0" w:type="auto"/>
            <w:vAlign w:val="center"/>
            <w:hideMark/>
          </w:tcPr>
          <w:p w14:paraId="392FBE26" w14:textId="77777777" w:rsidR="003563F6" w:rsidRPr="003563F6" w:rsidRDefault="003563F6" w:rsidP="003563F6">
            <w:r w:rsidRPr="003563F6">
              <w:rPr>
                <w:b/>
                <w:bCs/>
              </w:rPr>
              <w:t>Connection string handling</w:t>
            </w:r>
          </w:p>
        </w:tc>
        <w:tc>
          <w:tcPr>
            <w:tcW w:w="0" w:type="auto"/>
            <w:vAlign w:val="center"/>
            <w:hideMark/>
          </w:tcPr>
          <w:p w14:paraId="779E844E" w14:textId="46A66BBA" w:rsidR="003563F6" w:rsidRPr="003563F6" w:rsidRDefault="003563F6" w:rsidP="003563F6">
            <w:r w:rsidRPr="003563F6">
              <w:t>Requires manual update after failover</w:t>
            </w:r>
            <w:r>
              <w:t xml:space="preserve"> (*)</w:t>
            </w:r>
          </w:p>
        </w:tc>
        <w:tc>
          <w:tcPr>
            <w:tcW w:w="0" w:type="auto"/>
            <w:vAlign w:val="center"/>
            <w:hideMark/>
          </w:tcPr>
          <w:p w14:paraId="17468FA3" w14:textId="7AEBD5CA" w:rsidR="003563F6" w:rsidRPr="003563F6" w:rsidRDefault="00594875" w:rsidP="003563F6">
            <w:r>
              <w:t>No impact on clients when they use the listener endpoints</w:t>
            </w:r>
          </w:p>
        </w:tc>
      </w:tr>
    </w:tbl>
    <w:p w14:paraId="40B1DAF9" w14:textId="7B348F5F" w:rsidR="003563F6" w:rsidRPr="003F0DE2" w:rsidRDefault="003F0DE2" w:rsidP="003F0DE2">
      <w:pPr>
        <w:jc w:val="center"/>
        <w:rPr>
          <w:i/>
          <w:iCs/>
        </w:rPr>
      </w:pPr>
      <w:r w:rsidRPr="003F0DE2">
        <w:rPr>
          <w:i/>
          <w:iCs/>
        </w:rPr>
        <w:t>Table 2 – Geo replication options</w:t>
      </w:r>
    </w:p>
    <w:p w14:paraId="03E1C715" w14:textId="1FA312FE" w:rsidR="00456183" w:rsidRDefault="005A43D1">
      <w:r>
        <w:t xml:space="preserve">Active </w:t>
      </w:r>
      <w:r w:rsidR="00045EB7" w:rsidRPr="00045EB7">
        <w:t>geo-replication may require updates to connection strings or DNS records to point to the new primary after a failover. That said, the actual impact depends on where</w:t>
      </w:r>
      <w:r>
        <w:t xml:space="preserve"> (*)</w:t>
      </w:r>
      <w:r w:rsidR="00B77025">
        <w:t xml:space="preserve"> </w:t>
      </w:r>
      <w:r w:rsidR="00045EB7" w:rsidRPr="00045EB7">
        <w:t>the client application is located</w:t>
      </w:r>
      <w:r w:rsidR="00B77025">
        <w:t xml:space="preserve"> as well as how you deploy to both regions</w:t>
      </w:r>
      <w:r w:rsidR="00045EB7" w:rsidRPr="00045EB7">
        <w:t xml:space="preserve">. Let’s look at this in more </w:t>
      </w:r>
      <w:r w:rsidR="00045EB7" w:rsidRPr="00045EB7">
        <w:lastRenderedPageBreak/>
        <w:t>detail.</w:t>
      </w:r>
      <w:r w:rsidR="001E3469">
        <w:t xml:space="preserve"> Figure 1 illustrates an active geo-replication setup between Belgium Central and France Central.</w:t>
      </w:r>
    </w:p>
    <w:p w14:paraId="7818874E" w14:textId="77777777" w:rsidR="003F0DE2" w:rsidRDefault="003F0DE2"/>
    <w:p w14:paraId="39945802" w14:textId="2A63FA19" w:rsidR="003F0DE2" w:rsidRDefault="00A23433" w:rsidP="00607954">
      <w:pPr>
        <w:jc w:val="center"/>
      </w:pPr>
      <w:r>
        <w:object w:dxaOrig="14356" w:dyaOrig="11205" w14:anchorId="40B68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8pt;height:351.95pt" o:ole="">
            <v:imagedata r:id="rId8" o:title=""/>
          </v:shape>
          <o:OLEObject Type="Embed" ProgID="Visio.Drawing.15" ShapeID="_x0000_i1025" DrawAspect="Content" ObjectID="_1828246128" r:id="rId9"/>
        </w:object>
      </w:r>
    </w:p>
    <w:p w14:paraId="19969AC6" w14:textId="3085A36C" w:rsidR="003F0DE2" w:rsidRPr="003F0DE2" w:rsidRDefault="003F0DE2" w:rsidP="003F0DE2">
      <w:pPr>
        <w:jc w:val="center"/>
        <w:rPr>
          <w:i/>
          <w:iCs/>
        </w:rPr>
      </w:pPr>
      <w:r w:rsidRPr="003F0DE2">
        <w:rPr>
          <w:i/>
          <w:iCs/>
        </w:rPr>
        <w:t>Figure 1 – SQL geo replication with active geo replication</w:t>
      </w:r>
    </w:p>
    <w:p w14:paraId="2238F5F5" w14:textId="5EEE490E" w:rsidR="003F0DE2" w:rsidRDefault="00520145">
      <w:r>
        <w:t xml:space="preserve">In </w:t>
      </w:r>
      <w:r w:rsidR="001E3469">
        <w:t xml:space="preserve">such </w:t>
      </w:r>
      <w:r>
        <w:t>a setup, under normal circumstances:</w:t>
      </w:r>
    </w:p>
    <w:p w14:paraId="76AB8ABE" w14:textId="18FB72E9" w:rsidR="00520145" w:rsidRDefault="00520145" w:rsidP="00520145">
      <w:pPr>
        <w:pStyle w:val="ListParagraph"/>
        <w:numPr>
          <w:ilvl w:val="0"/>
          <w:numId w:val="3"/>
        </w:numPr>
      </w:pPr>
      <w:r>
        <w:t>Workloads in the primary region (Belgium Central) can connect to the primary server in read/write mode</w:t>
      </w:r>
    </w:p>
    <w:p w14:paraId="5C17B70B" w14:textId="40063706" w:rsidR="00520145" w:rsidRDefault="00520145" w:rsidP="00520145">
      <w:pPr>
        <w:pStyle w:val="ListParagraph"/>
        <w:numPr>
          <w:ilvl w:val="0"/>
          <w:numId w:val="3"/>
        </w:numPr>
      </w:pPr>
      <w:r>
        <w:t xml:space="preserve">Workloads in the primary region can perform read-only activities against the secondary replica, providing they tolerate the extra latency incurred by the </w:t>
      </w:r>
      <w:r w:rsidR="00C71848">
        <w:t xml:space="preserve">roundtrip to the </w:t>
      </w:r>
      <w:r>
        <w:t>remote region (France Central).</w:t>
      </w:r>
      <w:r w:rsidR="00C71848">
        <w:t xml:space="preserve"> </w:t>
      </w:r>
    </w:p>
    <w:p w14:paraId="5E30BEAD" w14:textId="7926E4EC" w:rsidR="00C71848" w:rsidRDefault="00C71848" w:rsidP="00520145">
      <w:pPr>
        <w:pStyle w:val="ListParagraph"/>
        <w:numPr>
          <w:ilvl w:val="0"/>
          <w:numId w:val="3"/>
        </w:numPr>
      </w:pPr>
      <w:r>
        <w:t>Workloads in the secondary region</w:t>
      </w:r>
      <w:r w:rsidR="002742CC">
        <w:t xml:space="preserve"> (if any)</w:t>
      </w:r>
      <w:r w:rsidR="00F16585">
        <w:t xml:space="preserve">, </w:t>
      </w:r>
      <w:r w:rsidR="002742CC">
        <w:t>can</w:t>
      </w:r>
      <w:r>
        <w:t xml:space="preserve"> perform read-only operations against the read replica with no extra latency.</w:t>
      </w:r>
      <w:r w:rsidR="00D53F62">
        <w:t xml:space="preserve"> </w:t>
      </w:r>
    </w:p>
    <w:p w14:paraId="188713C5" w14:textId="7DE66610" w:rsidR="00F16585" w:rsidRDefault="00F16585" w:rsidP="006954DE">
      <w:pPr>
        <w:pStyle w:val="ListParagraph"/>
      </w:pPr>
    </w:p>
    <w:p w14:paraId="3630E6A0" w14:textId="77777777" w:rsidR="005349DC" w:rsidRPr="005349DC" w:rsidRDefault="005349DC" w:rsidP="005349DC">
      <w:r w:rsidRPr="005349DC">
        <w:t xml:space="preserve">The configuration shown in Figure 1 supports a </w:t>
      </w:r>
      <w:r w:rsidRPr="005349DC">
        <w:rPr>
          <w:b/>
          <w:bCs/>
        </w:rPr>
        <w:t>database-only failover</w:t>
      </w:r>
      <w:r w:rsidRPr="005349DC">
        <w:t xml:space="preserve">. Both regions expose private endpoints to </w:t>
      </w:r>
      <w:r w:rsidRPr="005349DC">
        <w:rPr>
          <w:b/>
          <w:bCs/>
        </w:rPr>
        <w:t>both SQL servers</w:t>
      </w:r>
      <w:r w:rsidRPr="005349DC">
        <w:t xml:space="preserve"> and rely on </w:t>
      </w:r>
      <w:r w:rsidRPr="005349DC">
        <w:rPr>
          <w:b/>
          <w:bCs/>
        </w:rPr>
        <w:t>region-scoped DNS zones</w:t>
      </w:r>
      <w:r w:rsidRPr="005349DC">
        <w:t>.</w:t>
      </w:r>
    </w:p>
    <w:p w14:paraId="0D0C4C03" w14:textId="77777777" w:rsidR="005349DC" w:rsidRPr="005349DC" w:rsidRDefault="005349DC" w:rsidP="005349DC">
      <w:r w:rsidRPr="005349DC">
        <w:t xml:space="preserve">Although Private DNS zones are global by design, keeping them regional allows each region to resolve both the primary and secondary servers. This requires </w:t>
      </w:r>
      <w:r w:rsidRPr="005349DC">
        <w:rPr>
          <w:b/>
          <w:bCs/>
        </w:rPr>
        <w:t>four DNS records</w:t>
      </w:r>
      <w:r w:rsidRPr="005349DC">
        <w:t xml:space="preserve"> in total—primary and secondary endpoints registered in each regional zone.</w:t>
      </w:r>
    </w:p>
    <w:p w14:paraId="2BCCD84C" w14:textId="549B28E6" w:rsidR="005349DC" w:rsidRPr="005349DC" w:rsidRDefault="005349DC" w:rsidP="005349DC">
      <w:r w:rsidRPr="005349DC">
        <w:lastRenderedPageBreak/>
        <w:t xml:space="preserve">With a single shared DNS zone, this would not be possible: while all four private endpoints could be deployed, only </w:t>
      </w:r>
      <w:r w:rsidRPr="005349DC">
        <w:rPr>
          <w:b/>
          <w:bCs/>
        </w:rPr>
        <w:t>two DNS records</w:t>
      </w:r>
      <w:r w:rsidRPr="005349DC">
        <w:t xml:space="preserve"> would be registered, since the endpoints map to just two </w:t>
      </w:r>
      <w:proofErr w:type="spellStart"/>
      <w:r w:rsidRPr="005349DC">
        <w:t>FQDNs</w:t>
      </w:r>
      <w:proofErr w:type="spellEnd"/>
      <w:r w:rsidRPr="005349DC">
        <w:t xml:space="preserve"> (primary and secondary).</w:t>
      </w:r>
      <w:r w:rsidR="00A511E8">
        <w:t xml:space="preserve"> </w:t>
      </w:r>
      <w:r w:rsidR="00A511E8" w:rsidRPr="00A511E8">
        <w:t>While this approach works, it keeps the regions siloed and prevents any cross-region traffic. From a resilience standpoint, it is preferable to provide as many fallback paths as possible.</w:t>
      </w:r>
      <w:r w:rsidR="00194A2A">
        <w:t xml:space="preserve"> </w:t>
      </w:r>
    </w:p>
    <w:p w14:paraId="7AA34E2C" w14:textId="24831FD7" w:rsidR="00AB0291" w:rsidRDefault="00194A2A">
      <w:r>
        <w:t>Moreover, as we will see later, with other resources such as Storage Accounts, a single DNS zone would force us to update the DNS records upon failover, causing a minimal downtime. Bottom line: using multiple DNS zones prevents issues during failover.</w:t>
      </w:r>
    </w:p>
    <w:p w14:paraId="1E0D07B4" w14:textId="626DA9E7" w:rsidR="00DD4ED1" w:rsidRDefault="00844466">
      <w:r>
        <w:t xml:space="preserve">Back to active geo replication! </w:t>
      </w:r>
      <w:r w:rsidR="00C71848">
        <w:t xml:space="preserve">In case of failover, SQL servers switch roles: the primary becomes secondary and vice versa. This concretely means that the connection string </w:t>
      </w:r>
      <w:r w:rsidR="00C71848" w:rsidRPr="00A97CDB">
        <w:rPr>
          <w:rFonts w:ascii="Courier New" w:hAnsi="Courier New" w:cs="Courier New"/>
        </w:rPr>
        <w:t>primary.database.windows.net</w:t>
      </w:r>
      <w:r w:rsidR="00C71848">
        <w:t xml:space="preserve"> targets the read/write region in a normal situation but a read-only</w:t>
      </w:r>
      <w:r w:rsidR="00777CF1">
        <w:t xml:space="preserve"> or unavailable</w:t>
      </w:r>
      <w:r w:rsidR="00C71848">
        <w:t xml:space="preserve"> one after failover. </w:t>
      </w:r>
      <w:r w:rsidR="00301768">
        <w:t>Workloads using this connection string would either stop working (if the regional outage persist), either talk to a read-only database</w:t>
      </w:r>
      <w:r w:rsidR="00D3452C">
        <w:t xml:space="preserve"> </w:t>
      </w:r>
      <w:r w:rsidR="00C56C91">
        <w:t xml:space="preserve">instead of a read-write one, </w:t>
      </w:r>
      <w:r w:rsidR="00D3452C">
        <w:t>once the failover completed</w:t>
      </w:r>
      <w:r w:rsidR="00301768">
        <w:t xml:space="preserve">. </w:t>
      </w:r>
      <w:r w:rsidR="00C71848">
        <w:t xml:space="preserve">Similarly, the connection string </w:t>
      </w:r>
      <w:r w:rsidR="00C71848" w:rsidRPr="00A97CDB">
        <w:rPr>
          <w:rFonts w:ascii="Courier New" w:hAnsi="Courier New" w:cs="Courier New"/>
        </w:rPr>
        <w:t>secondary.database.windows.net</w:t>
      </w:r>
      <w:r w:rsidR="00C71848">
        <w:t xml:space="preserve"> </w:t>
      </w:r>
      <w:r w:rsidR="00673EB4">
        <w:t xml:space="preserve">usually </w:t>
      </w:r>
      <w:r w:rsidR="00C71848">
        <w:t>target</w:t>
      </w:r>
      <w:r w:rsidR="00673EB4">
        <w:t>ing</w:t>
      </w:r>
      <w:r w:rsidR="00C71848">
        <w:t xml:space="preserve"> the read-only region under normal circumstances </w:t>
      </w:r>
      <w:r w:rsidR="00673EB4">
        <w:t>now targets</w:t>
      </w:r>
      <w:r w:rsidR="00EE34FD">
        <w:t xml:space="preserve"> the</w:t>
      </w:r>
      <w:r w:rsidR="00C71848">
        <w:t xml:space="preserve"> read-write one after failover.</w:t>
      </w:r>
    </w:p>
    <w:p w14:paraId="55E6F2C0" w14:textId="77777777" w:rsidR="0073373E" w:rsidRDefault="0073373E"/>
    <w:p w14:paraId="3D959CC0" w14:textId="57421AF3" w:rsidR="003E1289" w:rsidRDefault="00DD4ED1">
      <w:r>
        <w:t>Knowing this, a few options exist</w:t>
      </w:r>
      <w:r w:rsidR="003E1289">
        <w:t>:</w:t>
      </w:r>
    </w:p>
    <w:p w14:paraId="564CC76E" w14:textId="77777777" w:rsidR="003E1289" w:rsidRDefault="003E1289"/>
    <w:p w14:paraId="040091A8" w14:textId="69C90F68" w:rsidR="00D86E0E" w:rsidRDefault="00066135" w:rsidP="0054073E">
      <w:pPr>
        <w:pStyle w:val="ListParagraph"/>
        <w:numPr>
          <w:ilvl w:val="0"/>
          <w:numId w:val="4"/>
        </w:numPr>
      </w:pPr>
      <w:r w:rsidRPr="00066135">
        <w:t>You may choose to fail over everything</w:t>
      </w:r>
      <w:r w:rsidR="00BF0FB7">
        <w:t xml:space="preserve"> (</w:t>
      </w:r>
      <w:proofErr w:type="spellStart"/>
      <w:r w:rsidR="00BF0FB7">
        <w:t>database+compute</w:t>
      </w:r>
      <w:proofErr w:type="spellEnd"/>
      <w:r w:rsidR="00BF0FB7">
        <w:t>)</w:t>
      </w:r>
      <w:r w:rsidRPr="00066135">
        <w:t xml:space="preserve">. In that scenario, workloads running in the secondary region can use their default </w:t>
      </w:r>
      <w:r w:rsidRPr="00CD2593">
        <w:rPr>
          <w:i/>
          <w:iCs/>
        </w:rPr>
        <w:t>secondary</w:t>
      </w:r>
      <w:r w:rsidRPr="00066135">
        <w:t xml:space="preserve"> connection string, which will automatically target the new primary after failover. This approach requires </w:t>
      </w:r>
      <w:r w:rsidR="00B142E2">
        <w:t>t</w:t>
      </w:r>
      <w:r w:rsidRPr="00066135">
        <w:t xml:space="preserve">he deployment pipeline </w:t>
      </w:r>
      <w:r w:rsidR="00B142E2">
        <w:t>to</w:t>
      </w:r>
      <w:r w:rsidRPr="00066135">
        <w:t xml:space="preserve"> be region-aware, detect the target region, and apply the appropriate connection string. When deployed in the primary region, the application should use </w:t>
      </w:r>
      <w:r w:rsidRPr="00A97CDB">
        <w:rPr>
          <w:rFonts w:ascii="Courier New" w:hAnsi="Courier New" w:cs="Courier New"/>
        </w:rPr>
        <w:t>primary.database.windows.net</w:t>
      </w:r>
      <w:r w:rsidRPr="00066135">
        <w:t xml:space="preserve">, while in the secondary region it should already be configured with </w:t>
      </w:r>
      <w:r w:rsidRPr="00A97CDB">
        <w:rPr>
          <w:rFonts w:ascii="Courier New" w:hAnsi="Courier New" w:cs="Courier New"/>
        </w:rPr>
        <w:t>secondary.database.windows.net</w:t>
      </w:r>
      <w:r w:rsidRPr="00066135">
        <w:t>. This design eliminates the need for any connection string changes after failover.</w:t>
      </w:r>
      <w:r w:rsidR="00D86E0E">
        <w:t xml:space="preserve"> </w:t>
      </w:r>
      <w:r w:rsidR="009A21BF">
        <w:t>If your webapps, K8s pods, etc. are already up and running, the only thing you still have to do is route traffic to them.</w:t>
      </w:r>
      <w:r w:rsidR="00844BC7">
        <w:t xml:space="preserve"> Any other SQL client not running in the secondary region (</w:t>
      </w:r>
      <w:proofErr w:type="spellStart"/>
      <w:r w:rsidR="00844BC7">
        <w:t>eg</w:t>
      </w:r>
      <w:proofErr w:type="spellEnd"/>
      <w:r w:rsidR="00844BC7">
        <w:t>: on-premises), would have to update its connection string to target the new primary.</w:t>
      </w:r>
      <w:r w:rsidR="00D86E0E">
        <w:br/>
      </w:r>
    </w:p>
    <w:p w14:paraId="13D9D0C3" w14:textId="541082CB" w:rsidR="00DD4ED1" w:rsidRDefault="00D86E0E" w:rsidP="0054073E">
      <w:pPr>
        <w:pStyle w:val="ListParagraph"/>
        <w:numPr>
          <w:ilvl w:val="0"/>
          <w:numId w:val="4"/>
        </w:numPr>
      </w:pPr>
      <w:r>
        <w:t xml:space="preserve">You may choose to redeploy the compute </w:t>
      </w:r>
      <w:r w:rsidR="002834C2">
        <w:t xml:space="preserve">infrastructure </w:t>
      </w:r>
      <w:r>
        <w:t xml:space="preserve">(web apps, etc.) to the secondary region only in case of regional outage. This approach is </w:t>
      </w:r>
      <w:r w:rsidR="00B91014">
        <w:t xml:space="preserve">cheaper but </w:t>
      </w:r>
      <w:r>
        <w:t>risky as you’re not guaranteed to have the available capacity</w:t>
      </w:r>
      <w:r w:rsidR="00844BC7">
        <w:t xml:space="preserve"> and it is causing a significant downtime</w:t>
      </w:r>
      <w:r>
        <w:t xml:space="preserve">. However, such an approach allows you to adjust your pipelines, specify the right connection string and simply redeploy your infrastructure and/or application package. </w:t>
      </w:r>
      <w:r w:rsidR="00803B4A">
        <w:br/>
      </w:r>
    </w:p>
    <w:p w14:paraId="2819E233" w14:textId="25BC738C" w:rsidR="00CD2593" w:rsidRDefault="00CD2593" w:rsidP="00CD2593">
      <w:pPr>
        <w:pStyle w:val="NormalWeb"/>
        <w:numPr>
          <w:ilvl w:val="0"/>
          <w:numId w:val="4"/>
        </w:numPr>
      </w:pPr>
      <w:r>
        <w:t xml:space="preserve">If you want to deploy the application </w:t>
      </w:r>
      <w:r w:rsidR="00BE2A5E">
        <w:t>with the exact same settings</w:t>
      </w:r>
      <w:r>
        <w:t xml:space="preserve"> in both regions, you’ll need to update the connection string used by workloads in the secondary region, since </w:t>
      </w:r>
      <w:r w:rsidRPr="00A97CDB">
        <w:rPr>
          <w:rFonts w:ascii="Courier New" w:eastAsiaTheme="minorHAnsi" w:hAnsi="Courier New" w:cs="Courier New"/>
          <w:sz w:val="22"/>
          <w:szCs w:val="22"/>
          <w:lang w:eastAsia="en-US"/>
        </w:rPr>
        <w:t>primary.database.windows.net</w:t>
      </w:r>
      <w:r>
        <w:t xml:space="preserve"> will now resolve to an unavailable server after failover. If the original primary later comes back online, it will return as a secondary (read-only) replica, which would not support write </w:t>
      </w:r>
      <w:r>
        <w:lastRenderedPageBreak/>
        <w:t>operations.</w:t>
      </w:r>
      <w:r w:rsidR="00900DBB">
        <w:t xml:space="preserve"> You can as well make your application failover aware (</w:t>
      </w:r>
      <w:r w:rsidR="00FA1FB5">
        <w:t>**</w:t>
      </w:r>
      <w:r w:rsidR="00900DBB">
        <w:t>).</w:t>
      </w:r>
      <w:r w:rsidR="00777CF1">
        <w:br/>
      </w:r>
    </w:p>
    <w:p w14:paraId="6CB296F6" w14:textId="32835A9A" w:rsidR="00DB76DC" w:rsidRDefault="00BE651C" w:rsidP="00BE651C">
      <w:r w:rsidRPr="00BE651C">
        <w:t xml:space="preserve">You can’t simply update DNS, </w:t>
      </w:r>
      <w:r w:rsidR="0075390C">
        <w:t xml:space="preserve">meaning making secondary target primary and vice versa, </w:t>
      </w:r>
      <w:r w:rsidRPr="00BE651C">
        <w:t>because the FQDN (</w:t>
      </w:r>
      <w:r w:rsidRPr="00BE651C">
        <w:rPr>
          <w:rFonts w:ascii="Courier New" w:hAnsi="Courier New" w:cs="Courier New"/>
        </w:rPr>
        <w:t>primary-or-secondary.database.windows.net</w:t>
      </w:r>
      <w:r w:rsidRPr="00BE651C">
        <w:t xml:space="preserve">) is validated by the target server, and the names must match—so redirecting it to a different server would </w:t>
      </w:r>
      <w:r w:rsidR="008D12D9">
        <w:t xml:space="preserve">simply </w:t>
      </w:r>
      <w:r w:rsidRPr="00BE651C">
        <w:t>fail.</w:t>
      </w:r>
      <w:r w:rsidR="004E1453">
        <w:t xml:space="preserve"> </w:t>
      </w:r>
    </w:p>
    <w:p w14:paraId="0D7A2714" w14:textId="77777777" w:rsidR="00BE2A5E" w:rsidRDefault="004E1453" w:rsidP="00BE651C">
      <w:r>
        <w:t xml:space="preserve">In conclusion, </w:t>
      </w:r>
      <w:r w:rsidR="00DB76DC">
        <w:t xml:space="preserve">when using active geo-replication as the replication technique, </w:t>
      </w:r>
      <w:r>
        <w:t>you should make your applications failover-aware</w:t>
      </w:r>
      <w:r w:rsidR="000A0E09">
        <w:t xml:space="preserve"> (**)</w:t>
      </w:r>
      <w:r>
        <w:t xml:space="preserve"> and pre-provision both connection strings</w:t>
      </w:r>
      <w:r w:rsidR="00DB76DC">
        <w:t xml:space="preserve"> and implement the failover/retry logic in the application code itself. You may wrap your Entity Framework context into a </w:t>
      </w:r>
      <w:r w:rsidR="00DB76DC" w:rsidRPr="00DB76DC">
        <w:rPr>
          <w:b/>
          <w:bCs/>
        </w:rPr>
        <w:t>factory</w:t>
      </w:r>
      <w:r w:rsidR="00DB76DC">
        <w:t xml:space="preserve"> to abstract away the retry logic. Given we typically use a </w:t>
      </w:r>
      <w:r w:rsidR="00DB76DC" w:rsidRPr="00DB76DC">
        <w:rPr>
          <w:b/>
          <w:bCs/>
        </w:rPr>
        <w:t>scoped</w:t>
      </w:r>
      <w:r w:rsidR="00DB76DC">
        <w:t xml:space="preserve"> lifetime, you may expect some HTTP requests to fail (in case of an API) but new instances targeting the right server would ultimately succeed without having to restart the application.</w:t>
      </w:r>
      <w:r w:rsidR="00BE2A5E">
        <w:t xml:space="preserve"> You may as well use a geo-redundant Azure App Configuration and failover it along SQL, then switch the primary server connection string after failover. The SDK allows you to monitor a sentinel key and to reload the configuration without having to restart the application:</w:t>
      </w:r>
    </w:p>
    <w:p w14:paraId="23F091AF" w14:textId="77777777" w:rsidR="00BE2A5E" w:rsidRDefault="00BE2A5E" w:rsidP="00BE651C"/>
    <w:p w14:paraId="0C6AED95" w14:textId="77777777" w:rsidR="00BE2A5E" w:rsidRPr="00BE2A5E" w:rsidRDefault="00BE2A5E" w:rsidP="00BE2A5E">
      <w:pPr>
        <w:pStyle w:val="cod"/>
        <w:rPr>
          <w:highlight w:val="lightGray"/>
        </w:rPr>
      </w:pPr>
      <w:proofErr w:type="spellStart"/>
      <w:r w:rsidRPr="00BE2A5E">
        <w:rPr>
          <w:highlight w:val="lightGray"/>
        </w:rPr>
        <w:t>configBuilder.AddAzureAppConfiguration</w:t>
      </w:r>
      <w:proofErr w:type="spellEnd"/>
      <w:r w:rsidRPr="00BE2A5E">
        <w:rPr>
          <w:highlight w:val="lightGray"/>
        </w:rPr>
        <w:t>(options =&gt;</w:t>
      </w:r>
    </w:p>
    <w:p w14:paraId="7D291CEE" w14:textId="77777777" w:rsidR="00BE2A5E" w:rsidRPr="00BE2A5E" w:rsidRDefault="00BE2A5E" w:rsidP="00BE2A5E">
      <w:pPr>
        <w:pStyle w:val="cod"/>
        <w:rPr>
          <w:highlight w:val="lightGray"/>
        </w:rPr>
      </w:pPr>
      <w:r w:rsidRPr="00BE2A5E">
        <w:rPr>
          <w:highlight w:val="lightGray"/>
        </w:rPr>
        <w:t>{</w:t>
      </w:r>
    </w:p>
    <w:p w14:paraId="2D47D252" w14:textId="77777777" w:rsidR="00BE2A5E" w:rsidRPr="00BE2A5E" w:rsidRDefault="00BE2A5E" w:rsidP="00BE2A5E">
      <w:pPr>
        <w:pStyle w:val="cod"/>
        <w:rPr>
          <w:highlight w:val="lightGray"/>
        </w:rPr>
      </w:pPr>
      <w:r w:rsidRPr="00BE2A5E">
        <w:rPr>
          <w:highlight w:val="lightGray"/>
        </w:rPr>
        <w:t xml:space="preserve">    </w:t>
      </w:r>
      <w:proofErr w:type="spellStart"/>
      <w:r w:rsidRPr="00BE2A5E">
        <w:rPr>
          <w:highlight w:val="lightGray"/>
        </w:rPr>
        <w:t>options.Connect</w:t>
      </w:r>
      <w:proofErr w:type="spellEnd"/>
      <w:r w:rsidRPr="00BE2A5E">
        <w:rPr>
          <w:highlight w:val="lightGray"/>
        </w:rPr>
        <w:t xml:space="preserve">(new Uri("&lt;your-app-config-endpoint&gt;"), new </w:t>
      </w:r>
      <w:proofErr w:type="spellStart"/>
      <w:r w:rsidRPr="00BE2A5E">
        <w:rPr>
          <w:highlight w:val="lightGray"/>
        </w:rPr>
        <w:t>DefaultAzureCredential</w:t>
      </w:r>
      <w:proofErr w:type="spellEnd"/>
      <w:r w:rsidRPr="00BE2A5E">
        <w:rPr>
          <w:highlight w:val="lightGray"/>
        </w:rPr>
        <w:t>())</w:t>
      </w:r>
    </w:p>
    <w:p w14:paraId="375C5102" w14:textId="77777777" w:rsidR="00BE2A5E" w:rsidRPr="00BE2A5E" w:rsidRDefault="00BE2A5E" w:rsidP="00BE2A5E">
      <w:pPr>
        <w:pStyle w:val="cod"/>
        <w:rPr>
          <w:highlight w:val="lightGray"/>
        </w:rPr>
      </w:pPr>
      <w:r w:rsidRPr="00BE2A5E">
        <w:rPr>
          <w:highlight w:val="lightGray"/>
        </w:rPr>
        <w:t xml:space="preserve">           // Load all keys that start with `</w:t>
      </w:r>
      <w:proofErr w:type="spellStart"/>
      <w:r w:rsidRPr="00BE2A5E">
        <w:rPr>
          <w:highlight w:val="lightGray"/>
        </w:rPr>
        <w:t>TestApp</w:t>
      </w:r>
      <w:proofErr w:type="spellEnd"/>
      <w:r w:rsidRPr="00BE2A5E">
        <w:rPr>
          <w:highlight w:val="lightGray"/>
        </w:rPr>
        <w:t>:` and have no label</w:t>
      </w:r>
    </w:p>
    <w:p w14:paraId="6B9C7C8F" w14:textId="77777777" w:rsidR="00BE2A5E" w:rsidRPr="00BE2A5E" w:rsidRDefault="00BE2A5E" w:rsidP="00BE2A5E">
      <w:pPr>
        <w:pStyle w:val="cod"/>
        <w:rPr>
          <w:highlight w:val="lightGray"/>
        </w:rPr>
      </w:pPr>
      <w:r w:rsidRPr="00BE2A5E">
        <w:rPr>
          <w:highlight w:val="lightGray"/>
        </w:rPr>
        <w:t xml:space="preserve">           .Select(</w:t>
      </w:r>
      <w:proofErr w:type="spellStart"/>
      <w:r w:rsidRPr="00BE2A5E">
        <w:rPr>
          <w:highlight w:val="lightGray"/>
        </w:rPr>
        <w:t>keyFilter</w:t>
      </w:r>
      <w:proofErr w:type="spellEnd"/>
      <w:r w:rsidRPr="00BE2A5E">
        <w:rPr>
          <w:highlight w:val="lightGray"/>
        </w:rPr>
        <w:t>: "</w:t>
      </w:r>
      <w:proofErr w:type="spellStart"/>
      <w:r w:rsidRPr="00BE2A5E">
        <w:rPr>
          <w:highlight w:val="lightGray"/>
        </w:rPr>
        <w:t>TestApp</w:t>
      </w:r>
      <w:proofErr w:type="spellEnd"/>
      <w:r w:rsidRPr="00BE2A5E">
        <w:rPr>
          <w:highlight w:val="lightGray"/>
        </w:rPr>
        <w:t xml:space="preserve">:*", </w:t>
      </w:r>
      <w:proofErr w:type="spellStart"/>
      <w:r w:rsidRPr="00BE2A5E">
        <w:rPr>
          <w:highlight w:val="lightGray"/>
        </w:rPr>
        <w:t>labelFilter</w:t>
      </w:r>
      <w:proofErr w:type="spellEnd"/>
      <w:r w:rsidRPr="00BE2A5E">
        <w:rPr>
          <w:highlight w:val="lightGray"/>
        </w:rPr>
        <w:t xml:space="preserve">: </w:t>
      </w:r>
      <w:proofErr w:type="spellStart"/>
      <w:r w:rsidRPr="00BE2A5E">
        <w:rPr>
          <w:highlight w:val="lightGray"/>
        </w:rPr>
        <w:t>LabelFilter.Null</w:t>
      </w:r>
      <w:proofErr w:type="spellEnd"/>
      <w:r w:rsidRPr="00BE2A5E">
        <w:rPr>
          <w:highlight w:val="lightGray"/>
        </w:rPr>
        <w:t>)</w:t>
      </w:r>
    </w:p>
    <w:p w14:paraId="6D637B0C" w14:textId="77777777" w:rsidR="00BE2A5E" w:rsidRPr="00BE2A5E" w:rsidRDefault="00BE2A5E" w:rsidP="00BE2A5E">
      <w:pPr>
        <w:pStyle w:val="cod"/>
        <w:rPr>
          <w:highlight w:val="lightGray"/>
        </w:rPr>
      </w:pPr>
      <w:r w:rsidRPr="00BE2A5E">
        <w:rPr>
          <w:highlight w:val="lightGray"/>
        </w:rPr>
        <w:t xml:space="preserve">           .</w:t>
      </w:r>
      <w:proofErr w:type="spellStart"/>
      <w:r w:rsidRPr="00BE2A5E">
        <w:rPr>
          <w:highlight w:val="lightGray"/>
        </w:rPr>
        <w:t>ConfigureRefresh</w:t>
      </w:r>
      <w:proofErr w:type="spellEnd"/>
      <w:r w:rsidRPr="00BE2A5E">
        <w:rPr>
          <w:highlight w:val="lightGray"/>
        </w:rPr>
        <w:t>(</w:t>
      </w:r>
      <w:proofErr w:type="spellStart"/>
      <w:r w:rsidRPr="00BE2A5E">
        <w:rPr>
          <w:highlight w:val="lightGray"/>
        </w:rPr>
        <w:t>refreshOptions</w:t>
      </w:r>
      <w:proofErr w:type="spellEnd"/>
      <w:r w:rsidRPr="00BE2A5E">
        <w:rPr>
          <w:highlight w:val="lightGray"/>
        </w:rPr>
        <w:t xml:space="preserve"> =&gt;</w:t>
      </w:r>
    </w:p>
    <w:p w14:paraId="1C747A5E" w14:textId="77777777" w:rsidR="00BE2A5E" w:rsidRPr="00BE2A5E" w:rsidRDefault="00BE2A5E" w:rsidP="00BE2A5E">
      <w:pPr>
        <w:pStyle w:val="cod"/>
        <w:rPr>
          <w:highlight w:val="lightGray"/>
        </w:rPr>
      </w:pPr>
      <w:r w:rsidRPr="00BE2A5E">
        <w:rPr>
          <w:highlight w:val="lightGray"/>
        </w:rPr>
        <w:t xml:space="preserve">           {</w:t>
      </w:r>
    </w:p>
    <w:p w14:paraId="3B871721" w14:textId="77777777" w:rsidR="00BE2A5E" w:rsidRPr="00BE2A5E" w:rsidRDefault="00BE2A5E" w:rsidP="00BE2A5E">
      <w:pPr>
        <w:pStyle w:val="cod"/>
        <w:rPr>
          <w:highlight w:val="lightGray"/>
        </w:rPr>
      </w:pPr>
      <w:r w:rsidRPr="00BE2A5E">
        <w:rPr>
          <w:highlight w:val="lightGray"/>
        </w:rPr>
        <w:t xml:space="preserve">               // Trigger full configuration refresh only if the `</w:t>
      </w:r>
      <w:proofErr w:type="spellStart"/>
      <w:r w:rsidRPr="00BE2A5E">
        <w:rPr>
          <w:highlight w:val="lightGray"/>
        </w:rPr>
        <w:t>SentinelKey</w:t>
      </w:r>
      <w:proofErr w:type="spellEnd"/>
      <w:r w:rsidRPr="00BE2A5E">
        <w:rPr>
          <w:highlight w:val="lightGray"/>
        </w:rPr>
        <w:t>` changes.</w:t>
      </w:r>
    </w:p>
    <w:p w14:paraId="488F228E" w14:textId="77777777" w:rsidR="00BE2A5E" w:rsidRPr="00BE2A5E" w:rsidRDefault="00BE2A5E" w:rsidP="00BE2A5E">
      <w:pPr>
        <w:pStyle w:val="cod"/>
        <w:rPr>
          <w:highlight w:val="lightGray"/>
        </w:rPr>
      </w:pPr>
      <w:r w:rsidRPr="00BE2A5E">
        <w:rPr>
          <w:highlight w:val="lightGray"/>
        </w:rPr>
        <w:t xml:space="preserve">               </w:t>
      </w:r>
      <w:proofErr w:type="spellStart"/>
      <w:r w:rsidRPr="00BE2A5E">
        <w:rPr>
          <w:highlight w:val="lightGray"/>
        </w:rPr>
        <w:t>refreshOptions.Register</w:t>
      </w:r>
      <w:proofErr w:type="spellEnd"/>
      <w:r w:rsidRPr="00BE2A5E">
        <w:rPr>
          <w:highlight w:val="lightGray"/>
        </w:rPr>
        <w:t>("</w:t>
      </w:r>
      <w:proofErr w:type="spellStart"/>
      <w:r w:rsidRPr="00BE2A5E">
        <w:rPr>
          <w:highlight w:val="lightGray"/>
        </w:rPr>
        <w:t>SentinelKey</w:t>
      </w:r>
      <w:proofErr w:type="spellEnd"/>
      <w:r w:rsidRPr="00BE2A5E">
        <w:rPr>
          <w:highlight w:val="lightGray"/>
        </w:rPr>
        <w:t xml:space="preserve">", </w:t>
      </w:r>
      <w:proofErr w:type="spellStart"/>
      <w:r w:rsidRPr="00BE2A5E">
        <w:rPr>
          <w:highlight w:val="lightGray"/>
        </w:rPr>
        <w:t>refreshAll</w:t>
      </w:r>
      <w:proofErr w:type="spellEnd"/>
      <w:r w:rsidRPr="00BE2A5E">
        <w:rPr>
          <w:highlight w:val="lightGray"/>
        </w:rPr>
        <w:t>: true);</w:t>
      </w:r>
    </w:p>
    <w:p w14:paraId="362D8C0F" w14:textId="77777777" w:rsidR="00BE2A5E" w:rsidRPr="00BE2A5E" w:rsidRDefault="00BE2A5E" w:rsidP="00BE2A5E">
      <w:pPr>
        <w:pStyle w:val="cod"/>
        <w:rPr>
          <w:highlight w:val="lightGray"/>
        </w:rPr>
      </w:pPr>
      <w:r w:rsidRPr="00BE2A5E">
        <w:rPr>
          <w:highlight w:val="lightGray"/>
        </w:rPr>
        <w:t xml:space="preserve">           });</w:t>
      </w:r>
    </w:p>
    <w:p w14:paraId="208259BF" w14:textId="77777777" w:rsidR="00BE2A5E" w:rsidRPr="00BE2A5E" w:rsidRDefault="00BE2A5E" w:rsidP="00BE2A5E">
      <w:pPr>
        <w:pStyle w:val="cod"/>
      </w:pPr>
      <w:r w:rsidRPr="00BE2A5E">
        <w:rPr>
          <w:highlight w:val="lightGray"/>
        </w:rPr>
        <w:t>});</w:t>
      </w:r>
    </w:p>
    <w:p w14:paraId="3241AAD3" w14:textId="7AF188D5" w:rsidR="00BE651C" w:rsidRDefault="00D24C7B" w:rsidP="00D24C7B">
      <w:r>
        <w:t xml:space="preserve">More on App Configuration and the sentinel key </w:t>
      </w:r>
      <w:hyperlink r:id="rId10" w:history="1">
        <w:r w:rsidRPr="00C45E0E">
          <w:rPr>
            <w:rStyle w:val="Hyperlink"/>
          </w:rPr>
          <w:t>https://learn.microsoft.com/en-us/azure/azure-app-configuration/howto-best-practices?tabs=dotnet</w:t>
        </w:r>
      </w:hyperlink>
    </w:p>
    <w:p w14:paraId="2F02E760" w14:textId="6FBDAECD" w:rsidR="001620F2" w:rsidRDefault="001620F2">
      <w:r>
        <w:t>Upon failover, you would update the sentinel key, modify connection strings in App Configuration or tell the apps that they failed over, letting them pick the new configuration without the need to restart them.</w:t>
      </w:r>
    </w:p>
    <w:p w14:paraId="1DD37D88" w14:textId="64569F1C" w:rsidR="00832740" w:rsidRDefault="00B82CA9">
      <w:r w:rsidRPr="00B82CA9">
        <w:t xml:space="preserve">As an alternative to </w:t>
      </w:r>
      <w:r w:rsidR="0041730C">
        <w:t xml:space="preserve">active </w:t>
      </w:r>
      <w:r w:rsidRPr="00B82CA9">
        <w:t xml:space="preserve">geo-replication, you can use </w:t>
      </w:r>
      <w:r w:rsidRPr="00B82CA9">
        <w:rPr>
          <w:b/>
          <w:bCs/>
        </w:rPr>
        <w:t>failover groups</w:t>
      </w:r>
      <w:r w:rsidRPr="00B82CA9">
        <w:t xml:space="preserve">, which allow one or more databases to fail over together to another server. A key </w:t>
      </w:r>
      <w:r w:rsidR="0041730C">
        <w:t>benefit of failover group compared to active geo-replication,</w:t>
      </w:r>
      <w:r w:rsidRPr="00B82CA9">
        <w:t xml:space="preserve"> is the presence of two stable listeners: one for </w:t>
      </w:r>
      <w:r w:rsidRPr="00B82CA9">
        <w:rPr>
          <w:b/>
          <w:bCs/>
        </w:rPr>
        <w:t>read-only</w:t>
      </w:r>
      <w:r w:rsidRPr="00B82CA9">
        <w:t xml:space="preserve"> traffic and one for </w:t>
      </w:r>
      <w:r w:rsidRPr="00B82CA9">
        <w:rPr>
          <w:b/>
          <w:bCs/>
        </w:rPr>
        <w:t>read/write</w:t>
      </w:r>
      <w:r w:rsidRPr="00B82CA9">
        <w:t xml:space="preserve"> operations. These listeners remain constant and always point to the current primary </w:t>
      </w:r>
      <w:r w:rsidR="00A67BDF">
        <w:t xml:space="preserve">and secondary </w:t>
      </w:r>
      <w:r w:rsidRPr="00B82CA9">
        <w:t>server</w:t>
      </w:r>
      <w:r w:rsidR="00A67BDF">
        <w:t>s</w:t>
      </w:r>
      <w:r w:rsidRPr="00B82CA9">
        <w:t xml:space="preserve">. During a failover, applications continue connecting through the </w:t>
      </w:r>
      <w:r w:rsidRPr="00B82CA9">
        <w:lastRenderedPageBreak/>
        <w:t xml:space="preserve">listeners rather than </w:t>
      </w:r>
      <w:r w:rsidR="00A67BDF">
        <w:t xml:space="preserve">connecting </w:t>
      </w:r>
      <w:r w:rsidRPr="00B82CA9">
        <w:t>directly to a specific SQL server, eliminating the need for connection string changes.</w:t>
      </w:r>
    </w:p>
    <w:p w14:paraId="2D3D98EF" w14:textId="77777777" w:rsidR="00A43074" w:rsidRDefault="00A43074"/>
    <w:p w14:paraId="189511AA" w14:textId="50DAED13" w:rsidR="00EB0682" w:rsidRDefault="00EB0682">
      <w:r w:rsidRPr="00CD15EC">
        <w:rPr>
          <w:i/>
          <w:iCs/>
        </w:rPr>
        <w:t>Figure 2</w:t>
      </w:r>
      <w:r>
        <w:t xml:space="preserve"> illustrates the situation when the primary region is working fine.</w:t>
      </w:r>
    </w:p>
    <w:p w14:paraId="1C289F7C" w14:textId="13860FC6" w:rsidR="00A43074" w:rsidRDefault="00EB0682" w:rsidP="00607954">
      <w:pPr>
        <w:jc w:val="center"/>
      </w:pPr>
      <w:r>
        <w:object w:dxaOrig="14356" w:dyaOrig="12060" w14:anchorId="0F1444BA">
          <v:shape id="_x0000_i1026" type="#_x0000_t75" style="width:450.8pt;height:378.8pt" o:ole="">
            <v:imagedata r:id="rId11" o:title=""/>
          </v:shape>
          <o:OLEObject Type="Embed" ProgID="Visio.Drawing.15" ShapeID="_x0000_i1026" DrawAspect="Content" ObjectID="_1828246129" r:id="rId12"/>
        </w:object>
      </w:r>
    </w:p>
    <w:p w14:paraId="7D65E396" w14:textId="68FC20D6" w:rsidR="002144E3" w:rsidRPr="003F0DE2" w:rsidRDefault="002144E3" w:rsidP="002144E3">
      <w:pPr>
        <w:jc w:val="center"/>
        <w:rPr>
          <w:i/>
          <w:iCs/>
        </w:rPr>
      </w:pPr>
      <w:r w:rsidRPr="003F0DE2">
        <w:rPr>
          <w:i/>
          <w:iCs/>
        </w:rPr>
        <w:t xml:space="preserve">Figure </w:t>
      </w:r>
      <w:r>
        <w:rPr>
          <w:i/>
          <w:iCs/>
        </w:rPr>
        <w:t>2</w:t>
      </w:r>
      <w:r w:rsidRPr="003F0DE2">
        <w:rPr>
          <w:i/>
          <w:iCs/>
        </w:rPr>
        <w:t xml:space="preserve"> – </w:t>
      </w:r>
      <w:r>
        <w:rPr>
          <w:i/>
          <w:iCs/>
        </w:rPr>
        <w:t>Failover group before failover</w:t>
      </w:r>
    </w:p>
    <w:p w14:paraId="3DBFAD3D" w14:textId="77777777" w:rsidR="002144E3" w:rsidRDefault="002144E3"/>
    <w:p w14:paraId="197A75F5" w14:textId="77777777" w:rsidR="00EB0682" w:rsidRDefault="00EB0682">
      <w:r>
        <w:t>We see that clients connect to listener endpoints. The failover group comes with two endpoints:</w:t>
      </w:r>
    </w:p>
    <w:p w14:paraId="07D9ADE6" w14:textId="7CE02836" w:rsidR="00EB0682" w:rsidRDefault="00EB0682" w:rsidP="00EB0682">
      <w:pPr>
        <w:pStyle w:val="ListParagraph"/>
        <w:numPr>
          <w:ilvl w:val="0"/>
          <w:numId w:val="5"/>
        </w:numPr>
      </w:pPr>
      <w:r>
        <w:t>&lt;</w:t>
      </w:r>
      <w:proofErr w:type="spellStart"/>
      <w:r>
        <w:t>failovergroupname</w:t>
      </w:r>
      <w:proofErr w:type="spellEnd"/>
      <w:r>
        <w:t>&gt;.database.windows.net</w:t>
      </w:r>
    </w:p>
    <w:p w14:paraId="75C9C165" w14:textId="4991FFE4" w:rsidR="00EB0682" w:rsidRDefault="00EB0682" w:rsidP="00EB0682">
      <w:pPr>
        <w:pStyle w:val="ListParagraph"/>
        <w:numPr>
          <w:ilvl w:val="0"/>
          <w:numId w:val="5"/>
        </w:numPr>
      </w:pPr>
      <w:r>
        <w:t>&lt;</w:t>
      </w:r>
      <w:proofErr w:type="spellStart"/>
      <w:r>
        <w:t>failovergroupname</w:t>
      </w:r>
      <w:proofErr w:type="spellEnd"/>
      <w:r>
        <w:t>&gt;.secondary.database.windows.net</w:t>
      </w:r>
    </w:p>
    <w:p w14:paraId="4E273B8F" w14:textId="2D9E489C" w:rsidR="00A43074" w:rsidRDefault="00EB0682">
      <w:r>
        <w:t>The</w:t>
      </w:r>
      <w:r w:rsidR="00CD15EC">
        <w:t>se</w:t>
      </w:r>
      <w:r>
        <w:t xml:space="preserve"> public DNS records are managed by Microsoft</w:t>
      </w:r>
      <w:r w:rsidR="00CD15EC">
        <w:t xml:space="preserve"> and they work </w:t>
      </w:r>
      <w:r w:rsidR="00A67BDF">
        <w:t>with</w:t>
      </w:r>
      <w:r w:rsidR="00CD15EC">
        <w:t xml:space="preserve"> aliases </w:t>
      </w:r>
      <w:r w:rsidR="00A67BDF">
        <w:t xml:space="preserve">pointing </w:t>
      </w:r>
      <w:r w:rsidR="00CD15EC">
        <w:t xml:space="preserve">to the replicated servers. The read-write endpoint will always target the server that has the primary role. In </w:t>
      </w:r>
      <w:r w:rsidR="00CD15EC" w:rsidRPr="0052512F">
        <w:rPr>
          <w:i/>
          <w:iCs/>
        </w:rPr>
        <w:t>Figure 2</w:t>
      </w:r>
      <w:r w:rsidR="00CD15EC">
        <w:t xml:space="preserve">, it currently points to </w:t>
      </w:r>
      <w:r w:rsidR="00CD15EC" w:rsidRPr="00CD15EC">
        <w:rPr>
          <w:rFonts w:ascii="Courier New" w:hAnsi="Courier New" w:cs="Courier New"/>
        </w:rPr>
        <w:t>primary.database.windows.net</w:t>
      </w:r>
      <w:r w:rsidR="00CD15EC">
        <w:t xml:space="preserve">, our server in Belgium Central. </w:t>
      </w:r>
    </w:p>
    <w:p w14:paraId="45ED38C0" w14:textId="3950341F" w:rsidR="00CD15EC" w:rsidRDefault="00CD15EC">
      <w:r w:rsidRPr="00CD15EC">
        <w:rPr>
          <w:i/>
          <w:iCs/>
        </w:rPr>
        <w:t>Figure 3</w:t>
      </w:r>
      <w:r>
        <w:t xml:space="preserve"> shows the situation after failover.</w:t>
      </w:r>
    </w:p>
    <w:p w14:paraId="66FAE43E" w14:textId="77777777" w:rsidR="00A43074" w:rsidRDefault="00A43074"/>
    <w:p w14:paraId="2ACF7FED" w14:textId="10F94FA1" w:rsidR="00A43074" w:rsidRDefault="00CD15EC" w:rsidP="00607954">
      <w:pPr>
        <w:jc w:val="center"/>
      </w:pPr>
      <w:r>
        <w:object w:dxaOrig="14356" w:dyaOrig="12060" w14:anchorId="3C7E02B6">
          <v:shape id="_x0000_i1027" type="#_x0000_t75" style="width:450.8pt;height:378.8pt" o:ole="">
            <v:imagedata r:id="rId13" o:title=""/>
          </v:shape>
          <o:OLEObject Type="Embed" ProgID="Visio.Drawing.15" ShapeID="_x0000_i1027" DrawAspect="Content" ObjectID="_1828246130" r:id="rId14"/>
        </w:object>
      </w:r>
    </w:p>
    <w:p w14:paraId="0A3EF417" w14:textId="47A2AB51" w:rsidR="001741EE" w:rsidRPr="003F0DE2" w:rsidRDefault="001741EE" w:rsidP="001741EE">
      <w:pPr>
        <w:jc w:val="center"/>
        <w:rPr>
          <w:i/>
          <w:iCs/>
        </w:rPr>
      </w:pPr>
      <w:r w:rsidRPr="003F0DE2">
        <w:rPr>
          <w:i/>
          <w:iCs/>
        </w:rPr>
        <w:t xml:space="preserve">Figure </w:t>
      </w:r>
      <w:r>
        <w:rPr>
          <w:i/>
          <w:iCs/>
        </w:rPr>
        <w:t>3</w:t>
      </w:r>
      <w:r w:rsidRPr="003F0DE2">
        <w:rPr>
          <w:i/>
          <w:iCs/>
        </w:rPr>
        <w:t xml:space="preserve"> – </w:t>
      </w:r>
      <w:r>
        <w:rPr>
          <w:i/>
          <w:iCs/>
        </w:rPr>
        <w:t>Failover group after failover</w:t>
      </w:r>
    </w:p>
    <w:p w14:paraId="6CF157E7" w14:textId="77777777" w:rsidR="00A43074" w:rsidRDefault="00A43074"/>
    <w:p w14:paraId="327B0203" w14:textId="093543C3" w:rsidR="00832740" w:rsidRDefault="00CD15EC">
      <w:r>
        <w:t xml:space="preserve">We see that this time, the read/write endpoint points to </w:t>
      </w:r>
      <w:r w:rsidRPr="00CD15EC">
        <w:rPr>
          <w:rFonts w:ascii="Courier New" w:hAnsi="Courier New" w:cs="Courier New"/>
        </w:rPr>
        <w:t>secondary.database.windows.net</w:t>
      </w:r>
      <w:r>
        <w:t>, our server in France Central, which has become the new primary.</w:t>
      </w:r>
      <w:r w:rsidR="0052512F">
        <w:t xml:space="preserve"> </w:t>
      </w:r>
      <w:r w:rsidR="0052512F" w:rsidRPr="0052512F">
        <w:t>Failover groups greatly simplify client connectivity: when private endpoints and DNS zones are properly configured, the failover is completely transparent to connected clients.</w:t>
      </w:r>
    </w:p>
    <w:p w14:paraId="2D4AA031" w14:textId="06C7D1F0" w:rsidR="003D3456" w:rsidRDefault="003D3456">
      <w:r>
        <w:t>To help you test this, I have created a GitHub repo</w:t>
      </w:r>
      <w:r w:rsidR="00904C15">
        <w:t xml:space="preserve"> </w:t>
      </w:r>
      <w:hyperlink r:id="rId15" w:history="1">
        <w:r w:rsidR="00904C15" w:rsidRPr="00F5515E">
          <w:rPr>
            <w:rStyle w:val="Hyperlink"/>
          </w:rPr>
          <w:t>https://github.com/stephaneey/azure-and-k8s-architecture/tree/main/availability-samples/sql</w:t>
        </w:r>
      </w:hyperlink>
      <w:r w:rsidR="00904C15">
        <w:t xml:space="preserve"> </w:t>
      </w:r>
      <w:r>
        <w:t xml:space="preserve">where you can find </w:t>
      </w:r>
      <w:r w:rsidR="00904C15">
        <w:t xml:space="preserve">both a sample console application and some Terraform code. </w:t>
      </w:r>
      <w:r w:rsidR="002B207E">
        <w:t xml:space="preserve">The solution is a simplified setup but let’s you grasp how failover groups work. </w:t>
      </w:r>
      <w:r w:rsidR="00904C15">
        <w:t>You can find the explanations on how to deploy and test this in the repo itself.</w:t>
      </w:r>
    </w:p>
    <w:p w14:paraId="1ACB1840" w14:textId="0B962491" w:rsidR="00FA0F02" w:rsidRDefault="00FA0F02">
      <w:r>
        <w:t>Next, let’s look at how to maximize availability using Cosmos DB.</w:t>
      </w:r>
    </w:p>
    <w:p w14:paraId="4E15E300" w14:textId="77777777" w:rsidR="00904C15" w:rsidRDefault="00904C15"/>
    <w:p w14:paraId="4FFE2D25" w14:textId="0128963E" w:rsidR="00904C15" w:rsidRDefault="00904C15" w:rsidP="00904C15">
      <w:pPr>
        <w:pStyle w:val="Title"/>
      </w:pPr>
      <w:r>
        <w:t>Looking at Cosmos DB</w:t>
      </w:r>
    </w:p>
    <w:p w14:paraId="003FD355" w14:textId="77777777" w:rsidR="00904C15" w:rsidRDefault="00904C15"/>
    <w:p w14:paraId="1547AB97" w14:textId="6857DBFF" w:rsidR="00FA0F02" w:rsidRDefault="00FA0F02">
      <w:r w:rsidRPr="00FA0F02">
        <w:lastRenderedPageBreak/>
        <w:t>As of January 2026, Cosmos DB is the only Azure service that supports true active/active read-write deployments through its multi-region writes capability. For scenarios that do not rely on relational models or strict referential integrity—and where eventual consistency (most commonly session consistency) is acceptable—Cosmos DB is the preferred choice.</w:t>
      </w:r>
      <w:r>
        <w:t xml:space="preserve"> </w:t>
      </w:r>
    </w:p>
    <w:p w14:paraId="549D0BCC" w14:textId="1AE5CB4F" w:rsidR="008819E7" w:rsidRDefault="008819E7">
      <w:r w:rsidRPr="008819E7">
        <w:rPr>
          <w:i/>
          <w:iCs/>
        </w:rPr>
        <w:t>Figure 4</w:t>
      </w:r>
      <w:r>
        <w:t xml:space="preserve"> represents an API platform spanning two continents (Europe and US) and leverage the multi-region writes feature.</w:t>
      </w:r>
    </w:p>
    <w:p w14:paraId="5D937F7F" w14:textId="77777777" w:rsidR="00FA0F02" w:rsidRDefault="00FA0F02"/>
    <w:p w14:paraId="6A9A8226" w14:textId="0BB922A5" w:rsidR="00FA0F02" w:rsidRDefault="008819E7" w:rsidP="00607954">
      <w:pPr>
        <w:jc w:val="center"/>
      </w:pPr>
      <w:r>
        <w:object w:dxaOrig="19058" w:dyaOrig="14475" w14:anchorId="0325FDDC">
          <v:shape id="_x0000_i1028" type="#_x0000_t75" style="width:450.8pt;height:342.25pt" o:ole="">
            <v:imagedata r:id="rId16" o:title=""/>
          </v:shape>
          <o:OLEObject Type="Embed" ProgID="Visio.Drawing.15" ShapeID="_x0000_i1028" DrawAspect="Content" ObjectID="_1828246131" r:id="rId17"/>
        </w:object>
      </w:r>
    </w:p>
    <w:p w14:paraId="487A395A" w14:textId="1FF0D3DF" w:rsidR="008819E7" w:rsidRPr="008819E7" w:rsidRDefault="008819E7" w:rsidP="008819E7">
      <w:pPr>
        <w:jc w:val="center"/>
        <w:rPr>
          <w:i/>
          <w:iCs/>
        </w:rPr>
      </w:pPr>
      <w:r w:rsidRPr="008819E7">
        <w:rPr>
          <w:i/>
          <w:iCs/>
        </w:rPr>
        <w:t>Figure 4 – Leveraging Cosmos DB multi-region writes for a global API platform</w:t>
      </w:r>
    </w:p>
    <w:p w14:paraId="22B2213F" w14:textId="77777777" w:rsidR="008819E7" w:rsidRDefault="008819E7"/>
    <w:p w14:paraId="4730BBD8" w14:textId="7FC2F5C6" w:rsidR="008819E7" w:rsidRDefault="008819E7">
      <w:r>
        <w:t>Note</w:t>
      </w:r>
      <w:r w:rsidR="000D0CAF">
        <w:t xml:space="preserve"> 1</w:t>
      </w:r>
      <w:r>
        <w:t>: the raw diagram</w:t>
      </w:r>
      <w:r w:rsidR="000D0CAF">
        <w:t>, extracted from my book,</w:t>
      </w:r>
      <w:r>
        <w:t xml:space="preserve"> is available here </w:t>
      </w:r>
      <w:hyperlink r:id="rId18" w:history="1">
        <w:r w:rsidRPr="00A1535D">
          <w:rPr>
            <w:rStyle w:val="Hyperlink"/>
          </w:rPr>
          <w:t>https://github.com/PacktPublishing/The-Azure-Cloud-Native-Architecture-Mapbook-Second-Edition/blob/main/Chapter03/diagrams/diagrams.vsdx</w:t>
        </w:r>
      </w:hyperlink>
    </w:p>
    <w:p w14:paraId="565D0305" w14:textId="37FD9176" w:rsidR="008819E7" w:rsidRDefault="000D0CAF">
      <w:r>
        <w:t xml:space="preserve">Note 2: </w:t>
      </w:r>
      <w:r w:rsidR="00471732" w:rsidRPr="00471732">
        <w:t>I delivered a 25-minute live demo o</w:t>
      </w:r>
      <w:r>
        <w:t>f the above setup</w:t>
      </w:r>
      <w:r w:rsidR="00471732" w:rsidRPr="00471732">
        <w:t xml:space="preserve"> during a Microsoft API Management event (</w:t>
      </w:r>
      <w:hyperlink r:id="rId19" w:history="1">
        <w:r w:rsidR="00D510CD" w:rsidRPr="00A1535D">
          <w:rPr>
            <w:rStyle w:val="Hyperlink"/>
          </w:rPr>
          <w:t>https://www.youtube.com/watch?v=dbwvhGVV3mU</w:t>
        </w:r>
      </w:hyperlink>
      <w:r w:rsidR="00D510CD">
        <w:t xml:space="preserve"> </w:t>
      </w:r>
      <w:r w:rsidR="00471732" w:rsidRPr="00471732">
        <w:t xml:space="preserve">starting at minute 53 of the recording). Microsoft slightly fast-forwarded the video, so the pace is a bit quicker, but it remains </w:t>
      </w:r>
      <w:r w:rsidR="007556F5">
        <w:t>possible</w:t>
      </w:r>
      <w:r w:rsidR="00471732" w:rsidRPr="00471732">
        <w:t xml:space="preserve"> to follow</w:t>
      </w:r>
      <w:r w:rsidR="007556F5">
        <w:t xml:space="preserve"> if you stay focused </w:t>
      </w:r>
      <w:r w:rsidR="007556F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471732" w:rsidRPr="00471732">
        <w:t>.</w:t>
      </w:r>
    </w:p>
    <w:p w14:paraId="72BE6B21" w14:textId="77777777" w:rsidR="00041874" w:rsidRDefault="00041874">
      <w:r>
        <w:t xml:space="preserve">In a nutshell, </w:t>
      </w:r>
      <w:r w:rsidR="008819E7">
        <w:t xml:space="preserve">US callers are sent to the US backend and EU callers to the EU backend. </w:t>
      </w:r>
      <w:r>
        <w:t>What is interesting in this architecture is that every layer is failure-resistant.</w:t>
      </w:r>
    </w:p>
    <w:p w14:paraId="1C8A509A" w14:textId="027A536C" w:rsidR="00041874" w:rsidRDefault="00041874">
      <w:r>
        <w:lastRenderedPageBreak/>
        <w:t xml:space="preserve">The entry point, Front Door uses geo-proximity by default but is able to send US callers to EU and vice versa in case the regional backend is unhealthy. API Management’s regional gateways forward to their regional backends. </w:t>
      </w:r>
    </w:p>
    <w:p w14:paraId="55BEA73D" w14:textId="501149D1" w:rsidR="008819E7" w:rsidRDefault="008819E7">
      <w:r>
        <w:t>Each of the backends hosted on app services is leveraging the Cosmos DB SDK</w:t>
      </w:r>
      <w:r w:rsidR="00041874">
        <w:t>,</w:t>
      </w:r>
      <w:r>
        <w:t xml:space="preserve"> </w:t>
      </w:r>
      <w:r w:rsidR="00471732">
        <w:t xml:space="preserve">that is smart enough to detect </w:t>
      </w:r>
      <w:r w:rsidR="00041874">
        <w:t xml:space="preserve">whether the corresponding Cosmos DB region is available or not. The API will seamlessly switch to the available region in case of a regional failure impacting only Cosmos DB. </w:t>
      </w:r>
      <w:r w:rsidR="00DD1516">
        <w:t>That’s what I’m going to focus on in this article.</w:t>
      </w:r>
    </w:p>
    <w:p w14:paraId="20B8B93F" w14:textId="15D2B393" w:rsidR="00DD1516" w:rsidRDefault="005A695B">
      <w:r w:rsidRPr="004E1089">
        <w:rPr>
          <w:i/>
          <w:iCs/>
        </w:rPr>
        <w:t xml:space="preserve">Figure </w:t>
      </w:r>
      <w:r w:rsidR="004E1089" w:rsidRPr="004E1089">
        <w:rPr>
          <w:i/>
          <w:iCs/>
        </w:rPr>
        <w:t>5</w:t>
      </w:r>
      <w:r>
        <w:t xml:space="preserve"> focuses on the backend part.</w:t>
      </w:r>
    </w:p>
    <w:p w14:paraId="1D56CD8F" w14:textId="77777777" w:rsidR="005A695B" w:rsidRDefault="005A695B"/>
    <w:p w14:paraId="1DB761EC" w14:textId="4E25EC71" w:rsidR="005A695B" w:rsidRDefault="005A695B" w:rsidP="00607954">
      <w:pPr>
        <w:jc w:val="center"/>
      </w:pPr>
      <w:r>
        <w:object w:dxaOrig="11970" w:dyaOrig="12540" w14:anchorId="3AC23755">
          <v:shape id="_x0000_i1029" type="#_x0000_t75" style="width:451.35pt;height:472.85pt" o:ole="">
            <v:imagedata r:id="rId20" o:title=""/>
          </v:shape>
          <o:OLEObject Type="Embed" ProgID="Visio.Drawing.15" ShapeID="_x0000_i1029" DrawAspect="Content" ObjectID="_1828246132" r:id="rId21"/>
        </w:object>
      </w:r>
    </w:p>
    <w:p w14:paraId="4E122340" w14:textId="2381CF7F" w:rsidR="005A695B" w:rsidRPr="003D5B01" w:rsidRDefault="005A695B" w:rsidP="003D5B01">
      <w:pPr>
        <w:jc w:val="center"/>
        <w:rPr>
          <w:i/>
          <w:iCs/>
        </w:rPr>
      </w:pPr>
      <w:r w:rsidRPr="003D5B01">
        <w:rPr>
          <w:i/>
          <w:iCs/>
        </w:rPr>
        <w:t xml:space="preserve">Figure </w:t>
      </w:r>
      <w:r w:rsidR="003D5B01">
        <w:rPr>
          <w:i/>
          <w:iCs/>
        </w:rPr>
        <w:t>5</w:t>
      </w:r>
      <w:r w:rsidRPr="003D5B01">
        <w:rPr>
          <w:i/>
          <w:iCs/>
        </w:rPr>
        <w:t xml:space="preserve"> – focusing on backend</w:t>
      </w:r>
    </w:p>
    <w:p w14:paraId="154D0591" w14:textId="77777777" w:rsidR="005A695B" w:rsidRDefault="005A695B"/>
    <w:p w14:paraId="2EF2327A" w14:textId="77777777" w:rsidR="004E1089" w:rsidRDefault="0046328D">
      <w:r>
        <w:lastRenderedPageBreak/>
        <w:t>My US and EU app services talk respectively to their regional Cosmos DB endpoint</w:t>
      </w:r>
      <w:r w:rsidR="004E1089">
        <w:t xml:space="preserve"> under normal circumstances</w:t>
      </w:r>
      <w:r>
        <w:t>. Note that each region has three private endpoints</w:t>
      </w:r>
      <w:r w:rsidR="004E1089">
        <w:t xml:space="preserve"> (one for each region plus the non-regional endpoint)</w:t>
      </w:r>
      <w:r>
        <w:t xml:space="preserve">, which makes it possible from EU to go to the US and vice versa through the private endpoint plumbing. If, for some reason, the EU backend cannot talk to the EU Cosmos endpoint, it will take the US path. Of course, there is an impact on latency but the solution keeps working and </w:t>
      </w:r>
      <w:r w:rsidR="004E1089">
        <w:t xml:space="preserve">the application </w:t>
      </w:r>
      <w:r>
        <w:t xml:space="preserve">doesn’t even need to be restarted. In case of a full regional outage (say entire EU is down), Front Door would direct all </w:t>
      </w:r>
      <w:r w:rsidR="00DF46A4">
        <w:t>API calls</w:t>
      </w:r>
      <w:r>
        <w:t xml:space="preserve"> to the US backend.</w:t>
      </w:r>
      <w:r w:rsidR="00DF46A4">
        <w:t xml:space="preserve"> </w:t>
      </w:r>
    </w:p>
    <w:p w14:paraId="14C337E7" w14:textId="25C835BA" w:rsidR="008819E7" w:rsidRDefault="00DF46A4">
      <w:r>
        <w:t xml:space="preserve">This architecture can resist to both local outages and </w:t>
      </w:r>
      <w:r w:rsidR="004E1089">
        <w:t xml:space="preserve">full </w:t>
      </w:r>
      <w:r>
        <w:t xml:space="preserve">regional ones. </w:t>
      </w:r>
      <w:r w:rsidR="0046328D">
        <w:t xml:space="preserve"> </w:t>
      </w:r>
    </w:p>
    <w:p w14:paraId="6A65F49D" w14:textId="05354D7F" w:rsidR="008819E7" w:rsidRDefault="00533C2C">
      <w:r>
        <w:t xml:space="preserve">To help you test this built-in resilience using Cosmos, I have developed a sample API along with the </w:t>
      </w:r>
      <w:r w:rsidR="00D5307C">
        <w:t>Terraform</w:t>
      </w:r>
      <w:r>
        <w:t xml:space="preserve"> bits that deploy a simplified setup </w:t>
      </w:r>
      <w:r w:rsidR="00D5307C">
        <w:t xml:space="preserve">shown in </w:t>
      </w:r>
      <w:r w:rsidR="00D5307C" w:rsidRPr="00D5307C">
        <w:rPr>
          <w:i/>
          <w:iCs/>
        </w:rPr>
        <w:t>Figure 6</w:t>
      </w:r>
      <w:r w:rsidR="00D5307C">
        <w:t>.</w:t>
      </w:r>
    </w:p>
    <w:p w14:paraId="2C6D0014" w14:textId="77777777" w:rsidR="008819E7" w:rsidRDefault="008819E7"/>
    <w:p w14:paraId="21C39355" w14:textId="77777777" w:rsidR="008819E7" w:rsidRDefault="008819E7"/>
    <w:p w14:paraId="4E9FFDA0" w14:textId="1DAA4962" w:rsidR="008819E7" w:rsidRDefault="00533C2C" w:rsidP="00607954">
      <w:pPr>
        <w:jc w:val="center"/>
      </w:pPr>
      <w:r>
        <w:object w:dxaOrig="6240" w:dyaOrig="4770" w14:anchorId="4520FD82">
          <v:shape id="_x0000_i1030" type="#_x0000_t75" style="width:311.65pt;height:238.55pt" o:ole="">
            <v:imagedata r:id="rId22" o:title=""/>
          </v:shape>
          <o:OLEObject Type="Embed" ProgID="Visio.Drawing.15" ShapeID="_x0000_i1030" DrawAspect="Content" ObjectID="_1828246133" r:id="rId23"/>
        </w:object>
      </w:r>
    </w:p>
    <w:p w14:paraId="0B0064C5" w14:textId="44B77081" w:rsidR="008819E7" w:rsidRPr="003D5B01" w:rsidRDefault="003D5B01" w:rsidP="003D5B01">
      <w:pPr>
        <w:jc w:val="center"/>
        <w:rPr>
          <w:i/>
          <w:iCs/>
        </w:rPr>
      </w:pPr>
      <w:r w:rsidRPr="003D5B01">
        <w:rPr>
          <w:i/>
          <w:iCs/>
        </w:rPr>
        <w:t>Figure 6 – Simplified setup for testing</w:t>
      </w:r>
    </w:p>
    <w:p w14:paraId="2F0FE94E" w14:textId="77777777" w:rsidR="003D5B01" w:rsidRDefault="003D5B01"/>
    <w:p w14:paraId="1E5C0149" w14:textId="18FA86F7" w:rsidR="003D5B01" w:rsidRDefault="00D5307C">
      <w:r>
        <w:t>Here, I’m not using private endpoints but this is enough to understand the SDK mechanisms. After you have deployed the solution, you should end up with the following resources:</w:t>
      </w:r>
    </w:p>
    <w:p w14:paraId="6AFD7C42" w14:textId="6615AF39" w:rsidR="00D5307C" w:rsidRDefault="00D5307C">
      <w:r>
        <w:rPr>
          <w:noProof/>
        </w:rPr>
        <w:lastRenderedPageBreak/>
        <w:drawing>
          <wp:inline distT="0" distB="0" distL="0" distR="0" wp14:anchorId="5989F12A" wp14:editId="293A6899">
            <wp:extent cx="5731510" cy="2261235"/>
            <wp:effectExtent l="0" t="0" r="2540" b="5715"/>
            <wp:docPr id="548415230" name="Picture 1"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t tex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61235"/>
                    </a:xfrm>
                    <a:prstGeom prst="rect">
                      <a:avLst/>
                    </a:prstGeom>
                    <a:noFill/>
                    <a:ln>
                      <a:noFill/>
                    </a:ln>
                  </pic:spPr>
                </pic:pic>
              </a:graphicData>
            </a:graphic>
          </wp:inline>
        </w:drawing>
      </w:r>
    </w:p>
    <w:p w14:paraId="5711500B" w14:textId="60CC0567" w:rsidR="00D5307C" w:rsidRPr="00D5307C" w:rsidRDefault="00D5307C" w:rsidP="00D5307C">
      <w:pPr>
        <w:jc w:val="center"/>
        <w:rPr>
          <w:i/>
          <w:iCs/>
        </w:rPr>
      </w:pPr>
      <w:r w:rsidRPr="00D5307C">
        <w:rPr>
          <w:i/>
          <w:iCs/>
        </w:rPr>
        <w:t>Figure 7 – Resources deployed by the sample application</w:t>
      </w:r>
    </w:p>
    <w:p w14:paraId="472CAFAD" w14:textId="77777777" w:rsidR="00B57DD5" w:rsidRDefault="00E33E18">
      <w:r>
        <w:t>I made sure the webapp</w:t>
      </w:r>
      <w:r w:rsidR="000F4BE5">
        <w:t>’s managed identities</w:t>
      </w:r>
      <w:r>
        <w:t xml:space="preserve"> are granted access to Cosmos and I pre-deployed a database and a container. </w:t>
      </w:r>
    </w:p>
    <w:p w14:paraId="2C2B4C9E" w14:textId="15636784" w:rsidR="00B57DD5" w:rsidRDefault="00B57DD5">
      <w:r>
        <w:t>Additionally, each web app indicates its preferred region using environment variables to the Cosmos SDK:</w:t>
      </w:r>
    </w:p>
    <w:p w14:paraId="511D264B" w14:textId="77777777" w:rsidR="00B57DD5" w:rsidRDefault="00B57DD5"/>
    <w:p w14:paraId="16AF5D35" w14:textId="02B904A2" w:rsidR="00B57DD5" w:rsidRDefault="00B57DD5" w:rsidP="00B57DD5">
      <w:pPr>
        <w:jc w:val="center"/>
      </w:pPr>
      <w:r w:rsidRPr="00B57DD5">
        <w:rPr>
          <w:noProof/>
        </w:rPr>
        <w:drawing>
          <wp:inline distT="0" distB="0" distL="0" distR="0" wp14:anchorId="5D845C73" wp14:editId="6177A914">
            <wp:extent cx="5731510" cy="3624580"/>
            <wp:effectExtent l="0" t="0" r="2540" b="0"/>
            <wp:docPr id="2084385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85256" name="Picture 1" descr="A screenshot of a computer&#10;&#10;AI-generated content may be incorrect."/>
                    <pic:cNvPicPr/>
                  </pic:nvPicPr>
                  <pic:blipFill>
                    <a:blip r:embed="rId25"/>
                    <a:stretch>
                      <a:fillRect/>
                    </a:stretch>
                  </pic:blipFill>
                  <pic:spPr>
                    <a:xfrm>
                      <a:off x="0" y="0"/>
                      <a:ext cx="5731510" cy="3624580"/>
                    </a:xfrm>
                    <a:prstGeom prst="rect">
                      <a:avLst/>
                    </a:prstGeom>
                  </pic:spPr>
                </pic:pic>
              </a:graphicData>
            </a:graphic>
          </wp:inline>
        </w:drawing>
      </w:r>
    </w:p>
    <w:p w14:paraId="07444780" w14:textId="443C3087" w:rsidR="00B57DD5" w:rsidRPr="00B57DD5" w:rsidRDefault="00B57DD5" w:rsidP="00B57DD5">
      <w:pPr>
        <w:jc w:val="center"/>
        <w:rPr>
          <w:i/>
          <w:iCs/>
        </w:rPr>
      </w:pPr>
      <w:r w:rsidRPr="00B57DD5">
        <w:rPr>
          <w:i/>
          <w:iCs/>
        </w:rPr>
        <w:t>Figure 8 – Cosmos DB settings defined as environment variables</w:t>
      </w:r>
    </w:p>
    <w:p w14:paraId="025364CF" w14:textId="447A378E" w:rsidR="00D5307C" w:rsidRDefault="000F4BE5">
      <w:r>
        <w:t>You can directly test the APIs using Postman or Fiddler, by first performing a POST request</w:t>
      </w:r>
      <w:r w:rsidR="00B57DD5">
        <w:t xml:space="preserve"> (</w:t>
      </w:r>
      <w:r w:rsidR="00B57DD5" w:rsidRPr="00B57DD5">
        <w:rPr>
          <w:i/>
          <w:iCs/>
        </w:rPr>
        <w:t>Figure 9</w:t>
      </w:r>
      <w:r w:rsidR="00B57DD5">
        <w:t>)</w:t>
      </w:r>
      <w:r>
        <w:t>, to create a document, followed by a GET request</w:t>
      </w:r>
      <w:r w:rsidR="00B57DD5">
        <w:t xml:space="preserve"> (</w:t>
      </w:r>
      <w:r w:rsidR="00B57DD5" w:rsidRPr="00B57DD5">
        <w:rPr>
          <w:i/>
          <w:iCs/>
        </w:rPr>
        <w:t>Figure 10</w:t>
      </w:r>
      <w:r w:rsidR="00B57DD5">
        <w:t>)</w:t>
      </w:r>
      <w:r>
        <w:t>:</w:t>
      </w:r>
    </w:p>
    <w:p w14:paraId="3DF3CEDB" w14:textId="77777777" w:rsidR="000F4BE5" w:rsidRDefault="000F4BE5"/>
    <w:p w14:paraId="153F32C2" w14:textId="52AE39AD" w:rsidR="000F4BE5" w:rsidRDefault="000F4BE5">
      <w:r>
        <w:rPr>
          <w:noProof/>
        </w:rPr>
        <w:lastRenderedPageBreak/>
        <w:drawing>
          <wp:inline distT="0" distB="0" distL="0" distR="0" wp14:anchorId="1029241F" wp14:editId="7B1ADB3E">
            <wp:extent cx="5731510" cy="1589405"/>
            <wp:effectExtent l="0" t="0" r="2540" b="0"/>
            <wp:docPr id="1679700912" name="Picture 2"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t tex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4D8E2B1B" w14:textId="66C450C2" w:rsidR="000F4BE5" w:rsidRPr="000F4BE5" w:rsidRDefault="000F4BE5" w:rsidP="000F4BE5">
      <w:pPr>
        <w:jc w:val="center"/>
        <w:rPr>
          <w:i/>
          <w:iCs/>
        </w:rPr>
      </w:pPr>
      <w:r w:rsidRPr="000F4BE5">
        <w:rPr>
          <w:i/>
          <w:iCs/>
        </w:rPr>
        <w:t xml:space="preserve">Figure </w:t>
      </w:r>
      <w:r w:rsidR="00B57DD5">
        <w:rPr>
          <w:i/>
          <w:iCs/>
        </w:rPr>
        <w:t>9</w:t>
      </w:r>
      <w:r w:rsidRPr="000F4BE5">
        <w:rPr>
          <w:i/>
          <w:iCs/>
        </w:rPr>
        <w:t xml:space="preserve"> – Sample POST request to create a document</w:t>
      </w:r>
    </w:p>
    <w:p w14:paraId="3D085940" w14:textId="21DB434E" w:rsidR="000F4BE5" w:rsidRDefault="000F4BE5">
      <w:r>
        <w:rPr>
          <w:noProof/>
        </w:rPr>
        <w:drawing>
          <wp:inline distT="0" distB="0" distL="0" distR="0" wp14:anchorId="20790230" wp14:editId="2E670B6A">
            <wp:extent cx="5731510" cy="2646680"/>
            <wp:effectExtent l="0" t="0" r="2540" b="1270"/>
            <wp:docPr id="2064879111" name="Picture 3"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t tex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46680"/>
                    </a:xfrm>
                    <a:prstGeom prst="rect">
                      <a:avLst/>
                    </a:prstGeom>
                    <a:noFill/>
                    <a:ln>
                      <a:noFill/>
                    </a:ln>
                  </pic:spPr>
                </pic:pic>
              </a:graphicData>
            </a:graphic>
          </wp:inline>
        </w:drawing>
      </w:r>
    </w:p>
    <w:p w14:paraId="6CCFD5A7" w14:textId="1BA994DE" w:rsidR="000F4BE5" w:rsidRPr="000F4BE5" w:rsidRDefault="000F4BE5" w:rsidP="000F4BE5">
      <w:pPr>
        <w:jc w:val="center"/>
        <w:rPr>
          <w:i/>
          <w:iCs/>
        </w:rPr>
      </w:pPr>
      <w:r w:rsidRPr="000F4BE5">
        <w:rPr>
          <w:i/>
          <w:iCs/>
        </w:rPr>
        <w:t xml:space="preserve">Figure </w:t>
      </w:r>
      <w:r w:rsidR="00B57DD5">
        <w:rPr>
          <w:i/>
          <w:iCs/>
        </w:rPr>
        <w:t>10</w:t>
      </w:r>
      <w:r w:rsidRPr="000F4BE5">
        <w:rPr>
          <w:i/>
          <w:iCs/>
        </w:rPr>
        <w:t xml:space="preserve"> – Sample GET request to get the latest weather forecast</w:t>
      </w:r>
    </w:p>
    <w:p w14:paraId="23053AAE" w14:textId="3E864CC9" w:rsidR="000F4BE5" w:rsidRDefault="000F4BE5">
      <w:r>
        <w:t xml:space="preserve">I developed the API in such a way that it indicates which Cosmos region was used by the backend service to perform the operation. </w:t>
      </w:r>
    </w:p>
    <w:p w14:paraId="39383800" w14:textId="01800D66" w:rsidR="001701BC" w:rsidRPr="001701BC" w:rsidRDefault="001701BC" w:rsidP="001701BC">
      <w:r w:rsidRPr="001701BC">
        <w:t>Now, you can start playing with Cosmos to see how both APIs react. Here are the following things you can test using the Azure Portal</w:t>
      </w:r>
      <w:r w:rsidR="00323332">
        <w:t xml:space="preserve"> or Azure CLI as you wish</w:t>
      </w:r>
      <w:r w:rsidRPr="001701BC">
        <w:t>:</w:t>
      </w:r>
    </w:p>
    <w:p w14:paraId="3CC93AC2" w14:textId="77777777" w:rsidR="001701BC" w:rsidRPr="001701BC" w:rsidRDefault="001701BC" w:rsidP="001701BC">
      <w:pPr>
        <w:numPr>
          <w:ilvl w:val="0"/>
          <w:numId w:val="6"/>
        </w:numPr>
      </w:pPr>
      <w:r w:rsidRPr="001701BC">
        <w:t>Marking one of the Cosmos regions read only. In such a case, both APIs (Belgium and France) should automatically go to the remaining writable region, but reads (GET queries) would still pick their regional instance.</w:t>
      </w:r>
    </w:p>
    <w:p w14:paraId="0EDFE764" w14:textId="77777777" w:rsidR="001701BC" w:rsidRPr="001701BC" w:rsidRDefault="001701BC" w:rsidP="001701BC">
      <w:pPr>
        <w:numPr>
          <w:ilvl w:val="0"/>
          <w:numId w:val="6"/>
        </w:numPr>
      </w:pPr>
      <w:r w:rsidRPr="001701BC">
        <w:t>Deleting one of the Cosmos regions. In such a case, both APIs should automatically go to the remaining region for both reads and writes</w:t>
      </w:r>
    </w:p>
    <w:p w14:paraId="3EBCA2AC" w14:textId="77777777" w:rsidR="001701BC" w:rsidRPr="001701BC" w:rsidRDefault="001701BC" w:rsidP="001701BC">
      <w:pPr>
        <w:numPr>
          <w:ilvl w:val="0"/>
          <w:numId w:val="6"/>
        </w:numPr>
      </w:pPr>
      <w:r w:rsidRPr="001701BC">
        <w:t>Offline a Cosmos region. In such a case, an automatic failover should take place to the remaining region. Note that you must create a support ticket to get it back online. Just try this one after having tried the other changes.</w:t>
      </w:r>
    </w:p>
    <w:p w14:paraId="65B974ED" w14:textId="77777777" w:rsidR="001701BC" w:rsidRPr="001701BC" w:rsidRDefault="001701BC" w:rsidP="001701BC">
      <w:r w:rsidRPr="001701BC">
        <w:t>Make sure to run both POST and GET request between each steps and check which Cosmos backend instance is used by the API. You'll notice that whatever you do at Cosmos level, the backend is smart enough to keep working.</w:t>
      </w:r>
    </w:p>
    <w:p w14:paraId="4BEE272F" w14:textId="7AF7F672" w:rsidR="001701BC" w:rsidRDefault="00B57DD5">
      <w:r>
        <w:t>All the required instructions are provided in the repo.</w:t>
      </w:r>
    </w:p>
    <w:p w14:paraId="12CEEE1D" w14:textId="3E3C94A7" w:rsidR="00B57DD5" w:rsidRDefault="00A875FC">
      <w:r w:rsidRPr="00A875FC">
        <w:lastRenderedPageBreak/>
        <w:t>Last but not least, let’s turn to</w:t>
      </w:r>
      <w:r>
        <w:t xml:space="preserve"> Azure Storage.</w:t>
      </w:r>
    </w:p>
    <w:p w14:paraId="13A8A51A" w14:textId="77777777" w:rsidR="00B57DD5" w:rsidRDefault="00B57DD5"/>
    <w:p w14:paraId="189270F0" w14:textId="0AF6E3C9" w:rsidR="00A875FC" w:rsidRDefault="00A875FC" w:rsidP="00A875FC">
      <w:pPr>
        <w:pStyle w:val="Title"/>
      </w:pPr>
      <w:r>
        <w:t>Looking at Azure Storage</w:t>
      </w:r>
    </w:p>
    <w:p w14:paraId="1645FC69" w14:textId="77777777" w:rsidR="00A875FC" w:rsidRDefault="00A875FC"/>
    <w:p w14:paraId="5D5722B9" w14:textId="3611185F" w:rsidR="00A875FC" w:rsidRDefault="00A875FC">
      <w:r>
        <w:t>L</w:t>
      </w:r>
      <w:r w:rsidRPr="00A875FC">
        <w:t xml:space="preserve">et’s </w:t>
      </w:r>
      <w:r>
        <w:t>look</w:t>
      </w:r>
      <w:r w:rsidR="006B49F0">
        <w:t xml:space="preserve"> at</w:t>
      </w:r>
      <w:r w:rsidRPr="00A875FC">
        <w:t xml:space="preserve"> </w:t>
      </w:r>
      <w:r w:rsidRPr="00A875FC">
        <w:rPr>
          <w:b/>
          <w:bCs/>
        </w:rPr>
        <w:t>Azure Storage</w:t>
      </w:r>
      <w:r w:rsidRPr="00A875FC">
        <w:t xml:space="preserve">, and more specifically to </w:t>
      </w:r>
      <w:r w:rsidRPr="00A875FC">
        <w:rPr>
          <w:b/>
          <w:bCs/>
        </w:rPr>
        <w:t>Blob Storage, Table Storage, and Queue Storage</w:t>
      </w:r>
      <w:r w:rsidRPr="00A875FC">
        <w:t xml:space="preserve">, which are widely used across all types of applications. A very common scenario involves </w:t>
      </w:r>
      <w:r w:rsidRPr="00A875FC">
        <w:rPr>
          <w:b/>
          <w:bCs/>
        </w:rPr>
        <w:t>Azure Durable Functions</w:t>
      </w:r>
      <w:r w:rsidR="00CC2BF3">
        <w:rPr>
          <w:b/>
          <w:bCs/>
        </w:rPr>
        <w:t xml:space="preserve"> </w:t>
      </w:r>
      <w:r w:rsidR="00CC2BF3" w:rsidRPr="00CC2BF3">
        <w:t>as well as</w:t>
      </w:r>
      <w:r w:rsidR="00CC2BF3">
        <w:rPr>
          <w:b/>
          <w:bCs/>
        </w:rPr>
        <w:t xml:space="preserve"> stateful Logic Apps</w:t>
      </w:r>
      <w:r w:rsidRPr="00A875FC">
        <w:t>, whose default state store is Azure Storage. Because the orchestration state is persisted in Azure Storage, it is essential to understand what happens to this state in the event of a failover.</w:t>
      </w:r>
    </w:p>
    <w:p w14:paraId="2FB34529" w14:textId="09AF5A95" w:rsidR="00534AE1" w:rsidRDefault="00534AE1">
      <w:r>
        <w:t>For sake of brevity, I will only show how to handle both the blob and table sub resources but the principles are exactly the same with the queue service.</w:t>
      </w:r>
      <w:r w:rsidR="002A2FD5">
        <w:t xml:space="preserve"> </w:t>
      </w:r>
    </w:p>
    <w:p w14:paraId="753E32FD" w14:textId="067D1513" w:rsidR="008C1A9D" w:rsidRDefault="008C1A9D">
      <w:r>
        <w:t>Here are the replication capabilities of Azure Storage.</w:t>
      </w:r>
    </w:p>
    <w:p w14:paraId="5AE0ACAB" w14:textId="77777777" w:rsidR="008C1A9D" w:rsidRDefault="008C1A9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1970"/>
        <w:gridCol w:w="1499"/>
        <w:gridCol w:w="2560"/>
      </w:tblGrid>
      <w:tr w:rsidR="008C1A9D" w:rsidRPr="008C1A9D" w14:paraId="0394DE21" w14:textId="77777777" w:rsidTr="008C1A9D">
        <w:trPr>
          <w:tblHeader/>
          <w:tblCellSpacing w:w="15" w:type="dxa"/>
        </w:trPr>
        <w:tc>
          <w:tcPr>
            <w:tcW w:w="0" w:type="auto"/>
            <w:vAlign w:val="center"/>
            <w:hideMark/>
          </w:tcPr>
          <w:p w14:paraId="7B61033D" w14:textId="77777777" w:rsidR="008C1A9D" w:rsidRPr="008C1A9D" w:rsidRDefault="008C1A9D" w:rsidP="008C1A9D">
            <w:pPr>
              <w:rPr>
                <w:b/>
                <w:bCs/>
                <w:lang w:val="en-BE"/>
              </w:rPr>
            </w:pPr>
            <w:r w:rsidRPr="008C1A9D">
              <w:rPr>
                <w:b/>
                <w:bCs/>
                <w:lang w:val="en-BE"/>
              </w:rPr>
              <w:t>Replication Type</w:t>
            </w:r>
          </w:p>
        </w:tc>
        <w:tc>
          <w:tcPr>
            <w:tcW w:w="0" w:type="auto"/>
            <w:vAlign w:val="center"/>
            <w:hideMark/>
          </w:tcPr>
          <w:p w14:paraId="53C6325F" w14:textId="77777777" w:rsidR="008C1A9D" w:rsidRPr="008C1A9D" w:rsidRDefault="008C1A9D" w:rsidP="008C1A9D">
            <w:pPr>
              <w:rPr>
                <w:b/>
                <w:bCs/>
                <w:lang w:val="en-BE"/>
              </w:rPr>
            </w:pPr>
            <w:r w:rsidRPr="008C1A9D">
              <w:rPr>
                <w:b/>
                <w:bCs/>
                <w:lang w:val="en-BE"/>
              </w:rPr>
              <w:t>Cross</w:t>
            </w:r>
            <w:r w:rsidRPr="008C1A9D">
              <w:rPr>
                <w:b/>
                <w:bCs/>
                <w:lang w:val="en-BE"/>
              </w:rPr>
              <w:noBreakHyphen/>
              <w:t>Region Replication</w:t>
            </w:r>
          </w:p>
        </w:tc>
        <w:tc>
          <w:tcPr>
            <w:tcW w:w="0" w:type="auto"/>
            <w:vAlign w:val="center"/>
            <w:hideMark/>
          </w:tcPr>
          <w:p w14:paraId="7587400C" w14:textId="77777777" w:rsidR="008C1A9D" w:rsidRPr="008C1A9D" w:rsidRDefault="008C1A9D" w:rsidP="008C1A9D">
            <w:pPr>
              <w:rPr>
                <w:b/>
                <w:bCs/>
                <w:lang w:val="en-BE"/>
              </w:rPr>
            </w:pPr>
            <w:r w:rsidRPr="008C1A9D">
              <w:rPr>
                <w:b/>
                <w:bCs/>
                <w:lang w:val="en-BE"/>
              </w:rPr>
              <w:t>Read Access to Secondary</w:t>
            </w:r>
          </w:p>
        </w:tc>
        <w:tc>
          <w:tcPr>
            <w:tcW w:w="0" w:type="auto"/>
            <w:vAlign w:val="center"/>
            <w:hideMark/>
          </w:tcPr>
          <w:p w14:paraId="60B10EE2" w14:textId="77777777" w:rsidR="008C1A9D" w:rsidRPr="008C1A9D" w:rsidRDefault="008C1A9D" w:rsidP="008C1A9D">
            <w:pPr>
              <w:rPr>
                <w:b/>
                <w:bCs/>
                <w:lang w:val="en-BE"/>
              </w:rPr>
            </w:pPr>
            <w:r w:rsidRPr="008C1A9D">
              <w:rPr>
                <w:b/>
                <w:bCs/>
                <w:lang w:val="en-BE"/>
              </w:rPr>
              <w:t>Typical Use Cases</w:t>
            </w:r>
          </w:p>
        </w:tc>
      </w:tr>
      <w:tr w:rsidR="008C1A9D" w:rsidRPr="008C1A9D" w14:paraId="3829D920" w14:textId="77777777" w:rsidTr="008C1A9D">
        <w:trPr>
          <w:tblCellSpacing w:w="15" w:type="dxa"/>
        </w:trPr>
        <w:tc>
          <w:tcPr>
            <w:tcW w:w="0" w:type="auto"/>
            <w:vAlign w:val="center"/>
            <w:hideMark/>
          </w:tcPr>
          <w:p w14:paraId="011A4C4B" w14:textId="77777777" w:rsidR="008C1A9D" w:rsidRPr="008C1A9D" w:rsidRDefault="008C1A9D" w:rsidP="008C1A9D">
            <w:pPr>
              <w:rPr>
                <w:lang w:val="en-BE"/>
              </w:rPr>
            </w:pPr>
            <w:r w:rsidRPr="008C1A9D">
              <w:rPr>
                <w:b/>
                <w:bCs/>
                <w:lang w:val="en-BE"/>
              </w:rPr>
              <w:t>LRS – Locally Redundant Storage</w:t>
            </w:r>
          </w:p>
        </w:tc>
        <w:tc>
          <w:tcPr>
            <w:tcW w:w="0" w:type="auto"/>
            <w:vAlign w:val="center"/>
            <w:hideMark/>
          </w:tcPr>
          <w:p w14:paraId="68ED847A" w14:textId="77777777" w:rsidR="008C1A9D" w:rsidRPr="008C1A9D" w:rsidRDefault="008C1A9D" w:rsidP="008C1A9D">
            <w:pPr>
              <w:rPr>
                <w:lang w:val="en-BE"/>
              </w:rPr>
            </w:pPr>
            <w:r w:rsidRPr="008C1A9D">
              <w:rPr>
                <w:rFonts w:ascii="Segoe UI Emoji" w:hAnsi="Segoe UI Emoji" w:cs="Segoe UI Emoji"/>
                <w:lang w:val="en-BE"/>
              </w:rPr>
              <w:t>❌</w:t>
            </w:r>
            <w:r w:rsidRPr="008C1A9D">
              <w:rPr>
                <w:lang w:val="en-BE"/>
              </w:rPr>
              <w:t xml:space="preserve"> No</w:t>
            </w:r>
          </w:p>
        </w:tc>
        <w:tc>
          <w:tcPr>
            <w:tcW w:w="0" w:type="auto"/>
            <w:vAlign w:val="center"/>
            <w:hideMark/>
          </w:tcPr>
          <w:p w14:paraId="7B00351A" w14:textId="77777777" w:rsidR="008C1A9D" w:rsidRPr="008C1A9D" w:rsidRDefault="008C1A9D" w:rsidP="008C1A9D">
            <w:pPr>
              <w:rPr>
                <w:lang w:val="en-BE"/>
              </w:rPr>
            </w:pPr>
            <w:r w:rsidRPr="008C1A9D">
              <w:rPr>
                <w:rFonts w:ascii="Segoe UI Emoji" w:hAnsi="Segoe UI Emoji" w:cs="Segoe UI Emoji"/>
                <w:lang w:val="en-BE"/>
              </w:rPr>
              <w:t>❌</w:t>
            </w:r>
            <w:r w:rsidRPr="008C1A9D">
              <w:rPr>
                <w:lang w:val="en-BE"/>
              </w:rPr>
              <w:t xml:space="preserve"> No</w:t>
            </w:r>
          </w:p>
        </w:tc>
        <w:tc>
          <w:tcPr>
            <w:tcW w:w="0" w:type="auto"/>
            <w:vAlign w:val="center"/>
            <w:hideMark/>
          </w:tcPr>
          <w:p w14:paraId="52022A9E" w14:textId="77777777" w:rsidR="008C1A9D" w:rsidRPr="008C1A9D" w:rsidRDefault="008C1A9D" w:rsidP="008C1A9D">
            <w:pPr>
              <w:rPr>
                <w:lang w:val="en-BE"/>
              </w:rPr>
            </w:pPr>
            <w:r w:rsidRPr="008C1A9D">
              <w:rPr>
                <w:lang w:val="en-BE"/>
              </w:rPr>
              <w:t>Low</w:t>
            </w:r>
            <w:r w:rsidRPr="008C1A9D">
              <w:rPr>
                <w:lang w:val="en-BE"/>
              </w:rPr>
              <w:noBreakHyphen/>
              <w:t>cost, non</w:t>
            </w:r>
            <w:r w:rsidRPr="008C1A9D">
              <w:rPr>
                <w:lang w:val="en-BE"/>
              </w:rPr>
              <w:noBreakHyphen/>
              <w:t>critical data, dev/test, single</w:t>
            </w:r>
            <w:r w:rsidRPr="008C1A9D">
              <w:rPr>
                <w:lang w:val="en-BE"/>
              </w:rPr>
              <w:noBreakHyphen/>
              <w:t>region workloads</w:t>
            </w:r>
          </w:p>
        </w:tc>
      </w:tr>
      <w:tr w:rsidR="008C1A9D" w:rsidRPr="008C1A9D" w14:paraId="44F976A5" w14:textId="77777777" w:rsidTr="008C1A9D">
        <w:trPr>
          <w:tblCellSpacing w:w="15" w:type="dxa"/>
        </w:trPr>
        <w:tc>
          <w:tcPr>
            <w:tcW w:w="0" w:type="auto"/>
            <w:vAlign w:val="center"/>
            <w:hideMark/>
          </w:tcPr>
          <w:p w14:paraId="387B5F6A" w14:textId="77777777" w:rsidR="008C1A9D" w:rsidRPr="008C1A9D" w:rsidRDefault="008C1A9D" w:rsidP="008C1A9D">
            <w:pPr>
              <w:rPr>
                <w:lang w:val="en-BE"/>
              </w:rPr>
            </w:pPr>
            <w:r w:rsidRPr="008C1A9D">
              <w:rPr>
                <w:b/>
                <w:bCs/>
                <w:lang w:val="en-BE"/>
              </w:rPr>
              <w:t>ZRS – Zone</w:t>
            </w:r>
            <w:r w:rsidRPr="008C1A9D">
              <w:rPr>
                <w:b/>
                <w:bCs/>
                <w:lang w:val="en-BE"/>
              </w:rPr>
              <w:noBreakHyphen/>
              <w:t>Redundant Storage</w:t>
            </w:r>
          </w:p>
        </w:tc>
        <w:tc>
          <w:tcPr>
            <w:tcW w:w="0" w:type="auto"/>
            <w:vAlign w:val="center"/>
            <w:hideMark/>
          </w:tcPr>
          <w:p w14:paraId="70084796" w14:textId="77777777" w:rsidR="008C1A9D" w:rsidRPr="008C1A9D" w:rsidRDefault="008C1A9D" w:rsidP="008C1A9D">
            <w:pPr>
              <w:rPr>
                <w:lang w:val="en-BE"/>
              </w:rPr>
            </w:pPr>
            <w:r w:rsidRPr="008C1A9D">
              <w:rPr>
                <w:rFonts w:ascii="Segoe UI Emoji" w:hAnsi="Segoe UI Emoji" w:cs="Segoe UI Emoji"/>
                <w:lang w:val="en-BE"/>
              </w:rPr>
              <w:t>❌</w:t>
            </w:r>
            <w:r w:rsidRPr="008C1A9D">
              <w:rPr>
                <w:lang w:val="en-BE"/>
              </w:rPr>
              <w:t xml:space="preserve"> No</w:t>
            </w:r>
          </w:p>
        </w:tc>
        <w:tc>
          <w:tcPr>
            <w:tcW w:w="0" w:type="auto"/>
            <w:vAlign w:val="center"/>
            <w:hideMark/>
          </w:tcPr>
          <w:p w14:paraId="08AF3CC8" w14:textId="77777777" w:rsidR="008C1A9D" w:rsidRPr="008C1A9D" w:rsidRDefault="008C1A9D" w:rsidP="008C1A9D">
            <w:pPr>
              <w:rPr>
                <w:lang w:val="en-BE"/>
              </w:rPr>
            </w:pPr>
            <w:r w:rsidRPr="008C1A9D">
              <w:rPr>
                <w:rFonts w:ascii="Segoe UI Emoji" w:hAnsi="Segoe UI Emoji" w:cs="Segoe UI Emoji"/>
                <w:lang w:val="en-BE"/>
              </w:rPr>
              <w:t>❌</w:t>
            </w:r>
            <w:r w:rsidRPr="008C1A9D">
              <w:rPr>
                <w:lang w:val="en-BE"/>
              </w:rPr>
              <w:t xml:space="preserve"> No</w:t>
            </w:r>
          </w:p>
        </w:tc>
        <w:tc>
          <w:tcPr>
            <w:tcW w:w="0" w:type="auto"/>
            <w:vAlign w:val="center"/>
            <w:hideMark/>
          </w:tcPr>
          <w:p w14:paraId="45BB7EBA" w14:textId="77777777" w:rsidR="008C1A9D" w:rsidRPr="008C1A9D" w:rsidRDefault="008C1A9D" w:rsidP="008C1A9D">
            <w:pPr>
              <w:rPr>
                <w:lang w:val="en-BE"/>
              </w:rPr>
            </w:pPr>
            <w:r w:rsidRPr="008C1A9D">
              <w:rPr>
                <w:lang w:val="en-BE"/>
              </w:rPr>
              <w:t>High availability within a region, zone</w:t>
            </w:r>
            <w:r w:rsidRPr="008C1A9D">
              <w:rPr>
                <w:lang w:val="en-BE"/>
              </w:rPr>
              <w:noBreakHyphen/>
              <w:t>failure resilience</w:t>
            </w:r>
          </w:p>
        </w:tc>
      </w:tr>
      <w:tr w:rsidR="008C1A9D" w:rsidRPr="008C1A9D" w14:paraId="1D897129" w14:textId="77777777" w:rsidTr="008C1A9D">
        <w:trPr>
          <w:tblCellSpacing w:w="15" w:type="dxa"/>
        </w:trPr>
        <w:tc>
          <w:tcPr>
            <w:tcW w:w="0" w:type="auto"/>
            <w:vAlign w:val="center"/>
            <w:hideMark/>
          </w:tcPr>
          <w:p w14:paraId="31495FF3" w14:textId="77777777" w:rsidR="008C1A9D" w:rsidRPr="008C1A9D" w:rsidRDefault="008C1A9D" w:rsidP="008C1A9D">
            <w:pPr>
              <w:rPr>
                <w:lang w:val="en-BE"/>
              </w:rPr>
            </w:pPr>
            <w:r w:rsidRPr="008C1A9D">
              <w:rPr>
                <w:b/>
                <w:bCs/>
                <w:lang w:val="en-BE"/>
              </w:rPr>
              <w:t>GRS – Geo</w:t>
            </w:r>
            <w:r w:rsidRPr="008C1A9D">
              <w:rPr>
                <w:b/>
                <w:bCs/>
                <w:lang w:val="en-BE"/>
              </w:rPr>
              <w:noBreakHyphen/>
              <w:t>Redundant Storage</w:t>
            </w:r>
          </w:p>
        </w:tc>
        <w:tc>
          <w:tcPr>
            <w:tcW w:w="0" w:type="auto"/>
            <w:vAlign w:val="center"/>
            <w:hideMark/>
          </w:tcPr>
          <w:p w14:paraId="66F2B61B" w14:textId="77777777" w:rsidR="008C1A9D" w:rsidRPr="008C1A9D" w:rsidRDefault="008C1A9D" w:rsidP="008C1A9D">
            <w:pPr>
              <w:rPr>
                <w:lang w:val="en-BE"/>
              </w:rPr>
            </w:pPr>
            <w:r w:rsidRPr="008C1A9D">
              <w:rPr>
                <w:rFonts w:ascii="Segoe UI Symbol" w:hAnsi="Segoe UI Symbol" w:cs="Segoe UI Symbol"/>
                <w:lang w:val="en-BE"/>
              </w:rPr>
              <w:t>✔</w:t>
            </w:r>
            <w:r w:rsidRPr="008C1A9D">
              <w:rPr>
                <w:lang w:val="en-BE"/>
              </w:rPr>
              <w:t>️ Yes — asynchronous to paired region</w:t>
            </w:r>
          </w:p>
        </w:tc>
        <w:tc>
          <w:tcPr>
            <w:tcW w:w="0" w:type="auto"/>
            <w:vAlign w:val="center"/>
            <w:hideMark/>
          </w:tcPr>
          <w:p w14:paraId="084118EE" w14:textId="77777777" w:rsidR="008C1A9D" w:rsidRPr="008C1A9D" w:rsidRDefault="008C1A9D" w:rsidP="008C1A9D">
            <w:pPr>
              <w:rPr>
                <w:lang w:val="en-BE"/>
              </w:rPr>
            </w:pPr>
            <w:r w:rsidRPr="008C1A9D">
              <w:rPr>
                <w:rFonts w:ascii="Segoe UI Emoji" w:hAnsi="Segoe UI Emoji" w:cs="Segoe UI Emoji"/>
                <w:lang w:val="en-BE"/>
              </w:rPr>
              <w:t>❌</w:t>
            </w:r>
            <w:r w:rsidRPr="008C1A9D">
              <w:rPr>
                <w:lang w:val="en-BE"/>
              </w:rPr>
              <w:t xml:space="preserve"> No</w:t>
            </w:r>
          </w:p>
        </w:tc>
        <w:tc>
          <w:tcPr>
            <w:tcW w:w="0" w:type="auto"/>
            <w:vAlign w:val="center"/>
            <w:hideMark/>
          </w:tcPr>
          <w:p w14:paraId="4466243F" w14:textId="77777777" w:rsidR="008C1A9D" w:rsidRPr="008C1A9D" w:rsidRDefault="008C1A9D" w:rsidP="008C1A9D">
            <w:pPr>
              <w:rPr>
                <w:lang w:val="en-BE"/>
              </w:rPr>
            </w:pPr>
            <w:r w:rsidRPr="008C1A9D">
              <w:rPr>
                <w:lang w:val="en-BE"/>
              </w:rPr>
              <w:t>Disaster recovery, cross</w:t>
            </w:r>
            <w:r w:rsidRPr="008C1A9D">
              <w:rPr>
                <w:lang w:val="en-BE"/>
              </w:rPr>
              <w:noBreakHyphen/>
              <w:t>region durability</w:t>
            </w:r>
          </w:p>
        </w:tc>
      </w:tr>
      <w:tr w:rsidR="008C1A9D" w:rsidRPr="008C1A9D" w14:paraId="45C98A2F" w14:textId="77777777" w:rsidTr="008C1A9D">
        <w:trPr>
          <w:tblCellSpacing w:w="15" w:type="dxa"/>
        </w:trPr>
        <w:tc>
          <w:tcPr>
            <w:tcW w:w="0" w:type="auto"/>
            <w:vAlign w:val="center"/>
            <w:hideMark/>
          </w:tcPr>
          <w:p w14:paraId="3CC6F76E" w14:textId="77777777" w:rsidR="008C1A9D" w:rsidRPr="008C1A9D" w:rsidRDefault="008C1A9D" w:rsidP="008C1A9D">
            <w:pPr>
              <w:rPr>
                <w:lang w:val="en-BE"/>
              </w:rPr>
            </w:pPr>
            <w:r w:rsidRPr="008C1A9D">
              <w:rPr>
                <w:b/>
                <w:bCs/>
                <w:lang w:val="en-BE"/>
              </w:rPr>
              <w:t>RA</w:t>
            </w:r>
            <w:r w:rsidRPr="008C1A9D">
              <w:rPr>
                <w:b/>
                <w:bCs/>
                <w:lang w:val="en-BE"/>
              </w:rPr>
              <w:noBreakHyphen/>
              <w:t>GRS – Read</w:t>
            </w:r>
            <w:r w:rsidRPr="008C1A9D">
              <w:rPr>
                <w:b/>
                <w:bCs/>
                <w:lang w:val="en-BE"/>
              </w:rPr>
              <w:noBreakHyphen/>
              <w:t>Access Geo</w:t>
            </w:r>
            <w:r w:rsidRPr="008C1A9D">
              <w:rPr>
                <w:b/>
                <w:bCs/>
                <w:lang w:val="en-BE"/>
              </w:rPr>
              <w:noBreakHyphen/>
              <w:t>Redundant Storage</w:t>
            </w:r>
          </w:p>
        </w:tc>
        <w:tc>
          <w:tcPr>
            <w:tcW w:w="0" w:type="auto"/>
            <w:vAlign w:val="center"/>
            <w:hideMark/>
          </w:tcPr>
          <w:p w14:paraId="380F0004" w14:textId="77777777" w:rsidR="008C1A9D" w:rsidRPr="008C1A9D" w:rsidRDefault="008C1A9D" w:rsidP="008C1A9D">
            <w:pPr>
              <w:rPr>
                <w:lang w:val="en-BE"/>
              </w:rPr>
            </w:pPr>
            <w:r w:rsidRPr="008C1A9D">
              <w:rPr>
                <w:rFonts w:ascii="Segoe UI Symbol" w:hAnsi="Segoe UI Symbol" w:cs="Segoe UI Symbol"/>
                <w:lang w:val="en-BE"/>
              </w:rPr>
              <w:t>✔</w:t>
            </w:r>
            <w:r w:rsidRPr="008C1A9D">
              <w:rPr>
                <w:lang w:val="en-BE"/>
              </w:rPr>
              <w:t>️ Yes</w:t>
            </w:r>
          </w:p>
        </w:tc>
        <w:tc>
          <w:tcPr>
            <w:tcW w:w="0" w:type="auto"/>
            <w:vAlign w:val="center"/>
            <w:hideMark/>
          </w:tcPr>
          <w:p w14:paraId="3280771D" w14:textId="77777777" w:rsidR="008C1A9D" w:rsidRPr="008C1A9D" w:rsidRDefault="008C1A9D" w:rsidP="008C1A9D">
            <w:pPr>
              <w:rPr>
                <w:lang w:val="en-BE"/>
              </w:rPr>
            </w:pPr>
            <w:r w:rsidRPr="008C1A9D">
              <w:rPr>
                <w:rFonts w:ascii="Segoe UI Symbol" w:hAnsi="Segoe UI Symbol" w:cs="Segoe UI Symbol"/>
                <w:lang w:val="en-BE"/>
              </w:rPr>
              <w:t>✔</w:t>
            </w:r>
            <w:r w:rsidRPr="008C1A9D">
              <w:rPr>
                <w:lang w:val="en-BE"/>
              </w:rPr>
              <w:t>️ Yes</w:t>
            </w:r>
          </w:p>
        </w:tc>
        <w:tc>
          <w:tcPr>
            <w:tcW w:w="0" w:type="auto"/>
            <w:vAlign w:val="center"/>
            <w:hideMark/>
          </w:tcPr>
          <w:p w14:paraId="05666F54" w14:textId="77777777" w:rsidR="008C1A9D" w:rsidRPr="008C1A9D" w:rsidRDefault="008C1A9D" w:rsidP="008C1A9D">
            <w:pPr>
              <w:rPr>
                <w:lang w:val="en-BE"/>
              </w:rPr>
            </w:pPr>
            <w:r w:rsidRPr="008C1A9D">
              <w:rPr>
                <w:lang w:val="en-BE"/>
              </w:rPr>
              <w:t>DR + read</w:t>
            </w:r>
            <w:r w:rsidRPr="008C1A9D">
              <w:rPr>
                <w:lang w:val="en-BE"/>
              </w:rPr>
              <w:noBreakHyphen/>
              <w:t>only failover scenarios, global apps</w:t>
            </w:r>
          </w:p>
        </w:tc>
      </w:tr>
      <w:tr w:rsidR="008C1A9D" w:rsidRPr="008C1A9D" w14:paraId="3EB01A82" w14:textId="77777777" w:rsidTr="008C1A9D">
        <w:trPr>
          <w:tblCellSpacing w:w="15" w:type="dxa"/>
        </w:trPr>
        <w:tc>
          <w:tcPr>
            <w:tcW w:w="0" w:type="auto"/>
            <w:vAlign w:val="center"/>
            <w:hideMark/>
          </w:tcPr>
          <w:p w14:paraId="5FC70E68" w14:textId="77777777" w:rsidR="008C1A9D" w:rsidRPr="008C1A9D" w:rsidRDefault="008C1A9D" w:rsidP="008C1A9D">
            <w:pPr>
              <w:rPr>
                <w:lang w:val="en-BE"/>
              </w:rPr>
            </w:pPr>
            <w:r w:rsidRPr="008C1A9D">
              <w:rPr>
                <w:b/>
                <w:bCs/>
                <w:lang w:val="en-BE"/>
              </w:rPr>
              <w:t>GZRS – Geo</w:t>
            </w:r>
            <w:r w:rsidRPr="008C1A9D">
              <w:rPr>
                <w:b/>
                <w:bCs/>
                <w:lang w:val="en-BE"/>
              </w:rPr>
              <w:noBreakHyphen/>
              <w:t>Zone</w:t>
            </w:r>
            <w:r w:rsidRPr="008C1A9D">
              <w:rPr>
                <w:b/>
                <w:bCs/>
                <w:lang w:val="en-BE"/>
              </w:rPr>
              <w:noBreakHyphen/>
              <w:t>Redundant Storage</w:t>
            </w:r>
          </w:p>
        </w:tc>
        <w:tc>
          <w:tcPr>
            <w:tcW w:w="0" w:type="auto"/>
            <w:vAlign w:val="center"/>
            <w:hideMark/>
          </w:tcPr>
          <w:p w14:paraId="728083BF" w14:textId="77777777" w:rsidR="008C1A9D" w:rsidRPr="008C1A9D" w:rsidRDefault="008C1A9D" w:rsidP="008C1A9D">
            <w:pPr>
              <w:rPr>
                <w:lang w:val="en-BE"/>
              </w:rPr>
            </w:pPr>
            <w:r w:rsidRPr="008C1A9D">
              <w:rPr>
                <w:rFonts w:ascii="Segoe UI Symbol" w:hAnsi="Segoe UI Symbol" w:cs="Segoe UI Symbol"/>
                <w:lang w:val="en-BE"/>
              </w:rPr>
              <w:t>✔</w:t>
            </w:r>
            <w:r w:rsidRPr="008C1A9D">
              <w:rPr>
                <w:lang w:val="en-BE"/>
              </w:rPr>
              <w:t>️ Yes</w:t>
            </w:r>
          </w:p>
        </w:tc>
        <w:tc>
          <w:tcPr>
            <w:tcW w:w="0" w:type="auto"/>
            <w:vAlign w:val="center"/>
            <w:hideMark/>
          </w:tcPr>
          <w:p w14:paraId="474B19AB" w14:textId="77777777" w:rsidR="008C1A9D" w:rsidRPr="008C1A9D" w:rsidRDefault="008C1A9D" w:rsidP="008C1A9D">
            <w:pPr>
              <w:rPr>
                <w:lang w:val="en-BE"/>
              </w:rPr>
            </w:pPr>
            <w:r w:rsidRPr="008C1A9D">
              <w:rPr>
                <w:rFonts w:ascii="Segoe UI Emoji" w:hAnsi="Segoe UI Emoji" w:cs="Segoe UI Emoji"/>
                <w:lang w:val="en-BE"/>
              </w:rPr>
              <w:t>❌</w:t>
            </w:r>
            <w:r w:rsidRPr="008C1A9D">
              <w:rPr>
                <w:lang w:val="en-BE"/>
              </w:rPr>
              <w:t xml:space="preserve"> No</w:t>
            </w:r>
          </w:p>
        </w:tc>
        <w:tc>
          <w:tcPr>
            <w:tcW w:w="0" w:type="auto"/>
            <w:vAlign w:val="center"/>
            <w:hideMark/>
          </w:tcPr>
          <w:p w14:paraId="27248286" w14:textId="77777777" w:rsidR="008C1A9D" w:rsidRPr="008C1A9D" w:rsidRDefault="008C1A9D" w:rsidP="008C1A9D">
            <w:pPr>
              <w:rPr>
                <w:lang w:val="en-BE"/>
              </w:rPr>
            </w:pPr>
            <w:r w:rsidRPr="008C1A9D">
              <w:rPr>
                <w:lang w:val="en-BE"/>
              </w:rPr>
              <w:t>Mission</w:t>
            </w:r>
            <w:r w:rsidRPr="008C1A9D">
              <w:rPr>
                <w:lang w:val="en-BE"/>
              </w:rPr>
              <w:noBreakHyphen/>
              <w:t>critical apps needing both zone and region resilience</w:t>
            </w:r>
          </w:p>
        </w:tc>
      </w:tr>
      <w:tr w:rsidR="008C1A9D" w:rsidRPr="008C1A9D" w14:paraId="30E644A1" w14:textId="77777777" w:rsidTr="008C1A9D">
        <w:trPr>
          <w:tblCellSpacing w:w="15" w:type="dxa"/>
        </w:trPr>
        <w:tc>
          <w:tcPr>
            <w:tcW w:w="0" w:type="auto"/>
            <w:vAlign w:val="center"/>
            <w:hideMark/>
          </w:tcPr>
          <w:p w14:paraId="04F5C02D" w14:textId="77777777" w:rsidR="008C1A9D" w:rsidRPr="008C1A9D" w:rsidRDefault="008C1A9D" w:rsidP="008C1A9D">
            <w:pPr>
              <w:rPr>
                <w:lang w:val="en-BE"/>
              </w:rPr>
            </w:pPr>
            <w:r w:rsidRPr="008C1A9D">
              <w:rPr>
                <w:b/>
                <w:bCs/>
                <w:lang w:val="en-BE"/>
              </w:rPr>
              <w:t>RA</w:t>
            </w:r>
            <w:r w:rsidRPr="008C1A9D">
              <w:rPr>
                <w:b/>
                <w:bCs/>
                <w:lang w:val="en-BE"/>
              </w:rPr>
              <w:noBreakHyphen/>
              <w:t>GZRS – Read</w:t>
            </w:r>
            <w:r w:rsidRPr="008C1A9D">
              <w:rPr>
                <w:b/>
                <w:bCs/>
                <w:lang w:val="en-BE"/>
              </w:rPr>
              <w:noBreakHyphen/>
              <w:t>Access Geo</w:t>
            </w:r>
            <w:r w:rsidRPr="008C1A9D">
              <w:rPr>
                <w:b/>
                <w:bCs/>
                <w:lang w:val="en-BE"/>
              </w:rPr>
              <w:noBreakHyphen/>
              <w:t>Zone</w:t>
            </w:r>
            <w:r w:rsidRPr="008C1A9D">
              <w:rPr>
                <w:b/>
                <w:bCs/>
                <w:lang w:val="en-BE"/>
              </w:rPr>
              <w:noBreakHyphen/>
              <w:t>Redundant Storage</w:t>
            </w:r>
          </w:p>
        </w:tc>
        <w:tc>
          <w:tcPr>
            <w:tcW w:w="0" w:type="auto"/>
            <w:vAlign w:val="center"/>
            <w:hideMark/>
          </w:tcPr>
          <w:p w14:paraId="62DA34BE" w14:textId="77777777" w:rsidR="008C1A9D" w:rsidRPr="008C1A9D" w:rsidRDefault="008C1A9D" w:rsidP="008C1A9D">
            <w:pPr>
              <w:rPr>
                <w:lang w:val="en-BE"/>
              </w:rPr>
            </w:pPr>
            <w:r w:rsidRPr="008C1A9D">
              <w:rPr>
                <w:rFonts w:ascii="Segoe UI Symbol" w:hAnsi="Segoe UI Symbol" w:cs="Segoe UI Symbol"/>
                <w:lang w:val="en-BE"/>
              </w:rPr>
              <w:t>✔</w:t>
            </w:r>
            <w:r w:rsidRPr="008C1A9D">
              <w:rPr>
                <w:lang w:val="en-BE"/>
              </w:rPr>
              <w:t>️ Yes</w:t>
            </w:r>
          </w:p>
        </w:tc>
        <w:tc>
          <w:tcPr>
            <w:tcW w:w="0" w:type="auto"/>
            <w:vAlign w:val="center"/>
            <w:hideMark/>
          </w:tcPr>
          <w:p w14:paraId="68265847" w14:textId="77777777" w:rsidR="008C1A9D" w:rsidRPr="008C1A9D" w:rsidRDefault="008C1A9D" w:rsidP="008C1A9D">
            <w:pPr>
              <w:rPr>
                <w:lang w:val="en-BE"/>
              </w:rPr>
            </w:pPr>
            <w:r w:rsidRPr="008C1A9D">
              <w:rPr>
                <w:rFonts w:ascii="Segoe UI Symbol" w:hAnsi="Segoe UI Symbol" w:cs="Segoe UI Symbol"/>
                <w:lang w:val="en-BE"/>
              </w:rPr>
              <w:t>✔</w:t>
            </w:r>
            <w:r w:rsidRPr="008C1A9D">
              <w:rPr>
                <w:lang w:val="en-BE"/>
              </w:rPr>
              <w:t>️ Yes</w:t>
            </w:r>
          </w:p>
        </w:tc>
        <w:tc>
          <w:tcPr>
            <w:tcW w:w="0" w:type="auto"/>
            <w:vAlign w:val="center"/>
            <w:hideMark/>
          </w:tcPr>
          <w:p w14:paraId="22159448" w14:textId="77777777" w:rsidR="008C1A9D" w:rsidRPr="008C1A9D" w:rsidRDefault="008C1A9D" w:rsidP="008C1A9D">
            <w:pPr>
              <w:rPr>
                <w:lang w:val="en-BE"/>
              </w:rPr>
            </w:pPr>
            <w:r w:rsidRPr="008C1A9D">
              <w:rPr>
                <w:lang w:val="en-BE"/>
              </w:rPr>
              <w:t>Highest availability + global read access</w:t>
            </w:r>
          </w:p>
        </w:tc>
      </w:tr>
    </w:tbl>
    <w:p w14:paraId="3B5C71DA" w14:textId="12D34756" w:rsidR="008C1A9D" w:rsidRPr="008C1A9D" w:rsidRDefault="008C1A9D">
      <w:pPr>
        <w:rPr>
          <w:lang w:val="en-BE"/>
        </w:rPr>
      </w:pPr>
      <w:r>
        <w:rPr>
          <w:lang w:val="en-BE"/>
        </w:rPr>
        <w:t xml:space="preserve">All the above options are only available in </w:t>
      </w:r>
      <w:r w:rsidRPr="008C1A9D">
        <w:rPr>
          <w:b/>
          <w:bCs/>
          <w:lang w:val="en-BE"/>
        </w:rPr>
        <w:t>paired</w:t>
      </w:r>
      <w:r>
        <w:rPr>
          <w:lang w:val="en-BE"/>
        </w:rPr>
        <w:t xml:space="preserve"> regions. Additionally, blobs can also be replicated using the </w:t>
      </w:r>
      <w:r w:rsidRPr="008C1A9D">
        <w:rPr>
          <w:b/>
          <w:bCs/>
          <w:lang w:val="en-BE"/>
        </w:rPr>
        <w:t>object replication</w:t>
      </w:r>
      <w:r>
        <w:rPr>
          <w:lang w:val="en-BE"/>
        </w:rPr>
        <w:t xml:space="preserve"> feature, but this is by no means comparable to the above options.</w:t>
      </w:r>
    </w:p>
    <w:p w14:paraId="328D99D3" w14:textId="77777777" w:rsidR="0032338D" w:rsidRDefault="0032338D">
      <w:r>
        <w:lastRenderedPageBreak/>
        <w:t xml:space="preserve">Azure Storage replication is rather easy when dealing with internet facing Storage Accounts and public DNS but it gets a bit more complex when using private link. </w:t>
      </w:r>
    </w:p>
    <w:p w14:paraId="227CA505" w14:textId="6F9F217C" w:rsidR="002A2FD5" w:rsidRDefault="00460217">
      <w:r>
        <w:t xml:space="preserve">A common misunderstanding is the impact of using a single DNS zone for private link, which would automatically incur </w:t>
      </w:r>
      <w:r w:rsidR="00BD7B14">
        <w:t xml:space="preserve">additional </w:t>
      </w:r>
      <w:r>
        <w:t xml:space="preserve">downtime in case of regional outage and storage failover. </w:t>
      </w:r>
    </w:p>
    <w:p w14:paraId="2810D0FE" w14:textId="4343673D" w:rsidR="002A2FD5" w:rsidRDefault="002A2FD5">
      <w:r>
        <w:t xml:space="preserve">Figure xxx illustrates </w:t>
      </w:r>
      <w:r w:rsidR="00D86E91">
        <w:t>the problem:</w:t>
      </w:r>
    </w:p>
    <w:p w14:paraId="21E2F49B" w14:textId="77777777" w:rsidR="00D86E91" w:rsidRDefault="00D86E91"/>
    <w:p w14:paraId="03484BD9" w14:textId="54B64727" w:rsidR="00D86E91" w:rsidRDefault="00D86E91">
      <w:r>
        <w:object w:dxaOrig="14356" w:dyaOrig="10276" w14:anchorId="65D29699">
          <v:shape id="_x0000_i1031" type="#_x0000_t75" style="width:450.8pt;height:322.95pt" o:ole="">
            <v:imagedata r:id="rId28" o:title=""/>
          </v:shape>
          <o:OLEObject Type="Embed" ProgID="Visio.Drawing.15" ShapeID="_x0000_i1031" DrawAspect="Content" ObjectID="_1828246134" r:id="rId29"/>
        </w:object>
      </w:r>
    </w:p>
    <w:p w14:paraId="456DABAB" w14:textId="05606709" w:rsidR="00D86E91" w:rsidRPr="00941C96" w:rsidRDefault="00D86E91" w:rsidP="00941C96">
      <w:pPr>
        <w:jc w:val="center"/>
        <w:rPr>
          <w:i/>
          <w:iCs/>
        </w:rPr>
      </w:pPr>
      <w:r w:rsidRPr="00941C96">
        <w:rPr>
          <w:i/>
          <w:iCs/>
        </w:rPr>
        <w:t>Figure xxx – Shared DNS zones</w:t>
      </w:r>
    </w:p>
    <w:p w14:paraId="1223E69D" w14:textId="77777777" w:rsidR="00D86E91" w:rsidRDefault="00D86E91"/>
    <w:p w14:paraId="5EE6D325" w14:textId="77777777" w:rsidR="00911C07" w:rsidRDefault="00D86E91">
      <w:r>
        <w:t xml:space="preserve">Our shared DNS zones are attached to both virtual networks. From the primary region, I can have two private endpoints, one targeting the primary in West Europe and the other one targeting the secondary in North Europe. Both private endpoints are located in West Europe. </w:t>
      </w:r>
    </w:p>
    <w:p w14:paraId="33E298BC" w14:textId="01A981D7" w:rsidR="00D86E91" w:rsidRDefault="00D86E91">
      <w:r>
        <w:t xml:space="preserve">Because the FQDN of the Storage Account is </w:t>
      </w:r>
      <w:proofErr w:type="spellStart"/>
      <w:r w:rsidRPr="00D86E91">
        <w:rPr>
          <w:rFonts w:ascii="Courier New" w:hAnsi="Courier New" w:cs="Courier New"/>
        </w:rPr>
        <w:t>mystorage</w:t>
      </w:r>
      <w:proofErr w:type="spellEnd"/>
      <w:r w:rsidRPr="00D86E91">
        <w:rPr>
          <w:rFonts w:ascii="Courier New" w:hAnsi="Courier New" w:cs="Courier New"/>
        </w:rPr>
        <w:t>.&lt;service&gt;.core.windows.net</w:t>
      </w:r>
      <w:r>
        <w:t xml:space="preserve">, I can only have one record at a time in the DNS zone. I could pre-create the private endpoints in the secondary region but not register them in the zone. In case of Storage Account failover, I would need to update the DNS records and put the IPs of the private endpoints in North Europe. </w:t>
      </w:r>
      <w:r w:rsidR="00713FD7">
        <w:t>Even doing this wouldn’t work:</w:t>
      </w:r>
    </w:p>
    <w:p w14:paraId="2FE85F4E" w14:textId="77777777" w:rsidR="00713FD7" w:rsidRDefault="00713FD7"/>
    <w:p w14:paraId="23882F1A" w14:textId="5639ABBA" w:rsidR="00713FD7" w:rsidRDefault="00C3462B">
      <w:r>
        <w:object w:dxaOrig="14356" w:dyaOrig="10276" w14:anchorId="6FE501BA">
          <v:shape id="_x0000_i1032" type="#_x0000_t75" style="width:450.8pt;height:322.95pt" o:ole="">
            <v:imagedata r:id="rId30" o:title=""/>
          </v:shape>
          <o:OLEObject Type="Embed" ProgID="Visio.Drawing.15" ShapeID="_x0000_i1032" DrawAspect="Content" ObjectID="_1828246135" r:id="rId31"/>
        </w:object>
      </w:r>
    </w:p>
    <w:p w14:paraId="73922B77" w14:textId="3B0EED13" w:rsidR="00713FD7" w:rsidRPr="00911C07" w:rsidRDefault="00713FD7" w:rsidP="00911C07">
      <w:pPr>
        <w:jc w:val="center"/>
        <w:rPr>
          <w:i/>
          <w:iCs/>
        </w:rPr>
      </w:pPr>
      <w:r w:rsidRPr="00911C07">
        <w:rPr>
          <w:i/>
          <w:iCs/>
        </w:rPr>
        <w:t>Figure xxx – Suboptimal setup using shared DNS zone</w:t>
      </w:r>
    </w:p>
    <w:p w14:paraId="7B982294" w14:textId="7B8A3E7F" w:rsidR="00713FD7" w:rsidRDefault="00C3462B">
      <w:r>
        <w:t>With a setup as shown in figure XXX, if I have one blob “test.txt” in the “test” container, the resulting URIs will be:</w:t>
      </w:r>
    </w:p>
    <w:p w14:paraId="600AD31B" w14:textId="4811A389" w:rsidR="00C3462B" w:rsidRDefault="00C3462B" w:rsidP="00C3462B">
      <w:pPr>
        <w:pStyle w:val="ListParagraph"/>
        <w:numPr>
          <w:ilvl w:val="0"/>
          <w:numId w:val="5"/>
        </w:numPr>
      </w:pPr>
      <w:hyperlink r:id="rId32" w:history="1">
        <w:r w:rsidRPr="00C76698">
          <w:rPr>
            <w:rStyle w:val="Hyperlink"/>
          </w:rPr>
          <w:t>https://mystorage.blob.core.windows.net/test/test.txt</w:t>
        </w:r>
      </w:hyperlink>
      <w:r>
        <w:t xml:space="preserve"> (primary)</w:t>
      </w:r>
    </w:p>
    <w:p w14:paraId="62835E5D" w14:textId="688F8EE9" w:rsidR="00C3462B" w:rsidRDefault="00C3462B" w:rsidP="00C3462B">
      <w:pPr>
        <w:pStyle w:val="ListParagraph"/>
        <w:numPr>
          <w:ilvl w:val="0"/>
          <w:numId w:val="5"/>
        </w:numPr>
      </w:pPr>
      <w:hyperlink r:id="rId33" w:history="1">
        <w:r w:rsidRPr="00C76698">
          <w:rPr>
            <w:rStyle w:val="Hyperlink"/>
          </w:rPr>
          <w:t>https://mystorage-secondary.blob.core.windows.net/test/test.txt</w:t>
        </w:r>
      </w:hyperlink>
      <w:r>
        <w:t xml:space="preserve"> (secondary)</w:t>
      </w:r>
    </w:p>
    <w:p w14:paraId="4570DABC" w14:textId="65C759EA" w:rsidR="00C3462B" w:rsidRDefault="00C3462B">
      <w:r>
        <w:t xml:space="preserve">The primary URL will be reachable from the VM located in the West Europe VNET but not from the one located in North Europe since </w:t>
      </w:r>
      <w:r w:rsidRPr="00094F5B">
        <w:rPr>
          <w:rFonts w:ascii="Courier New" w:hAnsi="Courier New" w:cs="Courier New"/>
        </w:rPr>
        <w:t>mystorage.blob.core.windows.net</w:t>
      </w:r>
      <w:r>
        <w:t xml:space="preserve"> resolves to </w:t>
      </w:r>
      <w:r w:rsidRPr="00094F5B">
        <w:rPr>
          <w:rFonts w:ascii="Courier New" w:hAnsi="Courier New" w:cs="Courier New"/>
        </w:rPr>
        <w:t>10.0.0.4</w:t>
      </w:r>
      <w:r>
        <w:t xml:space="preserve">, meaning the private endpoint of West Europe, which is out of reach from North Europe (in this setup). Of course, you could peer those </w:t>
      </w:r>
      <w:proofErr w:type="spellStart"/>
      <w:r>
        <w:t>VNETs</w:t>
      </w:r>
      <w:proofErr w:type="spellEnd"/>
      <w:r>
        <w:t xml:space="preserve"> or route traffic through hubs but this is typically not what you’d want. </w:t>
      </w:r>
    </w:p>
    <w:p w14:paraId="2E8FDD14" w14:textId="77777777" w:rsidR="00C3462B" w:rsidRDefault="00C3462B">
      <w:r>
        <w:t xml:space="preserve">Moreover, after </w:t>
      </w:r>
      <w:r w:rsidR="00713FD7">
        <w:t xml:space="preserve">failover, </w:t>
      </w:r>
      <w:r>
        <w:t xml:space="preserve">you’d be in a situation as shown in figure xxx. </w:t>
      </w:r>
    </w:p>
    <w:p w14:paraId="71D89AF8" w14:textId="127E2924" w:rsidR="00C3462B" w:rsidRDefault="00C3462B">
      <w:r>
        <w:object w:dxaOrig="14356" w:dyaOrig="10276" w14:anchorId="27C0DBE8">
          <v:shape id="_x0000_i1033" type="#_x0000_t75" style="width:450.8pt;height:322.95pt" o:ole="">
            <v:imagedata r:id="rId34" o:title=""/>
          </v:shape>
          <o:OLEObject Type="Embed" ProgID="Visio.Drawing.15" ShapeID="_x0000_i1033" DrawAspect="Content" ObjectID="_1828246136" r:id="rId35"/>
        </w:object>
      </w:r>
    </w:p>
    <w:p w14:paraId="510C99CE" w14:textId="50EDADEA" w:rsidR="00094F5B" w:rsidRPr="00094F5B" w:rsidRDefault="00094F5B" w:rsidP="00094F5B">
      <w:pPr>
        <w:jc w:val="center"/>
        <w:rPr>
          <w:i/>
          <w:iCs/>
        </w:rPr>
      </w:pPr>
      <w:r w:rsidRPr="00094F5B">
        <w:rPr>
          <w:i/>
          <w:iCs/>
        </w:rPr>
        <w:t>Figure xxx – Storage account after failover</w:t>
      </w:r>
    </w:p>
    <w:p w14:paraId="62F966D7" w14:textId="23D0CA34" w:rsidR="00C3462B" w:rsidRDefault="00C3462B">
      <w:r>
        <w:t xml:space="preserve">The primary (West Europe) is gone. Perhaps the entire region is gone, meaning that </w:t>
      </w:r>
      <w:r w:rsidRPr="00094F5B">
        <w:rPr>
          <w:rFonts w:ascii="Courier New" w:hAnsi="Courier New" w:cs="Courier New"/>
        </w:rPr>
        <w:t>10.0.0.4</w:t>
      </w:r>
      <w:r>
        <w:t xml:space="preserve"> is lost, so even though you would have routed traffic initially from North Europe to West Europe, it’d stop working.</w:t>
      </w:r>
    </w:p>
    <w:p w14:paraId="7814C5D0" w14:textId="21EDCA39" w:rsidR="00B471FA" w:rsidRDefault="001A65DF">
      <w:r>
        <w:t>You</w:t>
      </w:r>
      <w:r w:rsidR="00713FD7">
        <w:t xml:space="preserve">’d be left with </w:t>
      </w:r>
      <w:r w:rsidR="00713FD7" w:rsidRPr="00094F5B">
        <w:rPr>
          <w:rFonts w:ascii="Courier New" w:hAnsi="Courier New" w:cs="Courier New"/>
        </w:rPr>
        <w:t>10.100.0.4</w:t>
      </w:r>
      <w:r w:rsidR="00713FD7">
        <w:t xml:space="preserve"> </w:t>
      </w:r>
      <w:r>
        <w:t xml:space="preserve">still </w:t>
      </w:r>
      <w:r w:rsidR="00713FD7">
        <w:t>targeting the secondary but after failover, there is no more secondary...</w:t>
      </w:r>
      <w:r>
        <w:t>The failover process converts the Storage Account into a Locally Redundant Storage</w:t>
      </w:r>
      <w:r w:rsidR="00F65ABC">
        <w:t xml:space="preserve"> (LRS)</w:t>
      </w:r>
      <w:r>
        <w:t xml:space="preserve">, so the notions of primary and secondary do not exist anymore. </w:t>
      </w:r>
      <w:r w:rsidR="00713FD7">
        <w:t xml:space="preserve">The North Europe has </w:t>
      </w:r>
      <w:r>
        <w:t xml:space="preserve">just </w:t>
      </w:r>
      <w:r w:rsidR="00713FD7">
        <w:t>become the new primary</w:t>
      </w:r>
      <w:r>
        <w:t xml:space="preserve">, making </w:t>
      </w:r>
      <w:r w:rsidRPr="00F65ABC">
        <w:rPr>
          <w:rFonts w:ascii="Courier New" w:hAnsi="Courier New" w:cs="Courier New"/>
        </w:rPr>
        <w:t>10.100.0.4</w:t>
      </w:r>
      <w:r>
        <w:t xml:space="preserve"> now pointing to an unreachable target.</w:t>
      </w:r>
      <w:r w:rsidR="00B471FA">
        <w:t xml:space="preserve"> </w:t>
      </w:r>
    </w:p>
    <w:p w14:paraId="218E1A92" w14:textId="09AF3315" w:rsidR="00B471FA" w:rsidRDefault="00B471FA">
      <w:r>
        <w:t xml:space="preserve">The only way to restore access to </w:t>
      </w:r>
      <w:hyperlink r:id="rId36" w:history="1">
        <w:r w:rsidRPr="00C76698">
          <w:rPr>
            <w:rStyle w:val="Hyperlink"/>
          </w:rPr>
          <w:t>https://mystorage.blob.core.windows.net/test/test.txt</w:t>
        </w:r>
      </w:hyperlink>
      <w:r>
        <w:t xml:space="preserve"> from North Europe is to create a new private endpoint and update the DNS zone accordingly. You could pre-create the private endpoint prior to a failover but in any case, updating the DNS zone would be required. This would cause a</w:t>
      </w:r>
      <w:r w:rsidR="0086012C">
        <w:t>n additional</w:t>
      </w:r>
      <w:r>
        <w:t xml:space="preserve"> short downtime and requires a scripted plan.</w:t>
      </w:r>
      <w:r w:rsidR="00AC6D53">
        <w:t xml:space="preserve"> At last, the private endpoint targeting the secondary would be working again once you reactivate RA-GRS over North Europe.</w:t>
      </w:r>
    </w:p>
    <w:p w14:paraId="14DD78BE" w14:textId="0F6DD8A8" w:rsidR="00F65ABC" w:rsidRDefault="00B471FA">
      <w:r>
        <w:t xml:space="preserve">So, with Storage Accounts, you </w:t>
      </w:r>
      <w:r w:rsidRPr="00F65ABC">
        <w:rPr>
          <w:b/>
          <w:bCs/>
        </w:rPr>
        <w:t>must</w:t>
      </w:r>
      <w:r>
        <w:t xml:space="preserve"> use separate DNS zones if you don’t want </w:t>
      </w:r>
      <w:r w:rsidR="00F65ABC">
        <w:t>to perform any intervention</w:t>
      </w:r>
      <w:r>
        <w:t xml:space="preserve">. </w:t>
      </w:r>
    </w:p>
    <w:p w14:paraId="69A9E176" w14:textId="53E860FC" w:rsidR="00713FD7" w:rsidRDefault="003733B6">
      <w:r>
        <w:t>That is why, the best setup is the one shown in Figure XXX:</w:t>
      </w:r>
    </w:p>
    <w:p w14:paraId="746FF8BD" w14:textId="77777777" w:rsidR="003733B6" w:rsidRDefault="003733B6"/>
    <w:p w14:paraId="37E8C2D8" w14:textId="0CA5F653" w:rsidR="003733B6" w:rsidRDefault="00C421ED">
      <w:r>
        <w:object w:dxaOrig="14356" w:dyaOrig="9841" w14:anchorId="3D645C72">
          <v:shape id="_x0000_i1034" type="#_x0000_t75" style="width:450.8pt;height:309.5pt" o:ole="">
            <v:imagedata r:id="rId37" o:title=""/>
          </v:shape>
          <o:OLEObject Type="Embed" ProgID="Visio.Drawing.15" ShapeID="_x0000_i1034" DrawAspect="Content" ObjectID="_1828246137" r:id="rId38"/>
        </w:object>
      </w:r>
    </w:p>
    <w:p w14:paraId="2BC401EA" w14:textId="7DEAC4F4" w:rsidR="00C421ED" w:rsidRPr="007646B1" w:rsidRDefault="00EC6DBA" w:rsidP="007646B1">
      <w:pPr>
        <w:jc w:val="center"/>
        <w:rPr>
          <w:i/>
          <w:iCs/>
        </w:rPr>
      </w:pPr>
      <w:r w:rsidRPr="007646B1">
        <w:rPr>
          <w:i/>
          <w:iCs/>
        </w:rPr>
        <w:t>Figure xxx – Best setup with Azure Storage using separate DNS zones</w:t>
      </w:r>
    </w:p>
    <w:p w14:paraId="0DAEDED9" w14:textId="77777777" w:rsidR="00EC6DBA" w:rsidRDefault="00EC6DBA"/>
    <w:p w14:paraId="7F340ED5" w14:textId="77777777" w:rsidR="00F35243" w:rsidRDefault="00761AB1">
      <w:r>
        <w:t xml:space="preserve">Each region has its own private DNS zone and each holds a set of private endpoints targeting both primary and secondary. Now, </w:t>
      </w:r>
      <w:r w:rsidR="00F35243">
        <w:t xml:space="preserve">both </w:t>
      </w:r>
      <w:proofErr w:type="spellStart"/>
      <w:r w:rsidR="00F35243" w:rsidRPr="000033DE">
        <w:rPr>
          <w:rFonts w:ascii="Courier New" w:hAnsi="Courier New" w:cs="Courier New"/>
        </w:rPr>
        <w:t>mystorage</w:t>
      </w:r>
      <w:proofErr w:type="spellEnd"/>
      <w:r w:rsidR="00F35243">
        <w:t xml:space="preserve"> and </w:t>
      </w:r>
      <w:proofErr w:type="spellStart"/>
      <w:r w:rsidR="00F35243" w:rsidRPr="000033DE">
        <w:rPr>
          <w:rFonts w:ascii="Courier New" w:hAnsi="Courier New" w:cs="Courier New"/>
        </w:rPr>
        <w:t>mystorage</w:t>
      </w:r>
      <w:proofErr w:type="spellEnd"/>
      <w:r w:rsidR="00F35243" w:rsidRPr="000033DE">
        <w:rPr>
          <w:rFonts w:ascii="Courier New" w:hAnsi="Courier New" w:cs="Courier New"/>
        </w:rPr>
        <w:t>-secondary</w:t>
      </w:r>
      <w:r w:rsidR="00F35243">
        <w:t xml:space="preserve"> are resolved from both sides. From North Europe, a call to </w:t>
      </w:r>
      <w:proofErr w:type="spellStart"/>
      <w:r w:rsidR="00F35243" w:rsidRPr="000033DE">
        <w:rPr>
          <w:rFonts w:ascii="Courier New" w:hAnsi="Courier New" w:cs="Courier New"/>
        </w:rPr>
        <w:t>mystorage</w:t>
      </w:r>
      <w:proofErr w:type="spellEnd"/>
      <w:r w:rsidR="00F35243">
        <w:t xml:space="preserve"> would go through </w:t>
      </w:r>
      <w:r w:rsidR="00F35243" w:rsidRPr="000033DE">
        <w:rPr>
          <w:rFonts w:ascii="Courier New" w:hAnsi="Courier New" w:cs="Courier New"/>
        </w:rPr>
        <w:t>10.10.0.4</w:t>
      </w:r>
      <w:r w:rsidR="00F35243">
        <w:t xml:space="preserve"> and hit the West Europe location. </w:t>
      </w:r>
    </w:p>
    <w:p w14:paraId="66721E57" w14:textId="53C97FBA" w:rsidR="00C421ED" w:rsidRDefault="00F35243">
      <w:r>
        <w:t>After</w:t>
      </w:r>
      <w:r w:rsidR="00761AB1">
        <w:t xml:space="preserve"> </w:t>
      </w:r>
      <w:r w:rsidR="002E4D98">
        <w:t>full regional outage</w:t>
      </w:r>
      <w:r w:rsidR="00761AB1">
        <w:t xml:space="preserve">, West Europe is lost but </w:t>
      </w:r>
      <w:r w:rsidR="00761AB1" w:rsidRPr="000033DE">
        <w:rPr>
          <w:rFonts w:ascii="Courier New" w:hAnsi="Courier New" w:cs="Courier New"/>
        </w:rPr>
        <w:t>10.100.0.4</w:t>
      </w:r>
      <w:r w:rsidR="00761AB1">
        <w:t xml:space="preserve"> </w:t>
      </w:r>
      <w:r w:rsidR="00541CDB">
        <w:t>is still targeting the primary, which means, the promoted North Europe location</w:t>
      </w:r>
      <w:r w:rsidR="00150EB2">
        <w:t>, while t</w:t>
      </w:r>
      <w:r w:rsidR="002E4D98">
        <w:t>he secondary endpoint is lost again</w:t>
      </w:r>
      <w:r w:rsidR="00C6454C">
        <w:t xml:space="preserve"> (this is unavoidable)</w:t>
      </w:r>
      <w:r w:rsidR="002E4D98">
        <w:t>.</w:t>
      </w:r>
      <w:r w:rsidR="000033DE">
        <w:t xml:space="preserve"> This setup doesn’t require any intervention other than performing the failover itself.</w:t>
      </w:r>
      <w:r w:rsidR="005A6731">
        <w:t xml:space="preserve"> Needless to mention that your application will encounter exceptions while Azure Storage is failing over, so you need to make sure to correctly handle exceptions.</w:t>
      </w:r>
    </w:p>
    <w:p w14:paraId="451A8C95" w14:textId="77777777" w:rsidR="00B108EB" w:rsidRDefault="00B108EB"/>
    <w:p w14:paraId="7E348843" w14:textId="7AB9E755" w:rsidR="00B108EB" w:rsidRDefault="00B108EB">
      <w:r>
        <w:t>Coming back to a more concrete example with Durable Functions, you could have an active/passive setup like this one:</w:t>
      </w:r>
    </w:p>
    <w:p w14:paraId="3B5D7CFA" w14:textId="34CDF3CF" w:rsidR="00B108EB" w:rsidRDefault="00B108EB">
      <w:r>
        <w:object w:dxaOrig="14356" w:dyaOrig="11190" w14:anchorId="74E5B209">
          <v:shape id="_x0000_i1035" type="#_x0000_t75" style="width:450.8pt;height:351.4pt" o:ole="">
            <v:imagedata r:id="rId39" o:title=""/>
          </v:shape>
          <o:OLEObject Type="Embed" ProgID="Visio.Drawing.15" ShapeID="_x0000_i1035" DrawAspect="Content" ObjectID="_1828246138" r:id="rId40"/>
        </w:object>
      </w:r>
    </w:p>
    <w:p w14:paraId="280C22E2" w14:textId="068F2700" w:rsidR="00F062FB" w:rsidRDefault="00B108EB">
      <w:r>
        <w:t xml:space="preserve">Where your orchestrator, hosted on an App Service levering VNET integration is getting access to the Storage Account through </w:t>
      </w:r>
      <w:r w:rsidRPr="00F062FB">
        <w:rPr>
          <w:rFonts w:ascii="Courier New" w:hAnsi="Courier New" w:cs="Courier New"/>
        </w:rPr>
        <w:t>10.0.0.4</w:t>
      </w:r>
      <w:r>
        <w:t xml:space="preserve"> to persist state. </w:t>
      </w:r>
      <w:r w:rsidR="00F062FB">
        <w:t xml:space="preserve">The North Europe version of the orchestrator could already be deployed but stopped to avoid possible interferences. </w:t>
      </w:r>
    </w:p>
    <w:p w14:paraId="4ADA2ED3" w14:textId="4C4AAE42" w:rsidR="00B108EB" w:rsidRDefault="00F062FB">
      <w:r>
        <w:t>In case of regional outage or DR test, you failover the Storage Account and once the failover completed, you start the orchestrator in North Europe that now points to the new primary. Durable functions make mostly use of Queues and Tables</w:t>
      </w:r>
      <w:r w:rsidR="00FE5DE0">
        <w:t xml:space="preserve"> to work and persist state. Once the failover completed, you should be able to resume ongoing orchestrations. However, since the replication process is asynchronous, you may lose some of them.</w:t>
      </w:r>
    </w:p>
    <w:p w14:paraId="0FC9878B" w14:textId="1D382D6E" w:rsidR="00C6454C" w:rsidRDefault="00AE18EC">
      <w:r>
        <w:t>To help you test this scenario, I have crafted a very little Durable Function that is just waiting for an external event:</w:t>
      </w:r>
    </w:p>
    <w:p w14:paraId="472880CF" w14:textId="77777777" w:rsidR="00AE18EC" w:rsidRDefault="00AE18EC"/>
    <w:p w14:paraId="0ABFA0EA" w14:textId="77777777" w:rsidR="00AE18EC" w:rsidRPr="00AE18EC" w:rsidRDefault="00AE18EC" w:rsidP="00AE18EC">
      <w:pPr>
        <w:pStyle w:val="cod"/>
        <w:rPr>
          <w:highlight w:val="lightGray"/>
        </w:rPr>
      </w:pPr>
      <w:r w:rsidRPr="00AE18EC">
        <w:rPr>
          <w:highlight w:val="lightGray"/>
        </w:rPr>
        <w:t xml:space="preserve">public static async Task </w:t>
      </w:r>
      <w:proofErr w:type="spellStart"/>
      <w:r w:rsidRPr="00AE18EC">
        <w:rPr>
          <w:highlight w:val="lightGray"/>
        </w:rPr>
        <w:t>RunOrchestrator</w:t>
      </w:r>
      <w:proofErr w:type="spellEnd"/>
      <w:r w:rsidRPr="00AE18EC">
        <w:rPr>
          <w:highlight w:val="lightGray"/>
        </w:rPr>
        <w:t>(</w:t>
      </w:r>
    </w:p>
    <w:p w14:paraId="748CF5B7" w14:textId="77777777" w:rsidR="00AE18EC" w:rsidRPr="00AE18EC" w:rsidRDefault="00AE18EC" w:rsidP="00AE18EC">
      <w:pPr>
        <w:pStyle w:val="cod"/>
        <w:rPr>
          <w:highlight w:val="lightGray"/>
        </w:rPr>
      </w:pPr>
      <w:r w:rsidRPr="00AE18EC">
        <w:rPr>
          <w:highlight w:val="lightGray"/>
        </w:rPr>
        <w:t xml:space="preserve">    [</w:t>
      </w:r>
      <w:proofErr w:type="spellStart"/>
      <w:r w:rsidRPr="00AE18EC">
        <w:rPr>
          <w:highlight w:val="lightGray"/>
        </w:rPr>
        <w:t>OrchestrationTrigger</w:t>
      </w:r>
      <w:proofErr w:type="spellEnd"/>
      <w:r w:rsidRPr="00AE18EC">
        <w:rPr>
          <w:highlight w:val="lightGray"/>
        </w:rPr>
        <w:t xml:space="preserve">] </w:t>
      </w:r>
      <w:proofErr w:type="spellStart"/>
      <w:r w:rsidRPr="00AE18EC">
        <w:rPr>
          <w:highlight w:val="lightGray"/>
        </w:rPr>
        <w:t>TaskOrchestrationContext</w:t>
      </w:r>
      <w:proofErr w:type="spellEnd"/>
      <w:r w:rsidRPr="00AE18EC">
        <w:rPr>
          <w:highlight w:val="lightGray"/>
        </w:rPr>
        <w:t xml:space="preserve"> context)</w:t>
      </w:r>
    </w:p>
    <w:p w14:paraId="5EBB5CF9" w14:textId="77777777" w:rsidR="00AE18EC" w:rsidRPr="00AE18EC" w:rsidRDefault="00AE18EC" w:rsidP="00AE18EC">
      <w:pPr>
        <w:pStyle w:val="cod"/>
        <w:rPr>
          <w:highlight w:val="lightGray"/>
        </w:rPr>
      </w:pPr>
      <w:r w:rsidRPr="00AE18EC">
        <w:rPr>
          <w:highlight w:val="lightGray"/>
        </w:rPr>
        <w:t>{</w:t>
      </w:r>
    </w:p>
    <w:p w14:paraId="54EAA116" w14:textId="77777777" w:rsidR="00AE18EC" w:rsidRPr="00AE18EC" w:rsidRDefault="00AE18EC" w:rsidP="00AE18EC">
      <w:pPr>
        <w:pStyle w:val="cod"/>
        <w:rPr>
          <w:highlight w:val="lightGray"/>
        </w:rPr>
      </w:pPr>
      <w:r w:rsidRPr="00AE18EC">
        <w:rPr>
          <w:highlight w:val="lightGray"/>
        </w:rPr>
        <w:t xml:space="preserve">    </w:t>
      </w:r>
      <w:proofErr w:type="spellStart"/>
      <w:r w:rsidRPr="00AE18EC">
        <w:rPr>
          <w:highlight w:val="lightGray"/>
        </w:rPr>
        <w:t>ILogger</w:t>
      </w:r>
      <w:proofErr w:type="spellEnd"/>
      <w:r w:rsidRPr="00AE18EC">
        <w:rPr>
          <w:highlight w:val="lightGray"/>
        </w:rPr>
        <w:t xml:space="preserve"> logger = </w:t>
      </w:r>
      <w:proofErr w:type="spellStart"/>
      <w:r w:rsidRPr="00AE18EC">
        <w:rPr>
          <w:highlight w:val="lightGray"/>
        </w:rPr>
        <w:t>context.CreateReplaySafeLogger</w:t>
      </w:r>
      <w:proofErr w:type="spellEnd"/>
      <w:r w:rsidRPr="00AE18EC">
        <w:rPr>
          <w:highlight w:val="lightGray"/>
        </w:rPr>
        <w:t>(</w:t>
      </w:r>
      <w:proofErr w:type="spellStart"/>
      <w:r w:rsidRPr="00AE18EC">
        <w:rPr>
          <w:highlight w:val="lightGray"/>
        </w:rPr>
        <w:t>nameof</w:t>
      </w:r>
      <w:proofErr w:type="spellEnd"/>
      <w:r w:rsidRPr="00AE18EC">
        <w:rPr>
          <w:highlight w:val="lightGray"/>
        </w:rPr>
        <w:t>(Function1));</w:t>
      </w:r>
    </w:p>
    <w:p w14:paraId="4832A0A8" w14:textId="77777777" w:rsidR="00AE18EC" w:rsidRPr="00AE18EC" w:rsidRDefault="00AE18EC" w:rsidP="00AE18EC">
      <w:pPr>
        <w:pStyle w:val="cod"/>
        <w:rPr>
          <w:highlight w:val="lightGray"/>
        </w:rPr>
      </w:pPr>
      <w:r w:rsidRPr="00AE18EC">
        <w:rPr>
          <w:highlight w:val="lightGray"/>
        </w:rPr>
        <w:t xml:space="preserve">    </w:t>
      </w:r>
      <w:proofErr w:type="spellStart"/>
      <w:r w:rsidRPr="00AE18EC">
        <w:rPr>
          <w:highlight w:val="lightGray"/>
        </w:rPr>
        <w:t>logger.LogInformation</w:t>
      </w:r>
      <w:proofErr w:type="spellEnd"/>
      <w:r w:rsidRPr="00AE18EC">
        <w:rPr>
          <w:highlight w:val="lightGray"/>
        </w:rPr>
        <w:t xml:space="preserve">("Waiting for external event");      </w:t>
      </w:r>
    </w:p>
    <w:p w14:paraId="594A3ACD" w14:textId="77777777" w:rsidR="00AE18EC" w:rsidRPr="00AE18EC" w:rsidRDefault="00AE18EC" w:rsidP="00AE18EC">
      <w:pPr>
        <w:pStyle w:val="cod"/>
        <w:rPr>
          <w:highlight w:val="lightGray"/>
        </w:rPr>
      </w:pPr>
      <w:r w:rsidRPr="00AE18EC">
        <w:rPr>
          <w:highlight w:val="lightGray"/>
        </w:rPr>
        <w:t xml:space="preserve">    var </w:t>
      </w:r>
      <w:proofErr w:type="spellStart"/>
      <w:r w:rsidRPr="00AE18EC">
        <w:rPr>
          <w:highlight w:val="lightGray"/>
        </w:rPr>
        <w:t>eventData</w:t>
      </w:r>
      <w:proofErr w:type="spellEnd"/>
      <w:r w:rsidRPr="00AE18EC">
        <w:rPr>
          <w:highlight w:val="lightGray"/>
        </w:rPr>
        <w:t xml:space="preserve">=await </w:t>
      </w:r>
      <w:proofErr w:type="spellStart"/>
      <w:r w:rsidRPr="00AE18EC">
        <w:rPr>
          <w:highlight w:val="lightGray"/>
        </w:rPr>
        <w:t>context.WaitForExternalEvent</w:t>
      </w:r>
      <w:proofErr w:type="spellEnd"/>
      <w:r w:rsidRPr="00AE18EC">
        <w:rPr>
          <w:highlight w:val="lightGray"/>
        </w:rPr>
        <w:t>&lt;</w:t>
      </w:r>
      <w:proofErr w:type="spellStart"/>
      <w:r w:rsidRPr="00AE18EC">
        <w:rPr>
          <w:highlight w:val="lightGray"/>
        </w:rPr>
        <w:t>DateTime</w:t>
      </w:r>
      <w:proofErr w:type="spellEnd"/>
      <w:r w:rsidRPr="00AE18EC">
        <w:rPr>
          <w:highlight w:val="lightGray"/>
        </w:rPr>
        <w:t>&gt;("event");</w:t>
      </w:r>
    </w:p>
    <w:p w14:paraId="0FBEA849" w14:textId="77777777" w:rsidR="00AE18EC" w:rsidRPr="00AE18EC" w:rsidRDefault="00AE18EC" w:rsidP="00AE18EC">
      <w:pPr>
        <w:pStyle w:val="cod"/>
        <w:rPr>
          <w:highlight w:val="lightGray"/>
        </w:rPr>
      </w:pPr>
      <w:r w:rsidRPr="00AE18EC">
        <w:rPr>
          <w:highlight w:val="lightGray"/>
        </w:rPr>
        <w:t xml:space="preserve">    </w:t>
      </w:r>
      <w:proofErr w:type="spellStart"/>
      <w:r w:rsidRPr="00AE18EC">
        <w:rPr>
          <w:highlight w:val="lightGray"/>
        </w:rPr>
        <w:t>logger.LogInformation</w:t>
      </w:r>
      <w:proofErr w:type="spellEnd"/>
      <w:r w:rsidRPr="00AE18EC">
        <w:rPr>
          <w:highlight w:val="lightGray"/>
        </w:rPr>
        <w:t xml:space="preserve">("external event received {0}", </w:t>
      </w:r>
      <w:proofErr w:type="spellStart"/>
      <w:r w:rsidRPr="00AE18EC">
        <w:rPr>
          <w:highlight w:val="lightGray"/>
        </w:rPr>
        <w:t>eventData.ToString</w:t>
      </w:r>
      <w:proofErr w:type="spellEnd"/>
      <w:r w:rsidRPr="00AE18EC">
        <w:rPr>
          <w:highlight w:val="lightGray"/>
        </w:rPr>
        <w:t xml:space="preserve">());        </w:t>
      </w:r>
    </w:p>
    <w:p w14:paraId="204ABBE2" w14:textId="77777777" w:rsidR="00AE18EC" w:rsidRPr="00AE18EC" w:rsidRDefault="00AE18EC" w:rsidP="00AE18EC">
      <w:pPr>
        <w:pStyle w:val="cod"/>
        <w:rPr>
          <w:highlight w:val="lightGray"/>
        </w:rPr>
      </w:pPr>
      <w:r w:rsidRPr="00AE18EC">
        <w:rPr>
          <w:highlight w:val="lightGray"/>
        </w:rPr>
        <w:lastRenderedPageBreak/>
        <w:t>}</w:t>
      </w:r>
    </w:p>
    <w:p w14:paraId="28860BDA" w14:textId="77777777" w:rsidR="002E126A" w:rsidRDefault="002E126A">
      <w:r>
        <w:t>The orchestration is started by this HTTP triggered function:</w:t>
      </w:r>
    </w:p>
    <w:p w14:paraId="27935210" w14:textId="77777777" w:rsidR="002E126A" w:rsidRPr="002E126A" w:rsidRDefault="002E126A" w:rsidP="002E126A">
      <w:pPr>
        <w:pStyle w:val="cod"/>
        <w:rPr>
          <w:highlight w:val="lightGray"/>
        </w:rPr>
      </w:pPr>
      <w:r w:rsidRPr="002E126A">
        <w:rPr>
          <w:highlight w:val="lightGray"/>
        </w:rPr>
        <w:t>public static async Task&lt;</w:t>
      </w:r>
      <w:proofErr w:type="spellStart"/>
      <w:r w:rsidRPr="002E126A">
        <w:rPr>
          <w:highlight w:val="lightGray"/>
        </w:rPr>
        <w:t>HttpResponseData</w:t>
      </w:r>
      <w:proofErr w:type="spellEnd"/>
      <w:r w:rsidRPr="002E126A">
        <w:rPr>
          <w:highlight w:val="lightGray"/>
        </w:rPr>
        <w:t xml:space="preserve">&gt; </w:t>
      </w:r>
      <w:proofErr w:type="spellStart"/>
      <w:r w:rsidRPr="002E126A">
        <w:rPr>
          <w:highlight w:val="lightGray"/>
        </w:rPr>
        <w:t>HttpStart</w:t>
      </w:r>
      <w:proofErr w:type="spellEnd"/>
      <w:r w:rsidRPr="002E126A">
        <w:rPr>
          <w:highlight w:val="lightGray"/>
        </w:rPr>
        <w:t>(</w:t>
      </w:r>
    </w:p>
    <w:p w14:paraId="59BFFE30" w14:textId="77777777" w:rsidR="002E126A" w:rsidRPr="002E126A" w:rsidRDefault="002E126A" w:rsidP="002E126A">
      <w:pPr>
        <w:pStyle w:val="cod"/>
        <w:rPr>
          <w:highlight w:val="lightGray"/>
        </w:rPr>
      </w:pPr>
      <w:r w:rsidRPr="002E126A">
        <w:rPr>
          <w:highlight w:val="lightGray"/>
        </w:rPr>
        <w:t xml:space="preserve">    [</w:t>
      </w:r>
      <w:proofErr w:type="spellStart"/>
      <w:r w:rsidRPr="002E126A">
        <w:rPr>
          <w:highlight w:val="lightGray"/>
        </w:rPr>
        <w:t>HttpTrigger</w:t>
      </w:r>
      <w:proofErr w:type="spellEnd"/>
      <w:r w:rsidRPr="002E126A">
        <w:rPr>
          <w:highlight w:val="lightGray"/>
        </w:rPr>
        <w:t>(</w:t>
      </w:r>
      <w:proofErr w:type="spellStart"/>
      <w:r w:rsidRPr="002E126A">
        <w:rPr>
          <w:highlight w:val="lightGray"/>
        </w:rPr>
        <w:t>AuthorizationLevel.Anonymous</w:t>
      </w:r>
      <w:proofErr w:type="spellEnd"/>
      <w:r w:rsidRPr="002E126A">
        <w:rPr>
          <w:highlight w:val="lightGray"/>
        </w:rPr>
        <w:t xml:space="preserve">, "get", "post")] </w:t>
      </w:r>
      <w:proofErr w:type="spellStart"/>
      <w:r w:rsidRPr="002E126A">
        <w:rPr>
          <w:highlight w:val="lightGray"/>
        </w:rPr>
        <w:t>HttpRequestData</w:t>
      </w:r>
      <w:proofErr w:type="spellEnd"/>
      <w:r w:rsidRPr="002E126A">
        <w:rPr>
          <w:highlight w:val="lightGray"/>
        </w:rPr>
        <w:t xml:space="preserve"> req,</w:t>
      </w:r>
    </w:p>
    <w:p w14:paraId="35875121" w14:textId="77777777" w:rsidR="002E126A" w:rsidRPr="002E126A" w:rsidRDefault="002E126A" w:rsidP="002E126A">
      <w:pPr>
        <w:pStyle w:val="cod"/>
        <w:rPr>
          <w:highlight w:val="lightGray"/>
        </w:rPr>
      </w:pPr>
      <w:r w:rsidRPr="002E126A">
        <w:rPr>
          <w:highlight w:val="lightGray"/>
        </w:rPr>
        <w:t xml:space="preserve">    [</w:t>
      </w:r>
      <w:proofErr w:type="spellStart"/>
      <w:r w:rsidRPr="002E126A">
        <w:rPr>
          <w:highlight w:val="lightGray"/>
        </w:rPr>
        <w:t>DurableClient</w:t>
      </w:r>
      <w:proofErr w:type="spellEnd"/>
      <w:r w:rsidRPr="002E126A">
        <w:rPr>
          <w:highlight w:val="lightGray"/>
        </w:rPr>
        <w:t xml:space="preserve">] </w:t>
      </w:r>
      <w:proofErr w:type="spellStart"/>
      <w:r w:rsidRPr="002E126A">
        <w:rPr>
          <w:highlight w:val="lightGray"/>
        </w:rPr>
        <w:t>DurableTaskClient</w:t>
      </w:r>
      <w:proofErr w:type="spellEnd"/>
      <w:r w:rsidRPr="002E126A">
        <w:rPr>
          <w:highlight w:val="lightGray"/>
        </w:rPr>
        <w:t xml:space="preserve"> client,</w:t>
      </w:r>
    </w:p>
    <w:p w14:paraId="234022BA" w14:textId="77777777" w:rsidR="002E126A" w:rsidRPr="002E126A" w:rsidRDefault="002E126A" w:rsidP="002E126A">
      <w:pPr>
        <w:pStyle w:val="cod"/>
        <w:rPr>
          <w:highlight w:val="lightGray"/>
        </w:rPr>
      </w:pPr>
      <w:r w:rsidRPr="002E126A">
        <w:rPr>
          <w:highlight w:val="lightGray"/>
        </w:rPr>
        <w:t xml:space="preserve">    </w:t>
      </w:r>
      <w:proofErr w:type="spellStart"/>
      <w:r w:rsidRPr="002E126A">
        <w:rPr>
          <w:highlight w:val="lightGray"/>
        </w:rPr>
        <w:t>FunctionContext</w:t>
      </w:r>
      <w:proofErr w:type="spellEnd"/>
      <w:r w:rsidRPr="002E126A">
        <w:rPr>
          <w:highlight w:val="lightGray"/>
        </w:rPr>
        <w:t xml:space="preserve"> </w:t>
      </w:r>
      <w:proofErr w:type="spellStart"/>
      <w:r w:rsidRPr="002E126A">
        <w:rPr>
          <w:highlight w:val="lightGray"/>
        </w:rPr>
        <w:t>executionContext</w:t>
      </w:r>
      <w:proofErr w:type="spellEnd"/>
      <w:r w:rsidRPr="002E126A">
        <w:rPr>
          <w:highlight w:val="lightGray"/>
        </w:rPr>
        <w:t>)</w:t>
      </w:r>
    </w:p>
    <w:p w14:paraId="6E80F4D6" w14:textId="77777777" w:rsidR="002E126A" w:rsidRPr="002E126A" w:rsidRDefault="002E126A" w:rsidP="002E126A">
      <w:pPr>
        <w:pStyle w:val="cod"/>
        <w:rPr>
          <w:highlight w:val="lightGray"/>
        </w:rPr>
      </w:pPr>
      <w:r w:rsidRPr="002E126A">
        <w:rPr>
          <w:highlight w:val="lightGray"/>
        </w:rPr>
        <w:t>{</w:t>
      </w:r>
    </w:p>
    <w:p w14:paraId="643DA994" w14:textId="77777777" w:rsidR="002E126A" w:rsidRPr="002E126A" w:rsidRDefault="002E126A" w:rsidP="002E126A">
      <w:pPr>
        <w:pStyle w:val="cod"/>
        <w:rPr>
          <w:highlight w:val="lightGray"/>
        </w:rPr>
      </w:pPr>
      <w:r w:rsidRPr="002E126A">
        <w:rPr>
          <w:highlight w:val="lightGray"/>
        </w:rPr>
        <w:t xml:space="preserve">    </w:t>
      </w:r>
      <w:proofErr w:type="spellStart"/>
      <w:r w:rsidRPr="002E126A">
        <w:rPr>
          <w:highlight w:val="lightGray"/>
        </w:rPr>
        <w:t>ILogger</w:t>
      </w:r>
      <w:proofErr w:type="spellEnd"/>
      <w:r w:rsidRPr="002E126A">
        <w:rPr>
          <w:highlight w:val="lightGray"/>
        </w:rPr>
        <w:t xml:space="preserve"> logger = </w:t>
      </w:r>
      <w:proofErr w:type="spellStart"/>
      <w:r w:rsidRPr="002E126A">
        <w:rPr>
          <w:highlight w:val="lightGray"/>
        </w:rPr>
        <w:t>executionContext.GetLogger</w:t>
      </w:r>
      <w:proofErr w:type="spellEnd"/>
      <w:r w:rsidRPr="002E126A">
        <w:rPr>
          <w:highlight w:val="lightGray"/>
        </w:rPr>
        <w:t>("Function1_HttpStart");</w:t>
      </w:r>
    </w:p>
    <w:p w14:paraId="2C9F8C13" w14:textId="77777777" w:rsidR="002E126A" w:rsidRPr="002E126A" w:rsidRDefault="002E126A" w:rsidP="002E126A">
      <w:pPr>
        <w:pStyle w:val="cod"/>
        <w:rPr>
          <w:highlight w:val="lightGray"/>
        </w:rPr>
      </w:pPr>
    </w:p>
    <w:p w14:paraId="7FCD91A9" w14:textId="77777777" w:rsidR="002E126A" w:rsidRPr="002E126A" w:rsidRDefault="002E126A" w:rsidP="002E126A">
      <w:pPr>
        <w:pStyle w:val="cod"/>
        <w:rPr>
          <w:highlight w:val="lightGray"/>
        </w:rPr>
      </w:pPr>
      <w:r w:rsidRPr="002E126A">
        <w:rPr>
          <w:highlight w:val="lightGray"/>
        </w:rPr>
        <w:t xml:space="preserve">    // Function input comes from the request content.</w:t>
      </w:r>
    </w:p>
    <w:p w14:paraId="0C59FBA8" w14:textId="77777777" w:rsidR="002E126A" w:rsidRPr="002E126A" w:rsidRDefault="002E126A" w:rsidP="002E126A">
      <w:pPr>
        <w:pStyle w:val="cod"/>
        <w:rPr>
          <w:highlight w:val="lightGray"/>
        </w:rPr>
      </w:pPr>
      <w:r w:rsidRPr="002E126A">
        <w:rPr>
          <w:highlight w:val="lightGray"/>
        </w:rPr>
        <w:t xml:space="preserve">    string </w:t>
      </w:r>
      <w:proofErr w:type="spellStart"/>
      <w:r w:rsidRPr="002E126A">
        <w:rPr>
          <w:highlight w:val="lightGray"/>
        </w:rPr>
        <w:t>instanceId</w:t>
      </w:r>
      <w:proofErr w:type="spellEnd"/>
      <w:r w:rsidRPr="002E126A">
        <w:rPr>
          <w:highlight w:val="lightGray"/>
        </w:rPr>
        <w:t xml:space="preserve"> = await </w:t>
      </w:r>
      <w:proofErr w:type="spellStart"/>
      <w:r w:rsidRPr="002E126A">
        <w:rPr>
          <w:highlight w:val="lightGray"/>
        </w:rPr>
        <w:t>client.ScheduleNewOrchestrationInstanceAsync</w:t>
      </w:r>
      <w:proofErr w:type="spellEnd"/>
      <w:r w:rsidRPr="002E126A">
        <w:rPr>
          <w:highlight w:val="lightGray"/>
        </w:rPr>
        <w:t>(</w:t>
      </w:r>
    </w:p>
    <w:p w14:paraId="731807DD" w14:textId="77777777" w:rsidR="002E126A" w:rsidRPr="002E126A" w:rsidRDefault="002E126A" w:rsidP="002E126A">
      <w:pPr>
        <w:pStyle w:val="cod"/>
        <w:rPr>
          <w:highlight w:val="lightGray"/>
        </w:rPr>
      </w:pPr>
      <w:r w:rsidRPr="002E126A">
        <w:rPr>
          <w:highlight w:val="lightGray"/>
        </w:rPr>
        <w:t xml:space="preserve">        </w:t>
      </w:r>
      <w:proofErr w:type="spellStart"/>
      <w:r w:rsidRPr="002E126A">
        <w:rPr>
          <w:highlight w:val="lightGray"/>
        </w:rPr>
        <w:t>nameof</w:t>
      </w:r>
      <w:proofErr w:type="spellEnd"/>
      <w:r w:rsidRPr="002E126A">
        <w:rPr>
          <w:highlight w:val="lightGray"/>
        </w:rPr>
        <w:t>(Function1));</w:t>
      </w:r>
    </w:p>
    <w:p w14:paraId="7BF28D16" w14:textId="77777777" w:rsidR="002E126A" w:rsidRPr="002E126A" w:rsidRDefault="002E126A" w:rsidP="002E126A">
      <w:pPr>
        <w:pStyle w:val="cod"/>
        <w:rPr>
          <w:highlight w:val="lightGray"/>
        </w:rPr>
      </w:pPr>
    </w:p>
    <w:p w14:paraId="231B8319" w14:textId="77777777" w:rsidR="002E126A" w:rsidRPr="002E126A" w:rsidRDefault="002E126A" w:rsidP="002E126A">
      <w:pPr>
        <w:pStyle w:val="cod"/>
        <w:rPr>
          <w:highlight w:val="lightGray"/>
        </w:rPr>
      </w:pPr>
      <w:r w:rsidRPr="002E126A">
        <w:rPr>
          <w:highlight w:val="lightGray"/>
        </w:rPr>
        <w:t xml:space="preserve">    </w:t>
      </w:r>
      <w:proofErr w:type="spellStart"/>
      <w:r w:rsidRPr="002E126A">
        <w:rPr>
          <w:highlight w:val="lightGray"/>
        </w:rPr>
        <w:t>logger.LogInformation</w:t>
      </w:r>
      <w:proofErr w:type="spellEnd"/>
      <w:r w:rsidRPr="002E126A">
        <w:rPr>
          <w:highlight w:val="lightGray"/>
        </w:rPr>
        <w:t>("Started orchestration with ID = '{</w:t>
      </w:r>
      <w:proofErr w:type="spellStart"/>
      <w:r w:rsidRPr="002E126A">
        <w:rPr>
          <w:highlight w:val="lightGray"/>
        </w:rPr>
        <w:t>instanceId</w:t>
      </w:r>
      <w:proofErr w:type="spellEnd"/>
      <w:r w:rsidRPr="002E126A">
        <w:rPr>
          <w:highlight w:val="lightGray"/>
        </w:rPr>
        <w:t xml:space="preserve">}'.", </w:t>
      </w:r>
      <w:proofErr w:type="spellStart"/>
      <w:r w:rsidRPr="002E126A">
        <w:rPr>
          <w:highlight w:val="lightGray"/>
        </w:rPr>
        <w:t>instanceId</w:t>
      </w:r>
      <w:proofErr w:type="spellEnd"/>
      <w:r w:rsidRPr="002E126A">
        <w:rPr>
          <w:highlight w:val="lightGray"/>
        </w:rPr>
        <w:t>);</w:t>
      </w:r>
    </w:p>
    <w:p w14:paraId="71812487" w14:textId="77777777" w:rsidR="002E126A" w:rsidRPr="002E126A" w:rsidRDefault="002E126A" w:rsidP="002E126A">
      <w:pPr>
        <w:pStyle w:val="cod"/>
        <w:rPr>
          <w:highlight w:val="lightGray"/>
        </w:rPr>
      </w:pPr>
      <w:r w:rsidRPr="002E126A">
        <w:rPr>
          <w:highlight w:val="lightGray"/>
        </w:rPr>
        <w:t xml:space="preserve">        </w:t>
      </w:r>
    </w:p>
    <w:p w14:paraId="02635611" w14:textId="77777777" w:rsidR="002E126A" w:rsidRPr="002E126A" w:rsidRDefault="002E126A" w:rsidP="002E126A">
      <w:pPr>
        <w:pStyle w:val="cod"/>
        <w:rPr>
          <w:highlight w:val="lightGray"/>
        </w:rPr>
      </w:pPr>
      <w:r w:rsidRPr="002E126A">
        <w:rPr>
          <w:highlight w:val="lightGray"/>
        </w:rPr>
        <w:t xml:space="preserve">    return await </w:t>
      </w:r>
      <w:proofErr w:type="spellStart"/>
      <w:r w:rsidRPr="002E126A">
        <w:rPr>
          <w:highlight w:val="lightGray"/>
        </w:rPr>
        <w:t>client.CreateCheckStatusResponseAsync</w:t>
      </w:r>
      <w:proofErr w:type="spellEnd"/>
      <w:r w:rsidRPr="002E126A">
        <w:rPr>
          <w:highlight w:val="lightGray"/>
        </w:rPr>
        <w:t xml:space="preserve">(req, </w:t>
      </w:r>
      <w:proofErr w:type="spellStart"/>
      <w:r w:rsidRPr="002E126A">
        <w:rPr>
          <w:highlight w:val="lightGray"/>
        </w:rPr>
        <w:t>instanceId</w:t>
      </w:r>
      <w:proofErr w:type="spellEnd"/>
      <w:r w:rsidRPr="002E126A">
        <w:rPr>
          <w:highlight w:val="lightGray"/>
        </w:rPr>
        <w:t>);</w:t>
      </w:r>
    </w:p>
    <w:p w14:paraId="36AAD65A" w14:textId="37E989F1" w:rsidR="002E126A" w:rsidRPr="002E126A" w:rsidRDefault="002E126A" w:rsidP="002E126A">
      <w:pPr>
        <w:pStyle w:val="cod"/>
        <w:rPr>
          <w:highlight w:val="lightGray"/>
        </w:rPr>
      </w:pPr>
      <w:r w:rsidRPr="002E126A">
        <w:rPr>
          <w:highlight w:val="lightGray"/>
        </w:rPr>
        <w:t>}</w:t>
      </w:r>
    </w:p>
    <w:p w14:paraId="0F522314" w14:textId="77777777" w:rsidR="002E126A" w:rsidRDefault="002E126A"/>
    <w:p w14:paraId="582202B0" w14:textId="00A1A1F8" w:rsidR="00C6454C" w:rsidRDefault="00AE18EC">
      <w:r>
        <w:t xml:space="preserve">The idea is to start </w:t>
      </w:r>
      <w:r w:rsidR="002E126A">
        <w:t>a new orchestration by calling the HTTP triggered function:</w:t>
      </w:r>
    </w:p>
    <w:p w14:paraId="5659531F" w14:textId="48871733" w:rsidR="002E126A" w:rsidRDefault="00A96F2D">
      <w:r>
        <w:rPr>
          <w:noProof/>
        </w:rPr>
        <w:drawing>
          <wp:inline distT="0" distB="0" distL="0" distR="0" wp14:anchorId="3FB1BADA" wp14:editId="386652E6">
            <wp:extent cx="5725160" cy="1371600"/>
            <wp:effectExtent l="0" t="0" r="8890" b="0"/>
            <wp:docPr id="157380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5160" cy="1371600"/>
                    </a:xfrm>
                    <a:prstGeom prst="rect">
                      <a:avLst/>
                    </a:prstGeom>
                    <a:noFill/>
                    <a:ln>
                      <a:noFill/>
                    </a:ln>
                  </pic:spPr>
                </pic:pic>
              </a:graphicData>
            </a:graphic>
          </wp:inline>
        </w:drawing>
      </w:r>
    </w:p>
    <w:p w14:paraId="0400B61B" w14:textId="406C11EC" w:rsidR="00A96F2D" w:rsidRDefault="00A96F2D">
      <w:r>
        <w:t>And get the instance ID of the orchestration for later use.</w:t>
      </w:r>
    </w:p>
    <w:p w14:paraId="30A74808" w14:textId="4BA90E3A" w:rsidR="00A96F2D" w:rsidRDefault="00A96F2D">
      <w:r>
        <w:t>After this, you can initiate the failover. Once completed, you should raise the external event and see if the orchestrator is able to resume this orchestration:</w:t>
      </w:r>
    </w:p>
    <w:p w14:paraId="50E695E8" w14:textId="5829AA29" w:rsidR="00A96F2D" w:rsidRDefault="00A96F2D">
      <w:r w:rsidRPr="00A96F2D">
        <w:drawing>
          <wp:inline distT="0" distB="0" distL="0" distR="0" wp14:anchorId="5171CEF8" wp14:editId="13F643B6">
            <wp:extent cx="4315427" cy="1228896"/>
            <wp:effectExtent l="0" t="0" r="9525" b="9525"/>
            <wp:docPr id="328790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90473" name="Picture 1" descr="A screenshot of a computer&#10;&#10;AI-generated content may be incorrect."/>
                    <pic:cNvPicPr/>
                  </pic:nvPicPr>
                  <pic:blipFill>
                    <a:blip r:embed="rId42"/>
                    <a:stretch>
                      <a:fillRect/>
                    </a:stretch>
                  </pic:blipFill>
                  <pic:spPr>
                    <a:xfrm>
                      <a:off x="0" y="0"/>
                      <a:ext cx="4315427" cy="1228896"/>
                    </a:xfrm>
                    <a:prstGeom prst="rect">
                      <a:avLst/>
                    </a:prstGeom>
                  </pic:spPr>
                </pic:pic>
              </a:graphicData>
            </a:graphic>
          </wp:inline>
        </w:drawing>
      </w:r>
    </w:p>
    <w:p w14:paraId="7959745F" w14:textId="115E73D8" w:rsidR="00A96F2D" w:rsidRDefault="00A96F2D">
      <w:r>
        <w:lastRenderedPageBreak/>
        <w:t>If everything works fine. The orchestration status should show as completed:</w:t>
      </w:r>
    </w:p>
    <w:p w14:paraId="59250B0E" w14:textId="77777777" w:rsidR="00A96F2D" w:rsidRDefault="00A96F2D"/>
    <w:p w14:paraId="35850E56" w14:textId="7BB28C08" w:rsidR="00A96F2D" w:rsidRDefault="00A96F2D">
      <w:r>
        <w:rPr>
          <w:noProof/>
        </w:rPr>
        <w:drawing>
          <wp:inline distT="0" distB="0" distL="0" distR="0" wp14:anchorId="7A242708" wp14:editId="740B9726">
            <wp:extent cx="5731510" cy="2333625"/>
            <wp:effectExtent l="0" t="0" r="2540" b="9525"/>
            <wp:docPr id="1953034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333625"/>
                    </a:xfrm>
                    <a:prstGeom prst="rect">
                      <a:avLst/>
                    </a:prstGeom>
                    <a:noFill/>
                    <a:ln>
                      <a:noFill/>
                    </a:ln>
                  </pic:spPr>
                </pic:pic>
              </a:graphicData>
            </a:graphic>
          </wp:inline>
        </w:drawing>
      </w:r>
    </w:p>
    <w:p w14:paraId="6C101CAE" w14:textId="77777777" w:rsidR="00A96F2D" w:rsidRDefault="00A96F2D"/>
    <w:p w14:paraId="63C955FA" w14:textId="18F7FBCF" w:rsidR="00A96F2D" w:rsidRDefault="00A96F2D">
      <w:r>
        <w:t>You can test this easily locally by making sure to:</w:t>
      </w:r>
    </w:p>
    <w:p w14:paraId="6E21A993" w14:textId="77777777" w:rsidR="00A96F2D" w:rsidRDefault="00A96F2D"/>
    <w:p w14:paraId="0FFB2C03" w14:textId="3317F142" w:rsidR="00A96F2D" w:rsidRDefault="00A96F2D" w:rsidP="00A96F2D">
      <w:pPr>
        <w:pStyle w:val="ListParagraph"/>
        <w:numPr>
          <w:ilvl w:val="0"/>
          <w:numId w:val="5"/>
        </w:numPr>
      </w:pPr>
      <w:r>
        <w:t xml:space="preserve">Use a GRS/GZRS/RA-GRS/RA-GZRS Storage Account </w:t>
      </w:r>
    </w:p>
    <w:p w14:paraId="6A309CE0" w14:textId="1AE20811" w:rsidR="00A96F2D" w:rsidRPr="00A96F2D" w:rsidRDefault="00A96F2D" w:rsidP="00A96F2D">
      <w:pPr>
        <w:pStyle w:val="ListParagraph"/>
        <w:numPr>
          <w:ilvl w:val="0"/>
          <w:numId w:val="5"/>
        </w:numPr>
      </w:pPr>
      <w:r>
        <w:t xml:space="preserve">Bind your local solution to the Storage Account by assigning the connection string of your Storage Account to the </w:t>
      </w:r>
      <w:proofErr w:type="spellStart"/>
      <w:r w:rsidRPr="00A96F2D">
        <w:rPr>
          <w:lang w:val="en-BE"/>
        </w:rPr>
        <w:t>AzureWebJobsStorage</w:t>
      </w:r>
      <w:proofErr w:type="spellEnd"/>
      <w:r>
        <w:rPr>
          <w:lang w:val="en-BE"/>
        </w:rPr>
        <w:t xml:space="preserve"> setting in </w:t>
      </w:r>
      <w:proofErr w:type="spellStart"/>
      <w:r>
        <w:rPr>
          <w:lang w:val="en-BE"/>
        </w:rPr>
        <w:t>local.settings.json</w:t>
      </w:r>
      <w:proofErr w:type="spellEnd"/>
    </w:p>
    <w:p w14:paraId="28B468F6" w14:textId="5A3345D8" w:rsidR="00A96F2D" w:rsidRDefault="004308B3" w:rsidP="00A96F2D">
      <w:r>
        <w:t>Of course, in this case, you use public DNS and an Internet facing Function App, which is way simpler than the enterprise-grade design I depicted earlier. This is however enough to experiment with a concrete use case.</w:t>
      </w:r>
    </w:p>
    <w:p w14:paraId="51E202DB" w14:textId="77777777" w:rsidR="00A96F2D" w:rsidRPr="001701BC" w:rsidRDefault="00A96F2D"/>
    <w:sectPr w:rsidR="00A96F2D" w:rsidRPr="00170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477CC"/>
    <w:multiLevelType w:val="hybridMultilevel"/>
    <w:tmpl w:val="1B04ECBC"/>
    <w:lvl w:ilvl="0" w:tplc="C7EE806C">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F413393"/>
    <w:multiLevelType w:val="hybridMultilevel"/>
    <w:tmpl w:val="DC8CA08A"/>
    <w:lvl w:ilvl="0" w:tplc="93C0ADB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1EC1F3B"/>
    <w:multiLevelType w:val="multilevel"/>
    <w:tmpl w:val="88B8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F6A72"/>
    <w:multiLevelType w:val="multilevel"/>
    <w:tmpl w:val="BB10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66430"/>
    <w:multiLevelType w:val="hybridMultilevel"/>
    <w:tmpl w:val="C03655A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E013177"/>
    <w:multiLevelType w:val="hybridMultilevel"/>
    <w:tmpl w:val="2DC2BA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00599216">
    <w:abstractNumId w:val="1"/>
  </w:num>
  <w:num w:numId="2" w16cid:durableId="766192334">
    <w:abstractNumId w:val="2"/>
  </w:num>
  <w:num w:numId="3" w16cid:durableId="35353868">
    <w:abstractNumId w:val="5"/>
  </w:num>
  <w:num w:numId="4" w16cid:durableId="626352947">
    <w:abstractNumId w:val="4"/>
  </w:num>
  <w:num w:numId="5" w16cid:durableId="2003965261">
    <w:abstractNumId w:val="0"/>
  </w:num>
  <w:num w:numId="6" w16cid:durableId="1002318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83"/>
    <w:rsid w:val="000033DE"/>
    <w:rsid w:val="00036F76"/>
    <w:rsid w:val="00041874"/>
    <w:rsid w:val="00045EB7"/>
    <w:rsid w:val="00066135"/>
    <w:rsid w:val="00094F5B"/>
    <w:rsid w:val="000A0E09"/>
    <w:rsid w:val="000A3040"/>
    <w:rsid w:val="000D0CAF"/>
    <w:rsid w:val="000F4BE5"/>
    <w:rsid w:val="00106E02"/>
    <w:rsid w:val="00150EB2"/>
    <w:rsid w:val="001620F2"/>
    <w:rsid w:val="00166494"/>
    <w:rsid w:val="001701BC"/>
    <w:rsid w:val="001741EE"/>
    <w:rsid w:val="00194A2A"/>
    <w:rsid w:val="001A0CF2"/>
    <w:rsid w:val="001A65DF"/>
    <w:rsid w:val="001E3469"/>
    <w:rsid w:val="00206F2C"/>
    <w:rsid w:val="00212732"/>
    <w:rsid w:val="002144E3"/>
    <w:rsid w:val="00214FA9"/>
    <w:rsid w:val="0026509F"/>
    <w:rsid w:val="002742CC"/>
    <w:rsid w:val="002834C2"/>
    <w:rsid w:val="002A2FD5"/>
    <w:rsid w:val="002B207E"/>
    <w:rsid w:val="002E126A"/>
    <w:rsid w:val="002E4D98"/>
    <w:rsid w:val="003006D6"/>
    <w:rsid w:val="00301768"/>
    <w:rsid w:val="00303915"/>
    <w:rsid w:val="00323332"/>
    <w:rsid w:val="0032338D"/>
    <w:rsid w:val="003563F6"/>
    <w:rsid w:val="003733B6"/>
    <w:rsid w:val="003C5BFD"/>
    <w:rsid w:val="003D3456"/>
    <w:rsid w:val="003D3A7F"/>
    <w:rsid w:val="003D5B01"/>
    <w:rsid w:val="003E1289"/>
    <w:rsid w:val="003F0DE2"/>
    <w:rsid w:val="003F1018"/>
    <w:rsid w:val="0041730C"/>
    <w:rsid w:val="004308B3"/>
    <w:rsid w:val="00432630"/>
    <w:rsid w:val="00456183"/>
    <w:rsid w:val="00460217"/>
    <w:rsid w:val="0046328D"/>
    <w:rsid w:val="00471732"/>
    <w:rsid w:val="004C15CD"/>
    <w:rsid w:val="004E1089"/>
    <w:rsid w:val="004E1453"/>
    <w:rsid w:val="004E7027"/>
    <w:rsid w:val="00520145"/>
    <w:rsid w:val="0052512F"/>
    <w:rsid w:val="00533C2C"/>
    <w:rsid w:val="005349DC"/>
    <w:rsid w:val="00534AE1"/>
    <w:rsid w:val="00534D13"/>
    <w:rsid w:val="00541CDB"/>
    <w:rsid w:val="00553C70"/>
    <w:rsid w:val="00565992"/>
    <w:rsid w:val="005723D4"/>
    <w:rsid w:val="00594875"/>
    <w:rsid w:val="005A43D1"/>
    <w:rsid w:val="005A6731"/>
    <w:rsid w:val="005A695B"/>
    <w:rsid w:val="00607954"/>
    <w:rsid w:val="00673209"/>
    <w:rsid w:val="00673EB4"/>
    <w:rsid w:val="006954DE"/>
    <w:rsid w:val="006B49F0"/>
    <w:rsid w:val="00713FD7"/>
    <w:rsid w:val="0073373E"/>
    <w:rsid w:val="0075390C"/>
    <w:rsid w:val="007556F5"/>
    <w:rsid w:val="00761AB1"/>
    <w:rsid w:val="007646B1"/>
    <w:rsid w:val="0077539E"/>
    <w:rsid w:val="00777CF1"/>
    <w:rsid w:val="00803B4A"/>
    <w:rsid w:val="00824430"/>
    <w:rsid w:val="00831E00"/>
    <w:rsid w:val="00832740"/>
    <w:rsid w:val="00844466"/>
    <w:rsid w:val="00844BC7"/>
    <w:rsid w:val="00851A0A"/>
    <w:rsid w:val="0086012C"/>
    <w:rsid w:val="008819E7"/>
    <w:rsid w:val="008B14F2"/>
    <w:rsid w:val="008C1A9D"/>
    <w:rsid w:val="008C23BF"/>
    <w:rsid w:val="008D12D9"/>
    <w:rsid w:val="00900DBB"/>
    <w:rsid w:val="00904C15"/>
    <w:rsid w:val="00911C07"/>
    <w:rsid w:val="00941C96"/>
    <w:rsid w:val="00955B64"/>
    <w:rsid w:val="009A21BF"/>
    <w:rsid w:val="00A23433"/>
    <w:rsid w:val="00A31150"/>
    <w:rsid w:val="00A43074"/>
    <w:rsid w:val="00A46DCD"/>
    <w:rsid w:val="00A511E8"/>
    <w:rsid w:val="00A66CDE"/>
    <w:rsid w:val="00A67BDF"/>
    <w:rsid w:val="00A8377A"/>
    <w:rsid w:val="00A875FC"/>
    <w:rsid w:val="00A96F2D"/>
    <w:rsid w:val="00A97CDB"/>
    <w:rsid w:val="00AB0291"/>
    <w:rsid w:val="00AC6D53"/>
    <w:rsid w:val="00AC7852"/>
    <w:rsid w:val="00AE18EC"/>
    <w:rsid w:val="00B108EB"/>
    <w:rsid w:val="00B142E2"/>
    <w:rsid w:val="00B4247D"/>
    <w:rsid w:val="00B471FA"/>
    <w:rsid w:val="00B57DD5"/>
    <w:rsid w:val="00B71E14"/>
    <w:rsid w:val="00B77025"/>
    <w:rsid w:val="00B82CA9"/>
    <w:rsid w:val="00B91014"/>
    <w:rsid w:val="00BB55BD"/>
    <w:rsid w:val="00BC20B5"/>
    <w:rsid w:val="00BD7B14"/>
    <w:rsid w:val="00BE2A5E"/>
    <w:rsid w:val="00BE651C"/>
    <w:rsid w:val="00BF0FB7"/>
    <w:rsid w:val="00C3462B"/>
    <w:rsid w:val="00C421ED"/>
    <w:rsid w:val="00C56C91"/>
    <w:rsid w:val="00C6454C"/>
    <w:rsid w:val="00C71848"/>
    <w:rsid w:val="00CC2BF3"/>
    <w:rsid w:val="00CD15EC"/>
    <w:rsid w:val="00CD2593"/>
    <w:rsid w:val="00D24C7B"/>
    <w:rsid w:val="00D271E9"/>
    <w:rsid w:val="00D3452C"/>
    <w:rsid w:val="00D510CD"/>
    <w:rsid w:val="00D5307C"/>
    <w:rsid w:val="00D53F62"/>
    <w:rsid w:val="00D558CC"/>
    <w:rsid w:val="00D67588"/>
    <w:rsid w:val="00D816E0"/>
    <w:rsid w:val="00D861B4"/>
    <w:rsid w:val="00D86E0E"/>
    <w:rsid w:val="00D86E91"/>
    <w:rsid w:val="00DB76DC"/>
    <w:rsid w:val="00DD1516"/>
    <w:rsid w:val="00DD4ED1"/>
    <w:rsid w:val="00DF4067"/>
    <w:rsid w:val="00DF46A4"/>
    <w:rsid w:val="00E33E18"/>
    <w:rsid w:val="00EB0682"/>
    <w:rsid w:val="00EC6DBA"/>
    <w:rsid w:val="00EE34FD"/>
    <w:rsid w:val="00EF3195"/>
    <w:rsid w:val="00F062FB"/>
    <w:rsid w:val="00F13240"/>
    <w:rsid w:val="00F16585"/>
    <w:rsid w:val="00F35243"/>
    <w:rsid w:val="00F533E0"/>
    <w:rsid w:val="00F56785"/>
    <w:rsid w:val="00F65ABC"/>
    <w:rsid w:val="00F678E2"/>
    <w:rsid w:val="00F87984"/>
    <w:rsid w:val="00FA0F02"/>
    <w:rsid w:val="00FA1FB5"/>
    <w:rsid w:val="00FE5DE0"/>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9CBB3"/>
  <w15:chartTrackingRefBased/>
  <w15:docId w15:val="{4E21CA10-96D4-46A2-8BA7-154F6AE6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183"/>
    <w:rPr>
      <w:rFonts w:eastAsiaTheme="majorEastAsia" w:cstheme="majorBidi"/>
      <w:color w:val="272727" w:themeColor="text1" w:themeTint="D8"/>
    </w:rPr>
  </w:style>
  <w:style w:type="paragraph" w:styleId="Title">
    <w:name w:val="Title"/>
    <w:basedOn w:val="Normal"/>
    <w:next w:val="Normal"/>
    <w:link w:val="TitleChar"/>
    <w:uiPriority w:val="10"/>
    <w:qFormat/>
    <w:rsid w:val="00456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183"/>
    <w:pPr>
      <w:spacing w:before="160"/>
      <w:jc w:val="center"/>
    </w:pPr>
    <w:rPr>
      <w:i/>
      <w:iCs/>
      <w:color w:val="404040" w:themeColor="text1" w:themeTint="BF"/>
    </w:rPr>
  </w:style>
  <w:style w:type="character" w:customStyle="1" w:styleId="QuoteChar">
    <w:name w:val="Quote Char"/>
    <w:basedOn w:val="DefaultParagraphFont"/>
    <w:link w:val="Quote"/>
    <w:uiPriority w:val="29"/>
    <w:rsid w:val="00456183"/>
    <w:rPr>
      <w:i/>
      <w:iCs/>
      <w:color w:val="404040" w:themeColor="text1" w:themeTint="BF"/>
    </w:rPr>
  </w:style>
  <w:style w:type="paragraph" w:styleId="ListParagraph">
    <w:name w:val="List Paragraph"/>
    <w:basedOn w:val="Normal"/>
    <w:uiPriority w:val="34"/>
    <w:qFormat/>
    <w:rsid w:val="00456183"/>
    <w:pPr>
      <w:ind w:left="720"/>
      <w:contextualSpacing/>
    </w:pPr>
  </w:style>
  <w:style w:type="character" w:styleId="IntenseEmphasis">
    <w:name w:val="Intense Emphasis"/>
    <w:basedOn w:val="DefaultParagraphFont"/>
    <w:uiPriority w:val="21"/>
    <w:qFormat/>
    <w:rsid w:val="00456183"/>
    <w:rPr>
      <w:i/>
      <w:iCs/>
      <w:color w:val="0F4761" w:themeColor="accent1" w:themeShade="BF"/>
    </w:rPr>
  </w:style>
  <w:style w:type="paragraph" w:styleId="IntenseQuote">
    <w:name w:val="Intense Quote"/>
    <w:basedOn w:val="Normal"/>
    <w:next w:val="Normal"/>
    <w:link w:val="IntenseQuoteChar"/>
    <w:uiPriority w:val="30"/>
    <w:qFormat/>
    <w:rsid w:val="00456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183"/>
    <w:rPr>
      <w:i/>
      <w:iCs/>
      <w:color w:val="0F4761" w:themeColor="accent1" w:themeShade="BF"/>
    </w:rPr>
  </w:style>
  <w:style w:type="character" w:styleId="IntenseReference">
    <w:name w:val="Intense Reference"/>
    <w:basedOn w:val="DefaultParagraphFont"/>
    <w:uiPriority w:val="32"/>
    <w:qFormat/>
    <w:rsid w:val="00456183"/>
    <w:rPr>
      <w:b/>
      <w:bCs/>
      <w:smallCaps/>
      <w:color w:val="0F4761" w:themeColor="accent1" w:themeShade="BF"/>
      <w:spacing w:val="5"/>
    </w:rPr>
  </w:style>
  <w:style w:type="paragraph" w:styleId="NormalWeb">
    <w:name w:val="Normal (Web)"/>
    <w:basedOn w:val="Normal"/>
    <w:uiPriority w:val="99"/>
    <w:semiHidden/>
    <w:unhideWhenUsed/>
    <w:rsid w:val="00CD2593"/>
    <w:pPr>
      <w:spacing w:before="100" w:beforeAutospacing="1" w:after="100" w:afterAutospacing="1" w:line="240" w:lineRule="auto"/>
    </w:pPr>
    <w:rPr>
      <w:rFonts w:ascii="Times New Roman" w:eastAsia="Times New Roman" w:hAnsi="Times New Roman" w:cs="Times New Roman"/>
      <w:sz w:val="24"/>
      <w:szCs w:val="24"/>
      <w:lang w:eastAsia="en-BE"/>
    </w:rPr>
  </w:style>
  <w:style w:type="character" w:styleId="HTMLCode">
    <w:name w:val="HTML Code"/>
    <w:basedOn w:val="DefaultParagraphFont"/>
    <w:uiPriority w:val="99"/>
    <w:semiHidden/>
    <w:unhideWhenUsed/>
    <w:rsid w:val="00CD2593"/>
    <w:rPr>
      <w:rFonts w:ascii="Courier New" w:eastAsia="Times New Roman" w:hAnsi="Courier New" w:cs="Courier New"/>
      <w:sz w:val="20"/>
      <w:szCs w:val="20"/>
    </w:rPr>
  </w:style>
  <w:style w:type="paragraph" w:customStyle="1" w:styleId="code">
    <w:name w:val="code"/>
    <w:basedOn w:val="Normal"/>
    <w:link w:val="codeChar"/>
    <w:rsid w:val="00BE2A5E"/>
  </w:style>
  <w:style w:type="character" w:customStyle="1" w:styleId="codeChar">
    <w:name w:val="code Char"/>
    <w:basedOn w:val="DefaultParagraphFont"/>
    <w:link w:val="code"/>
    <w:rsid w:val="00BE2A5E"/>
    <w:rPr>
      <w:lang w:val="en-BE"/>
    </w:rPr>
  </w:style>
  <w:style w:type="paragraph" w:customStyle="1" w:styleId="cod">
    <w:name w:val="cod"/>
    <w:basedOn w:val="code"/>
    <w:link w:val="codChar"/>
    <w:qFormat/>
    <w:rsid w:val="00BE2A5E"/>
    <w:rPr>
      <w:rFonts w:ascii="Courier New" w:hAnsi="Courier New" w:cs="Courier New"/>
      <w:sz w:val="20"/>
      <w:szCs w:val="20"/>
    </w:rPr>
  </w:style>
  <w:style w:type="character" w:customStyle="1" w:styleId="codChar">
    <w:name w:val="cod Char"/>
    <w:basedOn w:val="codeChar"/>
    <w:link w:val="cod"/>
    <w:rsid w:val="00BE2A5E"/>
    <w:rPr>
      <w:rFonts w:ascii="Courier New" w:hAnsi="Courier New" w:cs="Courier New"/>
      <w:sz w:val="20"/>
      <w:szCs w:val="20"/>
      <w:lang w:val="en-BE"/>
    </w:rPr>
  </w:style>
  <w:style w:type="character" w:styleId="Hyperlink">
    <w:name w:val="Hyperlink"/>
    <w:basedOn w:val="DefaultParagraphFont"/>
    <w:uiPriority w:val="99"/>
    <w:unhideWhenUsed/>
    <w:rsid w:val="00D24C7B"/>
    <w:rPr>
      <w:color w:val="467886" w:themeColor="hyperlink"/>
      <w:u w:val="single"/>
    </w:rPr>
  </w:style>
  <w:style w:type="character" w:styleId="UnresolvedMention">
    <w:name w:val="Unresolved Mention"/>
    <w:basedOn w:val="DefaultParagraphFont"/>
    <w:uiPriority w:val="99"/>
    <w:semiHidden/>
    <w:unhideWhenUsed/>
    <w:rsid w:val="00D24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66130">
      <w:bodyDiv w:val="1"/>
      <w:marLeft w:val="0"/>
      <w:marRight w:val="0"/>
      <w:marTop w:val="0"/>
      <w:marBottom w:val="0"/>
      <w:divBdr>
        <w:top w:val="none" w:sz="0" w:space="0" w:color="auto"/>
        <w:left w:val="none" w:sz="0" w:space="0" w:color="auto"/>
        <w:bottom w:val="none" w:sz="0" w:space="0" w:color="auto"/>
        <w:right w:val="none" w:sz="0" w:space="0" w:color="auto"/>
      </w:divBdr>
    </w:div>
    <w:div w:id="286666985">
      <w:bodyDiv w:val="1"/>
      <w:marLeft w:val="0"/>
      <w:marRight w:val="0"/>
      <w:marTop w:val="0"/>
      <w:marBottom w:val="0"/>
      <w:divBdr>
        <w:top w:val="none" w:sz="0" w:space="0" w:color="auto"/>
        <w:left w:val="none" w:sz="0" w:space="0" w:color="auto"/>
        <w:bottom w:val="none" w:sz="0" w:space="0" w:color="auto"/>
        <w:right w:val="none" w:sz="0" w:space="0" w:color="auto"/>
      </w:divBdr>
    </w:div>
    <w:div w:id="626934009">
      <w:bodyDiv w:val="1"/>
      <w:marLeft w:val="0"/>
      <w:marRight w:val="0"/>
      <w:marTop w:val="0"/>
      <w:marBottom w:val="0"/>
      <w:divBdr>
        <w:top w:val="none" w:sz="0" w:space="0" w:color="auto"/>
        <w:left w:val="none" w:sz="0" w:space="0" w:color="auto"/>
        <w:bottom w:val="none" w:sz="0" w:space="0" w:color="auto"/>
        <w:right w:val="none" w:sz="0" w:space="0" w:color="auto"/>
      </w:divBdr>
    </w:div>
    <w:div w:id="672490403">
      <w:bodyDiv w:val="1"/>
      <w:marLeft w:val="0"/>
      <w:marRight w:val="0"/>
      <w:marTop w:val="0"/>
      <w:marBottom w:val="0"/>
      <w:divBdr>
        <w:top w:val="none" w:sz="0" w:space="0" w:color="auto"/>
        <w:left w:val="none" w:sz="0" w:space="0" w:color="auto"/>
        <w:bottom w:val="none" w:sz="0" w:space="0" w:color="auto"/>
        <w:right w:val="none" w:sz="0" w:space="0" w:color="auto"/>
      </w:divBdr>
    </w:div>
    <w:div w:id="739792793">
      <w:bodyDiv w:val="1"/>
      <w:marLeft w:val="0"/>
      <w:marRight w:val="0"/>
      <w:marTop w:val="0"/>
      <w:marBottom w:val="0"/>
      <w:divBdr>
        <w:top w:val="none" w:sz="0" w:space="0" w:color="auto"/>
        <w:left w:val="none" w:sz="0" w:space="0" w:color="auto"/>
        <w:bottom w:val="none" w:sz="0" w:space="0" w:color="auto"/>
        <w:right w:val="none" w:sz="0" w:space="0" w:color="auto"/>
      </w:divBdr>
    </w:div>
    <w:div w:id="747003758">
      <w:bodyDiv w:val="1"/>
      <w:marLeft w:val="0"/>
      <w:marRight w:val="0"/>
      <w:marTop w:val="0"/>
      <w:marBottom w:val="0"/>
      <w:divBdr>
        <w:top w:val="none" w:sz="0" w:space="0" w:color="auto"/>
        <w:left w:val="none" w:sz="0" w:space="0" w:color="auto"/>
        <w:bottom w:val="none" w:sz="0" w:space="0" w:color="auto"/>
        <w:right w:val="none" w:sz="0" w:space="0" w:color="auto"/>
      </w:divBdr>
    </w:div>
    <w:div w:id="754321089">
      <w:bodyDiv w:val="1"/>
      <w:marLeft w:val="0"/>
      <w:marRight w:val="0"/>
      <w:marTop w:val="0"/>
      <w:marBottom w:val="0"/>
      <w:divBdr>
        <w:top w:val="none" w:sz="0" w:space="0" w:color="auto"/>
        <w:left w:val="none" w:sz="0" w:space="0" w:color="auto"/>
        <w:bottom w:val="none" w:sz="0" w:space="0" w:color="auto"/>
        <w:right w:val="none" w:sz="0" w:space="0" w:color="auto"/>
      </w:divBdr>
      <w:divsChild>
        <w:div w:id="907228462">
          <w:marLeft w:val="0"/>
          <w:marRight w:val="0"/>
          <w:marTop w:val="0"/>
          <w:marBottom w:val="0"/>
          <w:divBdr>
            <w:top w:val="none" w:sz="0" w:space="0" w:color="auto"/>
            <w:left w:val="none" w:sz="0" w:space="0" w:color="auto"/>
            <w:bottom w:val="none" w:sz="0" w:space="0" w:color="auto"/>
            <w:right w:val="none" w:sz="0" w:space="0" w:color="auto"/>
          </w:divBdr>
          <w:divsChild>
            <w:div w:id="1501385361">
              <w:marLeft w:val="0"/>
              <w:marRight w:val="0"/>
              <w:marTop w:val="0"/>
              <w:marBottom w:val="0"/>
              <w:divBdr>
                <w:top w:val="none" w:sz="0" w:space="0" w:color="auto"/>
                <w:left w:val="none" w:sz="0" w:space="0" w:color="auto"/>
                <w:bottom w:val="none" w:sz="0" w:space="0" w:color="auto"/>
                <w:right w:val="none" w:sz="0" w:space="0" w:color="auto"/>
              </w:divBdr>
              <w:divsChild>
                <w:div w:id="1009719884">
                  <w:marLeft w:val="0"/>
                  <w:marRight w:val="0"/>
                  <w:marTop w:val="0"/>
                  <w:marBottom w:val="0"/>
                  <w:divBdr>
                    <w:top w:val="none" w:sz="0" w:space="0" w:color="auto"/>
                    <w:left w:val="none" w:sz="0" w:space="0" w:color="auto"/>
                    <w:bottom w:val="none" w:sz="0" w:space="0" w:color="auto"/>
                    <w:right w:val="none" w:sz="0" w:space="0" w:color="auto"/>
                  </w:divBdr>
                  <w:divsChild>
                    <w:div w:id="257062925">
                      <w:marLeft w:val="0"/>
                      <w:marRight w:val="0"/>
                      <w:marTop w:val="0"/>
                      <w:marBottom w:val="0"/>
                      <w:divBdr>
                        <w:top w:val="none" w:sz="0" w:space="0" w:color="auto"/>
                        <w:left w:val="none" w:sz="0" w:space="0" w:color="auto"/>
                        <w:bottom w:val="none" w:sz="0" w:space="0" w:color="auto"/>
                        <w:right w:val="none" w:sz="0" w:space="0" w:color="auto"/>
                      </w:divBdr>
                      <w:divsChild>
                        <w:div w:id="629016417">
                          <w:marLeft w:val="0"/>
                          <w:marRight w:val="0"/>
                          <w:marTop w:val="0"/>
                          <w:marBottom w:val="0"/>
                          <w:divBdr>
                            <w:top w:val="none" w:sz="0" w:space="0" w:color="auto"/>
                            <w:left w:val="none" w:sz="0" w:space="0" w:color="auto"/>
                            <w:bottom w:val="none" w:sz="0" w:space="0" w:color="auto"/>
                            <w:right w:val="none" w:sz="0" w:space="0" w:color="auto"/>
                          </w:divBdr>
                          <w:divsChild>
                            <w:div w:id="626396452">
                              <w:marLeft w:val="0"/>
                              <w:marRight w:val="0"/>
                              <w:marTop w:val="0"/>
                              <w:marBottom w:val="0"/>
                              <w:divBdr>
                                <w:top w:val="none" w:sz="0" w:space="0" w:color="auto"/>
                                <w:left w:val="none" w:sz="0" w:space="0" w:color="auto"/>
                                <w:bottom w:val="none" w:sz="0" w:space="0" w:color="auto"/>
                                <w:right w:val="none" w:sz="0" w:space="0" w:color="auto"/>
                              </w:divBdr>
                              <w:divsChild>
                                <w:div w:id="1709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559840">
      <w:bodyDiv w:val="1"/>
      <w:marLeft w:val="0"/>
      <w:marRight w:val="0"/>
      <w:marTop w:val="0"/>
      <w:marBottom w:val="0"/>
      <w:divBdr>
        <w:top w:val="none" w:sz="0" w:space="0" w:color="auto"/>
        <w:left w:val="none" w:sz="0" w:space="0" w:color="auto"/>
        <w:bottom w:val="none" w:sz="0" w:space="0" w:color="auto"/>
        <w:right w:val="none" w:sz="0" w:space="0" w:color="auto"/>
      </w:divBdr>
    </w:div>
    <w:div w:id="945574991">
      <w:bodyDiv w:val="1"/>
      <w:marLeft w:val="0"/>
      <w:marRight w:val="0"/>
      <w:marTop w:val="0"/>
      <w:marBottom w:val="0"/>
      <w:divBdr>
        <w:top w:val="none" w:sz="0" w:space="0" w:color="auto"/>
        <w:left w:val="none" w:sz="0" w:space="0" w:color="auto"/>
        <w:bottom w:val="none" w:sz="0" w:space="0" w:color="auto"/>
        <w:right w:val="none" w:sz="0" w:space="0" w:color="auto"/>
      </w:divBdr>
    </w:div>
    <w:div w:id="990718608">
      <w:bodyDiv w:val="1"/>
      <w:marLeft w:val="0"/>
      <w:marRight w:val="0"/>
      <w:marTop w:val="0"/>
      <w:marBottom w:val="0"/>
      <w:divBdr>
        <w:top w:val="none" w:sz="0" w:space="0" w:color="auto"/>
        <w:left w:val="none" w:sz="0" w:space="0" w:color="auto"/>
        <w:bottom w:val="none" w:sz="0" w:space="0" w:color="auto"/>
        <w:right w:val="none" w:sz="0" w:space="0" w:color="auto"/>
      </w:divBdr>
    </w:div>
    <w:div w:id="1113667004">
      <w:bodyDiv w:val="1"/>
      <w:marLeft w:val="0"/>
      <w:marRight w:val="0"/>
      <w:marTop w:val="0"/>
      <w:marBottom w:val="0"/>
      <w:divBdr>
        <w:top w:val="none" w:sz="0" w:space="0" w:color="auto"/>
        <w:left w:val="none" w:sz="0" w:space="0" w:color="auto"/>
        <w:bottom w:val="none" w:sz="0" w:space="0" w:color="auto"/>
        <w:right w:val="none" w:sz="0" w:space="0" w:color="auto"/>
      </w:divBdr>
      <w:divsChild>
        <w:div w:id="187374375">
          <w:marLeft w:val="0"/>
          <w:marRight w:val="0"/>
          <w:marTop w:val="0"/>
          <w:marBottom w:val="0"/>
          <w:divBdr>
            <w:top w:val="none" w:sz="0" w:space="0" w:color="auto"/>
            <w:left w:val="none" w:sz="0" w:space="0" w:color="auto"/>
            <w:bottom w:val="none" w:sz="0" w:space="0" w:color="auto"/>
            <w:right w:val="none" w:sz="0" w:space="0" w:color="auto"/>
          </w:divBdr>
          <w:divsChild>
            <w:div w:id="377509447">
              <w:marLeft w:val="0"/>
              <w:marRight w:val="0"/>
              <w:marTop w:val="0"/>
              <w:marBottom w:val="0"/>
              <w:divBdr>
                <w:top w:val="none" w:sz="0" w:space="0" w:color="auto"/>
                <w:left w:val="none" w:sz="0" w:space="0" w:color="auto"/>
                <w:bottom w:val="none" w:sz="0" w:space="0" w:color="auto"/>
                <w:right w:val="none" w:sz="0" w:space="0" w:color="auto"/>
              </w:divBdr>
              <w:divsChild>
                <w:div w:id="663553155">
                  <w:marLeft w:val="0"/>
                  <w:marRight w:val="0"/>
                  <w:marTop w:val="0"/>
                  <w:marBottom w:val="0"/>
                  <w:divBdr>
                    <w:top w:val="none" w:sz="0" w:space="0" w:color="auto"/>
                    <w:left w:val="none" w:sz="0" w:space="0" w:color="auto"/>
                    <w:bottom w:val="none" w:sz="0" w:space="0" w:color="auto"/>
                    <w:right w:val="none" w:sz="0" w:space="0" w:color="auto"/>
                  </w:divBdr>
                  <w:divsChild>
                    <w:div w:id="1578631489">
                      <w:marLeft w:val="0"/>
                      <w:marRight w:val="0"/>
                      <w:marTop w:val="0"/>
                      <w:marBottom w:val="0"/>
                      <w:divBdr>
                        <w:top w:val="none" w:sz="0" w:space="0" w:color="auto"/>
                        <w:left w:val="none" w:sz="0" w:space="0" w:color="auto"/>
                        <w:bottom w:val="none" w:sz="0" w:space="0" w:color="auto"/>
                        <w:right w:val="none" w:sz="0" w:space="0" w:color="auto"/>
                      </w:divBdr>
                      <w:divsChild>
                        <w:div w:id="18242142">
                          <w:marLeft w:val="0"/>
                          <w:marRight w:val="0"/>
                          <w:marTop w:val="0"/>
                          <w:marBottom w:val="0"/>
                          <w:divBdr>
                            <w:top w:val="none" w:sz="0" w:space="0" w:color="auto"/>
                            <w:left w:val="none" w:sz="0" w:space="0" w:color="auto"/>
                            <w:bottom w:val="none" w:sz="0" w:space="0" w:color="auto"/>
                            <w:right w:val="none" w:sz="0" w:space="0" w:color="auto"/>
                          </w:divBdr>
                          <w:divsChild>
                            <w:div w:id="313922531">
                              <w:marLeft w:val="0"/>
                              <w:marRight w:val="0"/>
                              <w:marTop w:val="0"/>
                              <w:marBottom w:val="0"/>
                              <w:divBdr>
                                <w:top w:val="none" w:sz="0" w:space="0" w:color="auto"/>
                                <w:left w:val="none" w:sz="0" w:space="0" w:color="auto"/>
                                <w:bottom w:val="none" w:sz="0" w:space="0" w:color="auto"/>
                                <w:right w:val="none" w:sz="0" w:space="0" w:color="auto"/>
                              </w:divBdr>
                              <w:divsChild>
                                <w:div w:id="4307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861104">
      <w:bodyDiv w:val="1"/>
      <w:marLeft w:val="0"/>
      <w:marRight w:val="0"/>
      <w:marTop w:val="0"/>
      <w:marBottom w:val="0"/>
      <w:divBdr>
        <w:top w:val="none" w:sz="0" w:space="0" w:color="auto"/>
        <w:left w:val="none" w:sz="0" w:space="0" w:color="auto"/>
        <w:bottom w:val="none" w:sz="0" w:space="0" w:color="auto"/>
        <w:right w:val="none" w:sz="0" w:space="0" w:color="auto"/>
      </w:divBdr>
      <w:divsChild>
        <w:div w:id="524371441">
          <w:marLeft w:val="0"/>
          <w:marRight w:val="0"/>
          <w:marTop w:val="0"/>
          <w:marBottom w:val="0"/>
          <w:divBdr>
            <w:top w:val="none" w:sz="0" w:space="0" w:color="auto"/>
            <w:left w:val="none" w:sz="0" w:space="0" w:color="auto"/>
            <w:bottom w:val="none" w:sz="0" w:space="0" w:color="auto"/>
            <w:right w:val="none" w:sz="0" w:space="0" w:color="auto"/>
          </w:divBdr>
          <w:divsChild>
            <w:div w:id="353271751">
              <w:marLeft w:val="0"/>
              <w:marRight w:val="0"/>
              <w:marTop w:val="0"/>
              <w:marBottom w:val="0"/>
              <w:divBdr>
                <w:top w:val="none" w:sz="0" w:space="0" w:color="auto"/>
                <w:left w:val="none" w:sz="0" w:space="0" w:color="auto"/>
                <w:bottom w:val="none" w:sz="0" w:space="0" w:color="auto"/>
                <w:right w:val="none" w:sz="0" w:space="0" w:color="auto"/>
              </w:divBdr>
              <w:divsChild>
                <w:div w:id="399257033">
                  <w:marLeft w:val="0"/>
                  <w:marRight w:val="0"/>
                  <w:marTop w:val="0"/>
                  <w:marBottom w:val="0"/>
                  <w:divBdr>
                    <w:top w:val="none" w:sz="0" w:space="0" w:color="auto"/>
                    <w:left w:val="none" w:sz="0" w:space="0" w:color="auto"/>
                    <w:bottom w:val="none" w:sz="0" w:space="0" w:color="auto"/>
                    <w:right w:val="none" w:sz="0" w:space="0" w:color="auto"/>
                  </w:divBdr>
                  <w:divsChild>
                    <w:div w:id="677851480">
                      <w:marLeft w:val="0"/>
                      <w:marRight w:val="0"/>
                      <w:marTop w:val="0"/>
                      <w:marBottom w:val="0"/>
                      <w:divBdr>
                        <w:top w:val="none" w:sz="0" w:space="0" w:color="auto"/>
                        <w:left w:val="none" w:sz="0" w:space="0" w:color="auto"/>
                        <w:bottom w:val="none" w:sz="0" w:space="0" w:color="auto"/>
                        <w:right w:val="none" w:sz="0" w:space="0" w:color="auto"/>
                      </w:divBdr>
                      <w:divsChild>
                        <w:div w:id="1998339471">
                          <w:marLeft w:val="0"/>
                          <w:marRight w:val="0"/>
                          <w:marTop w:val="0"/>
                          <w:marBottom w:val="0"/>
                          <w:divBdr>
                            <w:top w:val="none" w:sz="0" w:space="0" w:color="auto"/>
                            <w:left w:val="none" w:sz="0" w:space="0" w:color="auto"/>
                            <w:bottom w:val="none" w:sz="0" w:space="0" w:color="auto"/>
                            <w:right w:val="none" w:sz="0" w:space="0" w:color="auto"/>
                          </w:divBdr>
                          <w:divsChild>
                            <w:div w:id="858737032">
                              <w:marLeft w:val="0"/>
                              <w:marRight w:val="0"/>
                              <w:marTop w:val="0"/>
                              <w:marBottom w:val="0"/>
                              <w:divBdr>
                                <w:top w:val="none" w:sz="0" w:space="0" w:color="auto"/>
                                <w:left w:val="none" w:sz="0" w:space="0" w:color="auto"/>
                                <w:bottom w:val="none" w:sz="0" w:space="0" w:color="auto"/>
                                <w:right w:val="none" w:sz="0" w:space="0" w:color="auto"/>
                              </w:divBdr>
                              <w:divsChild>
                                <w:div w:id="1479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290401">
      <w:bodyDiv w:val="1"/>
      <w:marLeft w:val="0"/>
      <w:marRight w:val="0"/>
      <w:marTop w:val="0"/>
      <w:marBottom w:val="0"/>
      <w:divBdr>
        <w:top w:val="none" w:sz="0" w:space="0" w:color="auto"/>
        <w:left w:val="none" w:sz="0" w:space="0" w:color="auto"/>
        <w:bottom w:val="none" w:sz="0" w:space="0" w:color="auto"/>
        <w:right w:val="none" w:sz="0" w:space="0" w:color="auto"/>
      </w:divBdr>
    </w:div>
    <w:div w:id="1303118697">
      <w:bodyDiv w:val="1"/>
      <w:marLeft w:val="0"/>
      <w:marRight w:val="0"/>
      <w:marTop w:val="0"/>
      <w:marBottom w:val="0"/>
      <w:divBdr>
        <w:top w:val="none" w:sz="0" w:space="0" w:color="auto"/>
        <w:left w:val="none" w:sz="0" w:space="0" w:color="auto"/>
        <w:bottom w:val="none" w:sz="0" w:space="0" w:color="auto"/>
        <w:right w:val="none" w:sz="0" w:space="0" w:color="auto"/>
      </w:divBdr>
    </w:div>
    <w:div w:id="1414619966">
      <w:bodyDiv w:val="1"/>
      <w:marLeft w:val="0"/>
      <w:marRight w:val="0"/>
      <w:marTop w:val="0"/>
      <w:marBottom w:val="0"/>
      <w:divBdr>
        <w:top w:val="none" w:sz="0" w:space="0" w:color="auto"/>
        <w:left w:val="none" w:sz="0" w:space="0" w:color="auto"/>
        <w:bottom w:val="none" w:sz="0" w:space="0" w:color="auto"/>
        <w:right w:val="none" w:sz="0" w:space="0" w:color="auto"/>
      </w:divBdr>
    </w:div>
    <w:div w:id="1512378492">
      <w:bodyDiv w:val="1"/>
      <w:marLeft w:val="0"/>
      <w:marRight w:val="0"/>
      <w:marTop w:val="0"/>
      <w:marBottom w:val="0"/>
      <w:divBdr>
        <w:top w:val="none" w:sz="0" w:space="0" w:color="auto"/>
        <w:left w:val="none" w:sz="0" w:space="0" w:color="auto"/>
        <w:bottom w:val="none" w:sz="0" w:space="0" w:color="auto"/>
        <w:right w:val="none" w:sz="0" w:space="0" w:color="auto"/>
      </w:divBdr>
    </w:div>
    <w:div w:id="1575317171">
      <w:bodyDiv w:val="1"/>
      <w:marLeft w:val="0"/>
      <w:marRight w:val="0"/>
      <w:marTop w:val="0"/>
      <w:marBottom w:val="0"/>
      <w:divBdr>
        <w:top w:val="none" w:sz="0" w:space="0" w:color="auto"/>
        <w:left w:val="none" w:sz="0" w:space="0" w:color="auto"/>
        <w:bottom w:val="none" w:sz="0" w:space="0" w:color="auto"/>
        <w:right w:val="none" w:sz="0" w:space="0" w:color="auto"/>
      </w:divBdr>
    </w:div>
    <w:div w:id="1647122013">
      <w:bodyDiv w:val="1"/>
      <w:marLeft w:val="0"/>
      <w:marRight w:val="0"/>
      <w:marTop w:val="0"/>
      <w:marBottom w:val="0"/>
      <w:divBdr>
        <w:top w:val="none" w:sz="0" w:space="0" w:color="auto"/>
        <w:left w:val="none" w:sz="0" w:space="0" w:color="auto"/>
        <w:bottom w:val="none" w:sz="0" w:space="0" w:color="auto"/>
        <w:right w:val="none" w:sz="0" w:space="0" w:color="auto"/>
      </w:divBdr>
      <w:divsChild>
        <w:div w:id="527137536">
          <w:marLeft w:val="0"/>
          <w:marRight w:val="0"/>
          <w:marTop w:val="0"/>
          <w:marBottom w:val="0"/>
          <w:divBdr>
            <w:top w:val="none" w:sz="0" w:space="0" w:color="auto"/>
            <w:left w:val="none" w:sz="0" w:space="0" w:color="auto"/>
            <w:bottom w:val="none" w:sz="0" w:space="0" w:color="auto"/>
            <w:right w:val="none" w:sz="0" w:space="0" w:color="auto"/>
          </w:divBdr>
          <w:divsChild>
            <w:div w:id="1781802027">
              <w:marLeft w:val="0"/>
              <w:marRight w:val="0"/>
              <w:marTop w:val="0"/>
              <w:marBottom w:val="0"/>
              <w:divBdr>
                <w:top w:val="none" w:sz="0" w:space="0" w:color="auto"/>
                <w:left w:val="none" w:sz="0" w:space="0" w:color="auto"/>
                <w:bottom w:val="none" w:sz="0" w:space="0" w:color="auto"/>
                <w:right w:val="none" w:sz="0" w:space="0" w:color="auto"/>
              </w:divBdr>
              <w:divsChild>
                <w:div w:id="1590306601">
                  <w:marLeft w:val="0"/>
                  <w:marRight w:val="0"/>
                  <w:marTop w:val="0"/>
                  <w:marBottom w:val="0"/>
                  <w:divBdr>
                    <w:top w:val="none" w:sz="0" w:space="0" w:color="auto"/>
                    <w:left w:val="none" w:sz="0" w:space="0" w:color="auto"/>
                    <w:bottom w:val="none" w:sz="0" w:space="0" w:color="auto"/>
                    <w:right w:val="none" w:sz="0" w:space="0" w:color="auto"/>
                  </w:divBdr>
                  <w:divsChild>
                    <w:div w:id="369889026">
                      <w:marLeft w:val="0"/>
                      <w:marRight w:val="0"/>
                      <w:marTop w:val="0"/>
                      <w:marBottom w:val="0"/>
                      <w:divBdr>
                        <w:top w:val="none" w:sz="0" w:space="0" w:color="auto"/>
                        <w:left w:val="none" w:sz="0" w:space="0" w:color="auto"/>
                        <w:bottom w:val="none" w:sz="0" w:space="0" w:color="auto"/>
                        <w:right w:val="none" w:sz="0" w:space="0" w:color="auto"/>
                      </w:divBdr>
                      <w:divsChild>
                        <w:div w:id="1005715827">
                          <w:marLeft w:val="0"/>
                          <w:marRight w:val="0"/>
                          <w:marTop w:val="0"/>
                          <w:marBottom w:val="0"/>
                          <w:divBdr>
                            <w:top w:val="none" w:sz="0" w:space="0" w:color="auto"/>
                            <w:left w:val="none" w:sz="0" w:space="0" w:color="auto"/>
                            <w:bottom w:val="none" w:sz="0" w:space="0" w:color="auto"/>
                            <w:right w:val="none" w:sz="0" w:space="0" w:color="auto"/>
                          </w:divBdr>
                          <w:divsChild>
                            <w:div w:id="181363227">
                              <w:marLeft w:val="0"/>
                              <w:marRight w:val="0"/>
                              <w:marTop w:val="0"/>
                              <w:marBottom w:val="0"/>
                              <w:divBdr>
                                <w:top w:val="none" w:sz="0" w:space="0" w:color="auto"/>
                                <w:left w:val="none" w:sz="0" w:space="0" w:color="auto"/>
                                <w:bottom w:val="none" w:sz="0" w:space="0" w:color="auto"/>
                                <w:right w:val="none" w:sz="0" w:space="0" w:color="auto"/>
                              </w:divBdr>
                              <w:divsChild>
                                <w:div w:id="11275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166018">
      <w:bodyDiv w:val="1"/>
      <w:marLeft w:val="0"/>
      <w:marRight w:val="0"/>
      <w:marTop w:val="0"/>
      <w:marBottom w:val="0"/>
      <w:divBdr>
        <w:top w:val="none" w:sz="0" w:space="0" w:color="auto"/>
        <w:left w:val="none" w:sz="0" w:space="0" w:color="auto"/>
        <w:bottom w:val="none" w:sz="0" w:space="0" w:color="auto"/>
        <w:right w:val="none" w:sz="0" w:space="0" w:color="auto"/>
      </w:divBdr>
      <w:divsChild>
        <w:div w:id="759065530">
          <w:marLeft w:val="0"/>
          <w:marRight w:val="0"/>
          <w:marTop w:val="0"/>
          <w:marBottom w:val="0"/>
          <w:divBdr>
            <w:top w:val="none" w:sz="0" w:space="0" w:color="auto"/>
            <w:left w:val="none" w:sz="0" w:space="0" w:color="auto"/>
            <w:bottom w:val="none" w:sz="0" w:space="0" w:color="auto"/>
            <w:right w:val="none" w:sz="0" w:space="0" w:color="auto"/>
          </w:divBdr>
          <w:divsChild>
            <w:div w:id="1768891929">
              <w:marLeft w:val="0"/>
              <w:marRight w:val="0"/>
              <w:marTop w:val="0"/>
              <w:marBottom w:val="0"/>
              <w:divBdr>
                <w:top w:val="none" w:sz="0" w:space="0" w:color="auto"/>
                <w:left w:val="none" w:sz="0" w:space="0" w:color="auto"/>
                <w:bottom w:val="none" w:sz="0" w:space="0" w:color="auto"/>
                <w:right w:val="none" w:sz="0" w:space="0" w:color="auto"/>
              </w:divBdr>
              <w:divsChild>
                <w:div w:id="1418863815">
                  <w:marLeft w:val="0"/>
                  <w:marRight w:val="0"/>
                  <w:marTop w:val="0"/>
                  <w:marBottom w:val="0"/>
                  <w:divBdr>
                    <w:top w:val="none" w:sz="0" w:space="0" w:color="auto"/>
                    <w:left w:val="none" w:sz="0" w:space="0" w:color="auto"/>
                    <w:bottom w:val="none" w:sz="0" w:space="0" w:color="auto"/>
                    <w:right w:val="none" w:sz="0" w:space="0" w:color="auto"/>
                  </w:divBdr>
                  <w:divsChild>
                    <w:div w:id="2095781101">
                      <w:marLeft w:val="0"/>
                      <w:marRight w:val="0"/>
                      <w:marTop w:val="0"/>
                      <w:marBottom w:val="0"/>
                      <w:divBdr>
                        <w:top w:val="none" w:sz="0" w:space="0" w:color="auto"/>
                        <w:left w:val="none" w:sz="0" w:space="0" w:color="auto"/>
                        <w:bottom w:val="none" w:sz="0" w:space="0" w:color="auto"/>
                        <w:right w:val="none" w:sz="0" w:space="0" w:color="auto"/>
                      </w:divBdr>
                      <w:divsChild>
                        <w:div w:id="1751468130">
                          <w:marLeft w:val="0"/>
                          <w:marRight w:val="0"/>
                          <w:marTop w:val="0"/>
                          <w:marBottom w:val="0"/>
                          <w:divBdr>
                            <w:top w:val="none" w:sz="0" w:space="0" w:color="auto"/>
                            <w:left w:val="none" w:sz="0" w:space="0" w:color="auto"/>
                            <w:bottom w:val="none" w:sz="0" w:space="0" w:color="auto"/>
                            <w:right w:val="none" w:sz="0" w:space="0" w:color="auto"/>
                          </w:divBdr>
                          <w:divsChild>
                            <w:div w:id="1755777935">
                              <w:marLeft w:val="0"/>
                              <w:marRight w:val="0"/>
                              <w:marTop w:val="0"/>
                              <w:marBottom w:val="0"/>
                              <w:divBdr>
                                <w:top w:val="none" w:sz="0" w:space="0" w:color="auto"/>
                                <w:left w:val="none" w:sz="0" w:space="0" w:color="auto"/>
                                <w:bottom w:val="none" w:sz="0" w:space="0" w:color="auto"/>
                                <w:right w:val="none" w:sz="0" w:space="0" w:color="auto"/>
                              </w:divBdr>
                              <w:divsChild>
                                <w:div w:id="8961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61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hyperlink" Target="https://github.com/PacktPublishing/The-Azure-Cloud-Native-Architecture-Mapbook-Second-Edition/blob/main/Chapter03/diagrams/diagrams.vsdx" TargetMode="External"/><Relationship Id="rId26" Type="http://schemas.openxmlformats.org/officeDocument/2006/relationships/image" Target="media/image9.png"/><Relationship Id="rId39" Type="http://schemas.openxmlformats.org/officeDocument/2006/relationships/image" Target="media/image15.emf"/><Relationship Id="rId21" Type="http://schemas.openxmlformats.org/officeDocument/2006/relationships/package" Target="embeddings/Microsoft_Visio_Drawing4.vsdx"/><Relationship Id="rId34" Type="http://schemas.openxmlformats.org/officeDocument/2006/relationships/image" Target="media/image13.emf"/><Relationship Id="rId42" Type="http://schemas.openxmlformats.org/officeDocument/2006/relationships/image" Target="media/image1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emf"/><Relationship Id="rId29" Type="http://schemas.openxmlformats.org/officeDocument/2006/relationships/package" Target="embeddings/Microsoft_Visio_Drawing6.vsdx"/><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image" Target="media/image7.png"/><Relationship Id="rId32" Type="http://schemas.openxmlformats.org/officeDocument/2006/relationships/hyperlink" Target="https://mystorage.blob.core.windows.net/test/test.txt" TargetMode="External"/><Relationship Id="rId37" Type="http://schemas.openxmlformats.org/officeDocument/2006/relationships/image" Target="media/image14.emf"/><Relationship Id="rId40" Type="http://schemas.openxmlformats.org/officeDocument/2006/relationships/package" Target="embeddings/Microsoft_Visio_Drawing10.vsdx"/><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github.com/stephaneey/azure-and-k8s-architecture/tree/main/availability-samples/sql" TargetMode="External"/><Relationship Id="rId23" Type="http://schemas.openxmlformats.org/officeDocument/2006/relationships/package" Target="embeddings/Microsoft_Visio_Drawing5.vsdx"/><Relationship Id="rId28" Type="http://schemas.openxmlformats.org/officeDocument/2006/relationships/image" Target="media/image11.emf"/><Relationship Id="rId36" Type="http://schemas.openxmlformats.org/officeDocument/2006/relationships/hyperlink" Target="https://mystorage.blob.core.windows.net/test/test.txt" TargetMode="External"/><Relationship Id="rId10" Type="http://schemas.openxmlformats.org/officeDocument/2006/relationships/hyperlink" Target="https://learn.microsoft.com/en-us/azure/azure-app-configuration/howto-best-practices?tabs=dotnet" TargetMode="External"/><Relationship Id="rId19" Type="http://schemas.openxmlformats.org/officeDocument/2006/relationships/hyperlink" Target="https://www.youtube.com/watch?v=dbwvhGVV3mU" TargetMode="External"/><Relationship Id="rId31" Type="http://schemas.openxmlformats.org/officeDocument/2006/relationships/package" Target="embeddings/Microsoft_Visio_Drawing7.vsdx"/><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package" Target="embeddings/Microsoft_Visio_Drawing.vsdx"/><Relationship Id="rId14" Type="http://schemas.openxmlformats.org/officeDocument/2006/relationships/package" Target="embeddings/Microsoft_Visio_Drawing2.vsdx"/><Relationship Id="rId22" Type="http://schemas.openxmlformats.org/officeDocument/2006/relationships/image" Target="media/image6.emf"/><Relationship Id="rId27" Type="http://schemas.openxmlformats.org/officeDocument/2006/relationships/image" Target="media/image10.png"/><Relationship Id="rId30" Type="http://schemas.openxmlformats.org/officeDocument/2006/relationships/image" Target="media/image12.emf"/><Relationship Id="rId35" Type="http://schemas.openxmlformats.org/officeDocument/2006/relationships/package" Target="embeddings/Microsoft_Visio_Drawing8.vsdx"/><Relationship Id="rId43" Type="http://schemas.openxmlformats.org/officeDocument/2006/relationships/image" Target="media/image18.png"/><Relationship Id="rId8" Type="http://schemas.openxmlformats.org/officeDocument/2006/relationships/image" Target="media/image1.emf"/><Relationship Id="rId3" Type="http://schemas.openxmlformats.org/officeDocument/2006/relationships/customXml" Target="../customXml/item3.xml"/><Relationship Id="rId12" Type="http://schemas.openxmlformats.org/officeDocument/2006/relationships/package" Target="embeddings/Microsoft_Visio_Drawing1.vsdx"/><Relationship Id="rId17" Type="http://schemas.openxmlformats.org/officeDocument/2006/relationships/package" Target="embeddings/Microsoft_Visio_Drawing3.vsdx"/><Relationship Id="rId25" Type="http://schemas.openxmlformats.org/officeDocument/2006/relationships/image" Target="media/image8.png"/><Relationship Id="rId33" Type="http://schemas.openxmlformats.org/officeDocument/2006/relationships/hyperlink" Target="https://mystorage-secondary.blob.core.windows.net/test/test.txt" TargetMode="External"/><Relationship Id="rId38" Type="http://schemas.openxmlformats.org/officeDocument/2006/relationships/package" Target="embeddings/Microsoft_Visio_Drawing9.vsdx"/><Relationship Id="rId20" Type="http://schemas.openxmlformats.org/officeDocument/2006/relationships/image" Target="media/image5.emf"/><Relationship Id="rId4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F96404DD11DB41900A6C6AF87E43D7" ma:contentTypeVersion="4" ma:contentTypeDescription="Create a new document." ma:contentTypeScope="" ma:versionID="0b0ac92e3baa54adf7a92566d03f2a6f">
  <xsd:schema xmlns:xsd="http://www.w3.org/2001/XMLSchema" xmlns:xs="http://www.w3.org/2001/XMLSchema" xmlns:p="http://schemas.microsoft.com/office/2006/metadata/properties" xmlns:ns3="3a987ac3-9e61-49c5-98c1-8bbe84f98d36" targetNamespace="http://schemas.microsoft.com/office/2006/metadata/properties" ma:root="true" ma:fieldsID="f77556eb7406870f3578b1f7e11f4d55" ns3:_="">
    <xsd:import namespace="3a987ac3-9e61-49c5-98c1-8bbe84f98d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87ac3-9e61-49c5-98c1-8bbe84f98d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2BCA42-5E9F-43B9-A0A9-5723DC615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87ac3-9e61-49c5-98c1-8bbe84f98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C3EBC2-74AA-42F8-AB36-1372D190F3AE}">
  <ds:schemaRefs>
    <ds:schemaRef ds:uri="http://schemas.microsoft.com/sharepoint/v3/contenttype/forms"/>
  </ds:schemaRefs>
</ds:datastoreItem>
</file>

<file path=customXml/itemProps3.xml><?xml version="1.0" encoding="utf-8"?>
<ds:datastoreItem xmlns:ds="http://schemas.openxmlformats.org/officeDocument/2006/customXml" ds:itemID="{C2615C9E-1B69-412A-8A46-98FF85609F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4017</Words>
  <Characters>22897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sponsor</dc:creator>
  <cp:keywords/>
  <dc:description/>
  <cp:lastModifiedBy>sponsor</cp:lastModifiedBy>
  <cp:revision>82</cp:revision>
  <dcterms:created xsi:type="dcterms:W3CDTF">2025-12-20T18:21:00Z</dcterms:created>
  <dcterms:modified xsi:type="dcterms:W3CDTF">2025-12-26T08:20:00Z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0x01010030F96404DD11DB41900A6C6AF87E43D7</vt:lpwstr>
  </property>
</Properties>
</file>