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E0D9" w14:textId="77777777" w:rsidR="009268C3" w:rsidRPr="00091BF9" w:rsidRDefault="00000000">
      <w:pPr>
        <w:spacing w:after="100"/>
        <w:rPr>
          <w:color w:val="000000" w:themeColor="text1"/>
        </w:rPr>
      </w:pPr>
      <w:r w:rsidRPr="00091BF9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STROBE Statement — Checklist for Observational Studies</w:t>
      </w:r>
    </w:p>
    <w:p w14:paraId="4065A2F3" w14:textId="77777777" w:rsidR="009268C3" w:rsidRDefault="00000000">
      <w:pPr>
        <w:spacing w:after="100"/>
      </w:pPr>
      <w:r>
        <w:rPr>
          <w:rFonts w:ascii="Arial" w:eastAsia="Arial" w:hAnsi="Arial" w:cs="Arial"/>
          <w:i/>
          <w:iCs/>
          <w:color w:val="444444"/>
          <w:sz w:val="18"/>
          <w:szCs w:val="18"/>
        </w:rPr>
        <w:t>Manuscript: "Contextualising Exponentially Weighted Moving Averages with Adaptive Monitoring Boundaries: A Comparison of Variance-Based and Percentile-Based Approaches in Professional Football"</w:t>
      </w:r>
    </w:p>
    <w:p w14:paraId="16290E02" w14:textId="77777777" w:rsidR="009268C3" w:rsidRDefault="00000000">
      <w:pPr>
        <w:spacing w:after="240"/>
      </w:pPr>
      <w:r>
        <w:rPr>
          <w:rFonts w:ascii="Arial" w:eastAsia="Arial" w:hAnsi="Arial" w:cs="Arial"/>
          <w:color w:val="666666"/>
          <w:sz w:val="16"/>
          <w:szCs w:val="16"/>
        </w:rPr>
        <w:t>Authors: Morin S., Thélamon F., Joubert T., Iodice P. | Journal: Science and Medicine in Football (submitted 2026)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00"/>
        <w:gridCol w:w="5800"/>
        <w:gridCol w:w="1800"/>
      </w:tblGrid>
      <w:tr w:rsidR="009268C3" w:rsidRPr="00091BF9" w14:paraId="5C0CADE4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B3260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Section/Topic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869F1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Item No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E697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Recommendation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16DB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Page</w:t>
            </w:r>
          </w:p>
        </w:tc>
      </w:tr>
      <w:tr w:rsidR="009268C3" w:rsidRPr="00091BF9" w14:paraId="2E70AD67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F7F7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</w:rPr>
              <w:t>TITLE AND ABSTRACT</w:t>
            </w:r>
          </w:p>
        </w:tc>
      </w:tr>
      <w:tr w:rsidR="009268C3" w:rsidRPr="00091BF9" w14:paraId="768DEB86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06D6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Title and abstract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FEFB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1a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DC8B6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Indicate the study's design with a commonly used term in the title or the abstract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CCAE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1 (title + abstract)</w:t>
            </w:r>
          </w:p>
        </w:tc>
      </w:tr>
      <w:tr w:rsidR="009268C3" w:rsidRPr="00091BF9" w14:paraId="73F2E8E6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7C59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482A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1b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20F7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Provide an informative and balanced summary of what was done and what was found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75ED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1 (abstract)</w:t>
            </w:r>
          </w:p>
        </w:tc>
      </w:tr>
      <w:tr w:rsidR="009268C3" w:rsidRPr="00091BF9" w14:paraId="7DC1CAD7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BDA9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</w:rPr>
              <w:t>INTRODUCTION</w:t>
            </w:r>
          </w:p>
        </w:tc>
      </w:tr>
      <w:tr w:rsidR="009268C3" w:rsidRPr="00091BF9" w14:paraId="7F33A0C5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A121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Background / rationale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2E9A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ABF4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Explain the scientific background and rationale for the investigation being reported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7998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2–3 (§1)</w:t>
            </w:r>
          </w:p>
        </w:tc>
      </w:tr>
      <w:tr w:rsidR="009268C3" w:rsidRPr="00091BF9" w14:paraId="3234FE9B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B9CA0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Objectives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49818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8ED5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State specific objectives, including any prespecified hypotheses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717A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4 (§1, last ¶)</w:t>
            </w:r>
          </w:p>
        </w:tc>
      </w:tr>
      <w:tr w:rsidR="009268C3" w:rsidRPr="00091BF9" w14:paraId="5FC2CFEA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5D5F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</w:rPr>
              <w:t>METHODS</w:t>
            </w:r>
          </w:p>
        </w:tc>
      </w:tr>
      <w:tr w:rsidR="009268C3" w:rsidRPr="00091BF9" w14:paraId="07ACFC9A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F2C02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Study design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2711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5E97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Present key elements of study design early in the paper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C8F29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4 (§2.1)</w:t>
            </w:r>
          </w:p>
        </w:tc>
      </w:tr>
      <w:tr w:rsidR="009268C3" w:rsidRPr="00091BF9" w14:paraId="05B1B57D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5838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Setting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C1FA2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41AD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Describe the setting, locations, and relevant dates, including periods of data collection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49AF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4–5 (§2.2–2.3)</w:t>
            </w:r>
          </w:p>
        </w:tc>
      </w:tr>
      <w:tr w:rsidR="009268C3" w:rsidRPr="00091BF9" w14:paraId="525E2634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3A14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Participants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D78C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6a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FE3C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Cohort study — Give the eligibility criteria, and the sources and methods of selection of participants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1E9B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4–5 (§2.2–2.3)</w:t>
            </w:r>
          </w:p>
        </w:tc>
      </w:tr>
      <w:tr w:rsidR="009268C3" w:rsidRPr="00091BF9" w14:paraId="212032BB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8983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41A4B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6b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6F76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Cohort study — For matched studies, give matching criteria (not applicable: no matched design)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DA65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N/A</w:t>
            </w:r>
          </w:p>
        </w:tc>
      </w:tr>
      <w:tr w:rsidR="009268C3" w:rsidRPr="00091BF9" w14:paraId="1767F591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E1D5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Variables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A789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EFB0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Clearly define all outcomes, exposures, predictors, potential confounders, and effect modifiers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50043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5 (§2.4–2.7)</w:t>
            </w:r>
          </w:p>
        </w:tc>
      </w:tr>
      <w:tr w:rsidR="009268C3" w:rsidRPr="00091BF9" w14:paraId="360C9DE3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6C62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Data sources / measurement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A19F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8*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4F8B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For each variable of interest, give sources of data and details of methods of assessment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47DB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5 (§2.4, §2.8, App. A)</w:t>
            </w:r>
          </w:p>
        </w:tc>
      </w:tr>
      <w:tr w:rsidR="009268C3" w:rsidRPr="00091BF9" w14:paraId="77B03520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D493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Bias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4CD57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5673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Describe any efforts to address potential sources of bias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5D6E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5 (§2.3: familiarisation week excluded; §2.5: intra-individual computation)</w:t>
            </w:r>
          </w:p>
        </w:tc>
      </w:tr>
      <w:tr w:rsidR="009268C3" w:rsidRPr="00091BF9" w14:paraId="4F540E7B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09AE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Study size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3832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A3CB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Explain how the study size was arrived at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5D1D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5 (§2.3: full squad, full season; no a priori power calculation — descriptive study)</w:t>
            </w:r>
          </w:p>
        </w:tc>
      </w:tr>
      <w:tr w:rsidR="009268C3" w:rsidRPr="00091BF9" w14:paraId="53D2D205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6291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lastRenderedPageBreak/>
              <w:t>Quantitative variables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E455E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082D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Explain how quantitative variables were handled in the analyses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AF2A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5–6 (§2.5–2.7: EWMA±SD and EWMP zone definitions)</w:t>
            </w:r>
          </w:p>
        </w:tc>
      </w:tr>
      <w:tr w:rsidR="009268C3" w:rsidRPr="00091BF9" w14:paraId="0AD72DDB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FC02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Statistical methods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3ABAD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12a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C23E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Describe all statistical methods, including those used to control for confounding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BFC8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6 (§2.10)</w:t>
            </w:r>
          </w:p>
        </w:tc>
      </w:tr>
      <w:tr w:rsidR="009268C3" w:rsidRPr="00091BF9" w14:paraId="22BB8104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E7FF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1FBE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12b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8A79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Describe any methods used to examine subgroups and interactions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249D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6 (§2.9: sensitivity analysis across 25 parameter combinations)</w:t>
            </w:r>
          </w:p>
        </w:tc>
      </w:tr>
      <w:tr w:rsidR="009268C3" w:rsidRPr="00091BF9" w14:paraId="4FB1FF39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3219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B309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12c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44D2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Explain how missing data were addressed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235A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6 (§2.10: listwise exclusion; N per item reported in Table 1)</w:t>
            </w:r>
          </w:p>
        </w:tc>
      </w:tr>
      <w:tr w:rsidR="009268C3" w:rsidRPr="00091BF9" w14:paraId="5EF52DB4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0B24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5152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12d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B08D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Cohort study — Explain how loss to follow-up was addressed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CB12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N/A (all observations included; missing items excluded listwise — §2.10)</w:t>
            </w:r>
          </w:p>
        </w:tc>
      </w:tr>
      <w:tr w:rsidR="009268C3" w:rsidRPr="00091BF9" w14:paraId="36D2E4BF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74D1F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8C56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12e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6C46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Describe any sensitivity analyses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99A3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6 (§2.9); p. 10 (§3.8)</w:t>
            </w:r>
          </w:p>
        </w:tc>
      </w:tr>
      <w:tr w:rsidR="009268C3" w:rsidRPr="00091BF9" w14:paraId="7A33A52E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47C1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</w:rPr>
              <w:t>RESULTS</w:t>
            </w:r>
          </w:p>
        </w:tc>
      </w:tr>
      <w:tr w:rsidR="009268C3" w:rsidRPr="00091BF9" w14:paraId="333EE7A3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CF65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Participants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52EEF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13a*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471C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Report numbers of individuals at each stage of study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F788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4–5 (§2.2–2.3): 29 players enrolled, 3 GK excluded, 26 outfield analysed, 6,676 observations</w:t>
            </w:r>
          </w:p>
        </w:tc>
      </w:tr>
      <w:tr w:rsidR="009268C3" w:rsidRPr="00091BF9" w14:paraId="43695180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919C8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BEAA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13b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2B4A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Give reasons for non-participation at each stage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AA42F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4–5 (§2.2): goalkeepers excluded due to distinct positional demands</w:t>
            </w:r>
          </w:p>
        </w:tc>
      </w:tr>
      <w:tr w:rsidR="009268C3" w:rsidRPr="00091BF9" w14:paraId="11BB44DA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7EB5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AC1C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13c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9D83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Consider use of a flow diagram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A7A4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N/A (single-club cohort with complete seasonal coverage)</w:t>
            </w:r>
          </w:p>
        </w:tc>
      </w:tr>
      <w:tr w:rsidR="009268C3" w:rsidRPr="00091BF9" w14:paraId="261B1F96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25DA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Descriptive data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010D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14a*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15EF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Give characteristics of study participants and information on exposures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2CDF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4–5 (§2.2); Table 1 (distributional characteristics of 6 items)</w:t>
            </w:r>
          </w:p>
        </w:tc>
      </w:tr>
      <w:tr w:rsidR="009268C3" w:rsidRPr="00091BF9" w14:paraId="734D7641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7649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C295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14b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B5E7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Indicate number of participants with missing data for each variable of interest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94EB6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6–7 (§3.1; Table 1: N per item ranges from 4,630 to 6,298)</w:t>
            </w:r>
          </w:p>
        </w:tc>
      </w:tr>
      <w:tr w:rsidR="009268C3" w:rsidRPr="00091BF9" w14:paraId="70178A56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8928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B2CE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14c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3245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Cohort study — Summarise follow-up time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6C11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5 (§2.3): 1 July 2024 to 17 May 2025 (full competitive season)</w:t>
            </w:r>
          </w:p>
        </w:tc>
      </w:tr>
      <w:tr w:rsidR="009268C3" w:rsidRPr="00091BF9" w14:paraId="42B54C46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EDFE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lastRenderedPageBreak/>
              <w:t>Outcome data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0091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15*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859B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Cohort study — Report numbers of outcome events or summary measures over time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575D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6–10 (§3.1–3.8); Tables 1–4; Figures 1–9</w:t>
            </w:r>
          </w:p>
        </w:tc>
      </w:tr>
      <w:tr w:rsidR="009268C3" w:rsidRPr="00091BF9" w14:paraId="701CAC89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E9D4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Main results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4008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16a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60D4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Give unadjusted estimates and their precision. Make clear which confounders were adjusted for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6A67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6–10 (§3.1–3.7); Tables 1–4 (descriptive statistics, zone proportions, effect sizes)</w:t>
            </w:r>
          </w:p>
        </w:tc>
      </w:tr>
      <w:tr w:rsidR="009268C3" w:rsidRPr="00091BF9" w14:paraId="425D7177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E9AD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4685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16b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50C1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Report category boundaries when continuous variables were categorized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E04B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5 (§2.6–2.7): HIGH &gt; EWMA+SD or &gt; Q3; LOW &lt; EWMA−SD or &lt; Q1; NORMAL otherwise</w:t>
            </w:r>
          </w:p>
        </w:tc>
      </w:tr>
      <w:tr w:rsidR="009268C3" w:rsidRPr="00091BF9" w14:paraId="4258A242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C25E" w14:textId="77777777" w:rsidR="009268C3" w:rsidRPr="00091BF9" w:rsidRDefault="009268C3">
            <w:pPr>
              <w:rPr>
                <w:color w:val="000000" w:themeColor="text1"/>
              </w:rPr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4558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16c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3FD2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If relevant, translate estimates of relative risk into absolute risk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490E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N/A (no risk estimation; descriptive monitoring comparison)</w:t>
            </w:r>
          </w:p>
        </w:tc>
      </w:tr>
      <w:tr w:rsidR="009268C3" w:rsidRPr="00091BF9" w14:paraId="3B1CB18E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A7B3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Other analyses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632E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BDCA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Report other analyses done — sensitivity analyses, subgroups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E5AC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10 (§3.8): sensitivity across 25 alpha × window combinations; Supplementary Figure S1</w:t>
            </w:r>
          </w:p>
        </w:tc>
      </w:tr>
      <w:tr w:rsidR="009268C3" w:rsidRPr="00091BF9" w14:paraId="2D4CCC67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65A8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</w:rPr>
              <w:t>DISCUSSION</w:t>
            </w:r>
          </w:p>
        </w:tc>
      </w:tr>
      <w:tr w:rsidR="009268C3" w:rsidRPr="00091BF9" w14:paraId="28B5F8B6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543F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Key results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E402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E297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Summarise key results with reference to study objectives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87BB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10–11 (§4.1)</w:t>
            </w:r>
          </w:p>
        </w:tc>
      </w:tr>
      <w:tr w:rsidR="009268C3" w:rsidRPr="00091BF9" w14:paraId="191052FC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278B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Limitations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0000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C72E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Discuss limitations of the study, taking into account sources of bias or imprecision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1EFB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13 (§4.6)</w:t>
            </w:r>
          </w:p>
        </w:tc>
      </w:tr>
      <w:tr w:rsidR="009268C3" w:rsidRPr="00091BF9" w14:paraId="705F7618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522F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Interpretation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973C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C18C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Give a cautious overall interpretation of results considering objectives, limitations, and other evidence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EF26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10–13 (§4.1–4.5); p. 13 (§5 Conclusion)</w:t>
            </w:r>
          </w:p>
        </w:tc>
      </w:tr>
      <w:tr w:rsidR="009268C3" w:rsidRPr="00091BF9" w14:paraId="30A1DDAE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6923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Generalisability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2547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EC29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Discuss the generalisability (external validity) of the study results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B2CA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p. 13 (§4.6): single-club limitation acknowledged</w:t>
            </w:r>
          </w:p>
        </w:tc>
      </w:tr>
      <w:tr w:rsidR="009268C3" w:rsidRPr="00091BF9" w14:paraId="4E088BC7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1E13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</w:rPr>
              <w:t>OTHER INFORMATION</w:t>
            </w:r>
          </w:p>
        </w:tc>
      </w:tr>
      <w:tr w:rsidR="009268C3" w:rsidRPr="00091BF9" w14:paraId="0D85AE18" w14:textId="77777777" w:rsidTr="00091BF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73912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Funding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530F9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743C" w14:textId="77777777" w:rsidR="009268C3" w:rsidRPr="00091BF9" w:rsidRDefault="00000000">
            <w:pPr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Give the source of funding and the role of the funders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E8FB" w14:textId="77777777" w:rsidR="009268C3" w:rsidRPr="00091BF9" w:rsidRDefault="00000000">
            <w:pPr>
              <w:jc w:val="center"/>
              <w:rPr>
                <w:color w:val="000000" w:themeColor="text1"/>
              </w:rPr>
            </w:pPr>
            <w:r w:rsidRPr="00091BF9">
              <w:rPr>
                <w:rFonts w:eastAsia="Arial"/>
                <w:color w:val="000000" w:themeColor="text1"/>
                <w:sz w:val="18"/>
                <w:szCs w:val="18"/>
              </w:rPr>
              <w:t>No external funding was received for this study</w:t>
            </w:r>
          </w:p>
        </w:tc>
      </w:tr>
    </w:tbl>
    <w:p w14:paraId="5C747814" w14:textId="77777777" w:rsidR="009268C3" w:rsidRDefault="00000000">
      <w:pPr>
        <w:spacing w:before="200"/>
      </w:pPr>
      <w:r>
        <w:rPr>
          <w:rFonts w:ascii="Arial" w:eastAsia="Arial" w:hAnsi="Arial" w:cs="Arial"/>
          <w:i/>
          <w:iCs/>
          <w:color w:val="666666"/>
          <w:sz w:val="16"/>
          <w:szCs w:val="16"/>
        </w:rPr>
        <w:t>Note: Page numbers refer to the submitted manuscript (SMF_EMA_FINAL_v9.docx). * Items marked with asterisk apply to cohort studies; information given separately where applicable. N/A = not applicable to this observational descriptive study.</w:t>
      </w:r>
    </w:p>
    <w:sectPr w:rsidR="009268C3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57310"/>
    <w:multiLevelType w:val="hybridMultilevel"/>
    <w:tmpl w:val="D736DFD4"/>
    <w:lvl w:ilvl="0" w:tplc="80A0F578">
      <w:start w:val="1"/>
      <w:numFmt w:val="bullet"/>
      <w:lvlText w:val="●"/>
      <w:lvlJc w:val="left"/>
      <w:pPr>
        <w:ind w:left="720" w:hanging="360"/>
      </w:pPr>
    </w:lvl>
    <w:lvl w:ilvl="1" w:tplc="A9E2D41E">
      <w:start w:val="1"/>
      <w:numFmt w:val="bullet"/>
      <w:lvlText w:val="○"/>
      <w:lvlJc w:val="left"/>
      <w:pPr>
        <w:ind w:left="1440" w:hanging="360"/>
      </w:pPr>
    </w:lvl>
    <w:lvl w:ilvl="2" w:tplc="11D8F7C8">
      <w:start w:val="1"/>
      <w:numFmt w:val="bullet"/>
      <w:lvlText w:val="■"/>
      <w:lvlJc w:val="left"/>
      <w:pPr>
        <w:ind w:left="2160" w:hanging="360"/>
      </w:pPr>
    </w:lvl>
    <w:lvl w:ilvl="3" w:tplc="5CCC61BC">
      <w:start w:val="1"/>
      <w:numFmt w:val="bullet"/>
      <w:lvlText w:val="●"/>
      <w:lvlJc w:val="left"/>
      <w:pPr>
        <w:ind w:left="2880" w:hanging="360"/>
      </w:pPr>
    </w:lvl>
    <w:lvl w:ilvl="4" w:tplc="FA202F92">
      <w:start w:val="1"/>
      <w:numFmt w:val="bullet"/>
      <w:lvlText w:val="○"/>
      <w:lvlJc w:val="left"/>
      <w:pPr>
        <w:ind w:left="3600" w:hanging="360"/>
      </w:pPr>
    </w:lvl>
    <w:lvl w:ilvl="5" w:tplc="3894CE14">
      <w:start w:val="1"/>
      <w:numFmt w:val="bullet"/>
      <w:lvlText w:val="■"/>
      <w:lvlJc w:val="left"/>
      <w:pPr>
        <w:ind w:left="4320" w:hanging="360"/>
      </w:pPr>
    </w:lvl>
    <w:lvl w:ilvl="6" w:tplc="49CC89B0">
      <w:start w:val="1"/>
      <w:numFmt w:val="bullet"/>
      <w:lvlText w:val="●"/>
      <w:lvlJc w:val="left"/>
      <w:pPr>
        <w:ind w:left="5040" w:hanging="360"/>
      </w:pPr>
    </w:lvl>
    <w:lvl w:ilvl="7" w:tplc="9A3C69E6">
      <w:start w:val="1"/>
      <w:numFmt w:val="bullet"/>
      <w:lvlText w:val="●"/>
      <w:lvlJc w:val="left"/>
      <w:pPr>
        <w:ind w:left="5760" w:hanging="360"/>
      </w:pPr>
    </w:lvl>
    <w:lvl w:ilvl="8" w:tplc="3316430A">
      <w:start w:val="1"/>
      <w:numFmt w:val="bullet"/>
      <w:lvlText w:val="●"/>
      <w:lvlJc w:val="left"/>
      <w:pPr>
        <w:ind w:left="6480" w:hanging="360"/>
      </w:pPr>
    </w:lvl>
  </w:abstractNum>
  <w:num w:numId="1" w16cid:durableId="1746103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8C3"/>
    <w:rsid w:val="00091BF9"/>
    <w:rsid w:val="002D52AF"/>
    <w:rsid w:val="007406F0"/>
    <w:rsid w:val="0092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4324B5"/>
  <w15:docId w15:val="{F6CD8664-B47D-A44B-A40F-CAC02999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849</Words>
  <Characters>4293</Characters>
  <Application>Microsoft Office Word</Application>
  <DocSecurity>0</DocSecurity>
  <Lines>69</Lines>
  <Paragraphs>21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MORIN</cp:lastModifiedBy>
  <cp:revision>2</cp:revision>
  <dcterms:created xsi:type="dcterms:W3CDTF">2026-06-28T14:14:00Z</dcterms:created>
  <dcterms:modified xsi:type="dcterms:W3CDTF">2026-06-28T14:14:00Z</dcterms:modified>
</cp:coreProperties>
</file>