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1F4E78"/>
          <w:sz w:val="22"/>
        </w:rPr>
        <w:t>SPÉCIFICATION LOGICIELLE</w:t>
      </w:r>
    </w:p>
    <w:p>
      <w:pPr>
        <w:pStyle w:val="Title"/>
      </w:pPr>
      <w:r>
        <w:t>Passerelle SDR I/Q</w:t>
        <w:br/>
        <w:t>multi-client</w:t>
      </w:r>
    </w:p>
    <w:p>
      <w:r>
        <w:rPr>
          <w:i/>
          <w:color w:val="59636E"/>
          <w:sz w:val="28"/>
        </w:rPr>
        <w:t>Acquisition USB d’un SDRplay RSP1A, diffusion temps réel et compatibilité avec les logiciels SDR existants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Statut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Spécification de référence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9 août 2026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Cible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Windows 10/11 x64 en priorité; Linux en option</w:t>
            </w:r>
          </w:p>
        </w:tc>
      </w:tr>
    </w:tbl>
    <w:p>
      <w:r>
        <w:br/>
      </w:r>
    </w:p>
    <w:p>
      <w:pPr>
        <w:ind w:left="288" w:right="288"/>
        <w:shd w:fill="D9EAF7"/>
      </w:pPr>
      <w:r>
        <w:rPr>
          <w:b/>
        </w:rPr>
        <w:t>Décision d’architecture recommandée</w:t>
        <w:br/>
      </w:r>
      <w:r>
        <w:t>C++20 pour le chemin de données et les couches système; Python uniquement pour prototypage, automatisation ou GUI non critique. PlatformIO n’est pas la cible adaptée à une application/driver de bureau.</w:t>
      </w:r>
    </w:p>
    <w:p>
      <w:r>
        <w:br w:type="page"/>
      </w:r>
    </w:p>
    <w:p>
      <w:pPr>
        <w:pStyle w:val="Heading1"/>
      </w:pPr>
      <w:r>
        <w:t>1. Objet et périmètre</w:t>
      </w:r>
    </w:p>
    <w:p>
      <w:r>
        <w:t>Le produit est une passerelle logicielle installée sur une machine hôte reliée en USB à un récepteur SDR. Elle acquiert un flux d’échantillons complexes I/Q, centralise le pilotage du récepteur, puis distribue ce même flux à trois ou quatre postes clients simultanés. Une interface graphique permet la supervision du signal et des sessions.</w:t>
      </w:r>
    </w:p>
    <w:p>
      <w:r>
        <w:t>Hypothèse matérielle : la référence « SDRPLAY RF1A » est interprétée comme SDRplay RSP1A. L’accès matériel doit passer par l’API/SDK et le pilote officiellement fournis par SDRplay, sous réserve de leurs conditions de redistribution.</w:t>
      </w:r>
    </w:p>
    <w:p>
      <w:pPr>
        <w:pStyle w:val="Heading2"/>
      </w:pPr>
      <w:r>
        <w:t>1.1 Objectifs</w:t>
      </w:r>
    </w:p>
    <w:p>
      <w:pPr>
        <w:pStyle w:val="ListBullet"/>
      </w:pPr>
      <w:r>
        <w:t>Acquérir de façon continue les données I/Q avec une bande utile cible de 2 MHz.</w:t>
      </w:r>
    </w:p>
    <w:p>
      <w:pPr>
        <w:pStyle w:val="ListBullet"/>
      </w:pPr>
      <w:r>
        <w:t>Permettre le réglage de la fréquence, du gain et des paramètres exposés par le matériel.</w:t>
      </w:r>
    </w:p>
    <w:p>
      <w:pPr>
        <w:pStyle w:val="ListBullet"/>
      </w:pPr>
      <w:r>
        <w:t>Distribuer un flux cohérent à 3 clients garantis et 4 clients en objectif.</w:t>
      </w:r>
    </w:p>
    <w:p>
      <w:pPr>
        <w:pStyle w:val="ListBullet"/>
      </w:pPr>
      <w:r>
        <w:t>Présenter aux logiciels clients une interface compatible, idéalement sans modification du logiciel client.</w:t>
      </w:r>
    </w:p>
    <w:p>
      <w:pPr>
        <w:pStyle w:val="ListBullet"/>
      </w:pPr>
      <w:r>
        <w:t>Afficher spectre, waterfall, état radio, débit, pertes et clients connectés.</w:t>
      </w:r>
    </w:p>
    <w:p>
      <w:pPr>
        <w:pStyle w:val="Heading2"/>
      </w:pPr>
      <w:r>
        <w:t>1.2 Hors périmètre initial</w:t>
      </w:r>
    </w:p>
    <w:p>
      <w:pPr>
        <w:pStyle w:val="ListBullet"/>
      </w:pPr>
      <w:r>
        <w:t>Émission RF, diversité multi-récepteurs, synchronisation GPSDO et traitement démodulation métier.</w:t>
      </w:r>
    </w:p>
    <w:p>
      <w:pPr>
        <w:pStyle w:val="ListBullet"/>
      </w:pPr>
      <w:r>
        <w:t>Accès concurrent avec des fréquences ou taux d’échantillonnage différents sur un SDR mono-tuner.</w:t>
      </w:r>
    </w:p>
    <w:p>
      <w:pPr>
        <w:pStyle w:val="ListBullet"/>
      </w:pPr>
      <w:r>
        <w:t>Garantie de compatibilité universelle avec tout logiciel SDR sans adaptation par OS ou par API.</w:t>
      </w:r>
    </w:p>
    <w:p>
      <w:pPr>
        <w:pStyle w:val="Heading1"/>
      </w:pPr>
      <w:r>
        <w:t>2. Point d’architecture critique : “faire croire à une connexion USB”</w:t>
      </w:r>
    </w:p>
    <w:p>
      <w:r>
        <w:t>Un périphérique USB physique ne peut pas être attaché simultanément à plusieurs machines. La compatibilité transparente nécessite donc une couche côté client. Deux modes sont spécifiés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Compatibilité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— Proxy API SDRplay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Une bibliothèque cliente intercepte/implémente les appels de l’API attendue et les transmet au serveur.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Élevée pour les applications utilisant cette API; dépend des versions et licences.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 — Périphérique USB virtuel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driver/bus USB virtuel présente un périphérique au système client et transporte contrôle + flux via IP.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Potentiellement maximale, mais forte complexité, signature de pilote et validation par OS.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Phase 2 / étude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 — API réseau native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 client utilise un plugin SoapySDR/ExtIO ou le protocole du produit.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Robuste et maintenable; nécessite un plugin ou une configuration client.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MVP de secours</w:t>
            </w:r>
          </w:p>
        </w:tc>
      </w:tr>
    </w:tbl>
    <w:p>
      <w:pPr>
        <w:spacing w:after="40"/>
      </w:pPr>
    </w:p>
    <w:p>
      <w:r>
        <w:t>Recommandation : livrer d’abord le cœur réseau et un adaptateur standard (SoapySDR et/ou ExtIO), puis réaliser un proxy de l’API SDRplay après validation juridique et technique. L’émulation USB générique est un lot séparé et ne doit pas être considérée comme acquise.</w:t>
      </w:r>
    </w:p>
    <w:p>
      <w:pPr>
        <w:pStyle w:val="Heading1"/>
      </w:pPr>
      <w:r>
        <w:t>3. Utilisateurs et cas d’usage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Acteur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Besoin principal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Droits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Opérateur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Configure le SDR et surveille la réception.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Contrôle exclusif ou prioritaire.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 observateur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Consomme le même flux I/Q.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Lecture seule.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Administrateur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Configure réseau, sécurité, journaux et comptes.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Administration.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Logiciel SDR existant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Croit accéder à une source compatible locale.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Selon adaptateur client.</w:t>
            </w:r>
          </w:p>
        </w:tc>
      </w:tr>
    </w:tbl>
    <w:p>
      <w:pPr>
        <w:spacing w:after="40"/>
      </w:pPr>
    </w:p>
    <w:p>
      <w:pPr>
        <w:pStyle w:val="Heading2"/>
      </w:pPr>
      <w:r>
        <w:t>Cas nominal</w:t>
      </w:r>
    </w:p>
    <w:p>
      <w:pPr>
        <w:pStyle w:val="ListBullet"/>
      </w:pPr>
      <w:r>
        <w:t>Le serveur détecte le RSP1A, charge son API et démarre une session à 2 MS/s.</w:t>
      </w:r>
    </w:p>
    <w:p>
      <w:pPr>
        <w:pStyle w:val="ListBullet"/>
      </w:pPr>
      <w:r>
        <w:t>L’opérateur règle fréquence centrale et gain; le serveur applique puis publie la nouvelle configuration.</w:t>
      </w:r>
    </w:p>
    <w:p>
      <w:pPr>
        <w:pStyle w:val="ListBullet"/>
      </w:pPr>
      <w:r>
        <w:t>Trois ou quatre clients reçoivent les mêmes blocs I/Q horodatés, dans l’ordre.</w:t>
      </w:r>
    </w:p>
    <w:p>
      <w:pPr>
        <w:pStyle w:val="ListBullet"/>
      </w:pPr>
      <w:r>
        <w:t>Un client lent ne bloque jamais l’acquisition ni les autres clients; ses pertes sont comptabilisées.</w:t>
      </w:r>
    </w:p>
    <w:p>
      <w:pPr>
        <w:pStyle w:val="Heading1"/>
      </w:pPr>
      <w:r>
        <w:t>4. Exigences fonctionnelles</w:t>
      </w:r>
    </w:p>
    <w:p>
      <w:pPr>
        <w:pStyle w:val="Heading2"/>
      </w:pPr>
      <w:r>
        <w:t>4.1 Acquisition et contrôle du SDR</w:t>
      </w:r>
    </w:p>
    <w:p>
      <w:pPr>
        <w:pStyle w:val="Requirement"/>
      </w:pPr>
      <w:r>
        <w:rPr>
          <w:b/>
        </w:rPr>
        <w:t xml:space="preserve">FR-SDR-001 — Détection. </w:t>
      </w:r>
      <w:r>
        <w:t>Détecter, identifier et ouvrir le SDR connecté en USB; afficher numéro de série, modèle, état et version d’API.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FR-SDR-002 — Acquisition I/Q. </w:t>
      </w:r>
      <w:r>
        <w:t>Acquérir un flux complexe continu à un taux configurable couvrant au minimum une bande utile de 2 MHz, sans conversion inutile dans le chemin critique.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FR-SDR-003 — Paramètres. </w:t>
      </w:r>
      <w:r>
        <w:t>Exposer fréquence centrale, taux d’échantillonnage, largeur de bande, gain/LNA/IF, AGC, correction DC/IQ et sélection d’antenne lorsqu’ils sont supportés.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FR-SDR-004 — Application atomique. </w:t>
      </w:r>
      <w:r>
        <w:t>Valider les plages, sérialiser les commandes et notifier tous les clients de chaque changement effectif.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FR-SDR-005 — Reconnexion. </w:t>
      </w:r>
      <w:r>
        <w:t>Détecter une déconnexion USB, arrêter proprement le flux, tenter une reconnexion configurable et conserver la dernière configuration valide.</w:t>
      </w:r>
      <w:r>
        <w:rPr>
          <w:i/>
        </w:rPr>
        <w:t xml:space="preserve"> [Must]</w:t>
      </w:r>
    </w:p>
    <w:p>
      <w:pPr>
        <w:pStyle w:val="Heading2"/>
      </w:pPr>
      <w:r>
        <w:t>4.2 Distribution multi-client</w:t>
      </w:r>
    </w:p>
    <w:p>
      <w:pPr>
        <w:pStyle w:val="Requirement"/>
      </w:pPr>
      <w:r>
        <w:rPr>
          <w:b/>
        </w:rPr>
        <w:t xml:space="preserve">FR-NET-001 — Capacité. </w:t>
      </w:r>
      <w:r>
        <w:t>Supporter 3 clients simultanés en exigence minimale et 4 clients en objectif, sur réseau local Ethernet.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FR-NET-002 — Données. </w:t>
      </w:r>
      <w:r>
        <w:t>Distribuer des blocs I/Q avec numéro de séquence, horodatage monotone, format, taux et identifiant de configuration.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FR-NET-003 — Isolement. </w:t>
      </w:r>
      <w:r>
        <w:t>Allouer une file bornée par client. En cas de retard, supprimer les blocs les plus anciens du client concerné et incrémenter son compteur de pertes.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FR-NET-004 — Contrôle. </w:t>
      </w:r>
      <w:r>
        <w:t>Séparer canal de contrôle fiable et canal de données. Le contrôle utilise TCP/TLS; les données utilisent UDP datagrammes ou QUIC selon le profil retenu.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FR-NET-005 — Politique de commande. </w:t>
      </w:r>
      <w:r>
        <w:t>Un seul client détient le verrou de contrôle; les autres sont observateurs. L’administrateur peut reprendre ou transférer le verrou.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FR-NET-006 — Découverte. </w:t>
      </w:r>
      <w:r>
        <w:t>Permettre découverte mDNS optionnelle et connexion explicite par adresse/nom DNS.</w:t>
      </w:r>
      <w:r>
        <w:rPr>
          <w:i/>
        </w:rPr>
        <w:t xml:space="preserve"> [Must]</w:t>
      </w:r>
    </w:p>
    <w:p>
      <w:pPr>
        <w:pStyle w:val="Heading2"/>
      </w:pPr>
      <w:r>
        <w:t>4.3 Compatibilité client</w:t>
      </w:r>
    </w:p>
    <w:p>
      <w:pPr>
        <w:pStyle w:val="Requirement"/>
      </w:pPr>
      <w:r>
        <w:rPr>
          <w:b/>
        </w:rPr>
        <w:t xml:space="preserve">FR-CMP-001 — Adaptateur. </w:t>
      </w:r>
      <w:r>
        <w:t>Fournir un composant installé côté client exposant l’interface attendue par le logiciel cible et consommant le protocole réseau du serveur.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FR-CMP-002 — Transparence. </w:t>
      </w:r>
      <w:r>
        <w:t>Reproduire les appels d’ouverture, configuration, démarrage, callbacks I/Q, arrêt et fermeture nécessaires à la matrice de logiciels certifiés.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FR-CMP-003 — Versions. </w:t>
      </w:r>
      <w:r>
        <w:t>Maintenir une matrice explicite OS / architecture / version d’API / logiciel. Toute combinaison hors matrice est non garantie.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FR-CMP-004 — USB virtuel. </w:t>
      </w:r>
      <w:r>
        <w:t>Soumettre l’option driver USB virtuel à une preuve de concept séparée incluant signature, Plug-and-Play, alimentation, reset, timeouts et désinstallation sûre.</w:t>
      </w:r>
      <w:r>
        <w:rPr>
          <w:i/>
        </w:rPr>
        <w:t xml:space="preserve"> [Should]</w:t>
      </w:r>
    </w:p>
    <w:p>
      <w:pPr>
        <w:pStyle w:val="Heading2"/>
      </w:pPr>
      <w:r>
        <w:t>4.4 Interface graphique</w:t>
      </w:r>
    </w:p>
    <w:p>
      <w:pPr>
        <w:pStyle w:val="Requirement"/>
      </w:pPr>
      <w:r>
        <w:rPr>
          <w:b/>
        </w:rPr>
        <w:t xml:space="preserve">FR-GUI-001 — Vue radio. </w:t>
      </w:r>
      <w:r>
        <w:t>Afficher modèle, série, fréquence, gain, taux, largeur de bande, état USB et commandes autorisées.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FR-GUI-002 — Visualisation. </w:t>
      </w:r>
      <w:r>
        <w:t>Afficher puissance temporelle, spectre FFT et waterfall, avec cadence d’affichage réglable et sans ralentir le chemin de données.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FR-GUI-003 — Clients. </w:t>
      </w:r>
      <w:r>
        <w:t>Afficher nom/adresse, mode, durée, débit, latence estimée, dernière séquence et pertes de chaque client.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FR-GUI-004 — Alertes. </w:t>
      </w:r>
      <w:r>
        <w:t>Signaler surcharge CPU, tampon proche du seuil, pertes, déconnexion SDR et échec d’authentification.</w:t>
      </w:r>
      <w:r>
        <w:rPr>
          <w:i/>
        </w:rPr>
        <w:t xml:space="preserve"> [Must]</w:t>
      </w:r>
    </w:p>
    <w:p>
      <w:pPr>
        <w:pStyle w:val="Heading1"/>
      </w:pPr>
      <w:r>
        <w:t>5. Architecture logique proposée</w:t>
      </w:r>
    </w:p>
    <w:p>
      <w:pPr>
        <w:pStyle w:val="Heading2"/>
      </w:pPr>
      <w:r>
        <w:t>Chaîne de traitement</w:t>
      </w:r>
    </w:p>
    <w:p>
      <w:r>
        <w:t>RSP1A + pilote constructeur  →  Adaptateur matériel  →  Pool de blocs I/Q  →  Fan-out zéro/minimum copie  →  files client  →  transport réseau  →  adaptateur client  →  logiciel SDR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Responsabilité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Technologie recommandée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Hardware Adapter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Encapsule l’API SDRplay, callbacks, paramètres et erreurs.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C++20, SDK constructeur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Stream Core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Pool mémoire, séquences, timestamps, fan-out, backpressure.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C++20, threads dédiés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 Service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Sessions, verrou de contrôle, configuration, authentification.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gRPC/Protobuf ou protocole binaire versionné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 Transport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Paquets I/Q, fragmentation, pacing, statistiques.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UDP + en-tête maison; QUIC en variante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 Adapter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Expose SoapySDR/ExtIO/proxy API/driver virtuel.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C/C++ selon ABI et OS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GUI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Supervision, FFT décimée, clients, journaux.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Qt 6 / QML; PySide6 possible hors chemin critique</w:t>
            </w:r>
          </w:p>
        </w:tc>
      </w:tr>
    </w:tbl>
    <w:p>
      <w:pPr>
        <w:spacing w:after="40"/>
      </w:pPr>
    </w:p>
    <w:p>
      <w:pPr>
        <w:pStyle w:val="Heading2"/>
      </w:pPr>
      <w:r>
        <w:t>Modèle de concurrence</w:t>
      </w:r>
    </w:p>
    <w:p>
      <w:pPr>
        <w:pStyle w:val="ListBullet"/>
      </w:pPr>
      <w:r>
        <w:t>Thread/callback acquisition : copie dans un pool préalloué et retour immédiat au SDK.</w:t>
      </w:r>
    </w:p>
    <w:p>
      <w:pPr>
        <w:pStyle w:val="ListBullet"/>
      </w:pPr>
      <w:r>
        <w:t>Thread fan-out : référence le bloc pour chaque client sans recopier le payload lorsque possible.</w:t>
      </w:r>
    </w:p>
    <w:p>
      <w:pPr>
        <w:pStyle w:val="ListBullet"/>
      </w:pPr>
      <w:r>
        <w:t>Un worker d’émission par client ou boucle I/O asynchrone; aucune attente réseau dans le callback SDR.</w:t>
      </w:r>
    </w:p>
    <w:p>
      <w:pPr>
        <w:pStyle w:val="ListBullet"/>
      </w:pPr>
      <w:r>
        <w:t>Thread GUI/FFT séparé consommant un flux décimé ou des blocs échantillonnés.</w:t>
      </w:r>
    </w:p>
    <w:p>
      <w:pPr>
        <w:pStyle w:val="Heading1"/>
      </w:pPr>
      <w:r>
        <w:t>6. Protocole et modèle de données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Champ paquet I/Q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 indicatif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magic/version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u32/u16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Identification et évolution du protocole.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session_id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u64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Session d’acquisition.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sequence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u64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Numéro de bloc monotone.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timestamp_ns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u64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Temps monotone du premier échantillon.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config_revision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u32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Révision des réglages actifs.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sample_format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u8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Ex. S16LE IQ entrelacé ou F32LE.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sample_count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u32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Nombre de paires I/Q.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payload_crc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u32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Optionnel sur UDP.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payload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bytes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Échantillons I/Q.</w:t>
            </w:r>
          </w:p>
        </w:tc>
      </w:tr>
    </w:tbl>
    <w:p>
      <w:pPr>
        <w:spacing w:after="40"/>
      </w:pPr>
    </w:p>
    <w:p>
      <w:r>
        <w:t>Le protocole de contrôle doit être versionné, extensible, little-endian si binaire, et fournir : Hello/Capabilities, Open/Close, Acquire/ReleaseControl, SetConfig, Start/Stop, SubscribeStats, KeepAlive et Error. Les changements de configuration créent une nouvelle config_revision et une discontinuité explicitement signalée.</w:t>
      </w:r>
    </w:p>
    <w:p>
      <w:pPr>
        <w:pStyle w:val="Heading1"/>
      </w:pPr>
      <w:r>
        <w:t>7. Dimensionnement et performances</w:t>
      </w:r>
    </w:p>
    <w:p>
      <w:r>
        <w:t>Pour 2 MS/s complexes, le débit utile dépend du format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Calcul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 client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 clients (hors overhead)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I16 + Q16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2 000 000 × 4 octets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 MB/s ≈ 64 Mbit/s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32 MB/s ≈ 256 Mbit/s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F32 + F32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2 000 000 × 8 octets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 MB/s ≈ 128 Mbit/s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64 MB/s ≈ 512 Mbit/s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I8 + Q8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2 000 000 × 2 octets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 MB/s ≈ 32 Mbit/s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 MB/s ≈ 128 Mbit/s</w:t>
            </w:r>
          </w:p>
        </w:tc>
      </w:tr>
    </w:tbl>
    <w:p>
      <w:pPr>
        <w:spacing w:after="40"/>
      </w:pPr>
    </w:p>
    <w:p>
      <w:r>
        <w:t>Le réseau recommandé est Ethernet 1 Gbit/s câblé. Le format natif ou I16 est privilégié; F32 doit être optionnel. Le Wi-Fi n’est pas une configuration garantie. Ajouter une marge de 25 % pour en-têtes, retransmissions éventuelles et supervision.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Cible MVP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Méthode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Continuité acquisition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≥ 8 h sans arrêt imputable au produit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Soak test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Pertes serveur à 2 MS/s / 4 clients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 bloc dans le LAN de référence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Compteurs séquence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Latence bout-en-bout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≤ 100 ms, objectif ≤ 50 ms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Timestamp injecté/mesuré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CPU serveur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≤ 60 % sur machine de référence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Profilage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Mémoire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Stable; aucune croissance sur 8 h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Monitoring RSS/heap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Reconfiguration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≤ 500 ms hors contrainte matériel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Mesure commande → premier bloc</w:t>
            </w:r>
          </w:p>
        </w:tc>
      </w:tr>
    </w:tbl>
    <w:p>
      <w:pPr>
        <w:spacing w:after="40"/>
      </w:pPr>
    </w:p>
    <w:p>
      <w:pPr>
        <w:pStyle w:val="Heading1"/>
      </w:pPr>
      <w:r>
        <w:t>8. Exigences non fonctionnelles</w:t>
      </w:r>
    </w:p>
    <w:p>
      <w:pPr>
        <w:pStyle w:val="Requirement"/>
      </w:pPr>
      <w:r>
        <w:rPr>
          <w:b/>
        </w:rPr>
        <w:t xml:space="preserve">NFR-PERF-001 — Temps réel souple. </w:t>
      </w:r>
      <w:r>
        <w:t>Éviter allocation, verrou long et journalisation synchrone dans le callback d’acquisition.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NFR-REL-001 — Résilience. </w:t>
      </w:r>
      <w:r>
        <w:t>Une panne ou déconnexion client ne doit pas arrêter le SDR ni les autres sessions.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NFR-SEC-001 — Authentification. </w:t>
      </w:r>
      <w:r>
        <w:t>Exiger un jeton ou certificat; prévoir rôles administrateur, opérateur et observateur.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NFR-SEC-002 — Chiffrement. </w:t>
      </w:r>
      <w:r>
        <w:t>Supporter TLS 1.3 pour le contrôle et DTLS/QUIC/TLS selon le transport des données; autoriser un mode LAN de laboratoire explicitement signalé.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NFR-OBS-001 — Observabilité. </w:t>
      </w:r>
      <w:r>
        <w:t>Journaliser événements et erreurs avec rotation; exposer débit, files, pertes, latence, CPU et état SDR.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NFR-MNT-001 — Maintenabilité. </w:t>
      </w:r>
      <w:r>
        <w:t>Séparer SDK matériel, cœur de flux, transport, GUI et adaptateurs clients via interfaces testables.</w:t>
      </w:r>
      <w:r>
        <w:rPr>
          <w:i/>
        </w:rPr>
        <w:t xml:space="preserve"> [Must]</w:t>
      </w:r>
    </w:p>
    <w:p>
      <w:pPr>
        <w:pStyle w:val="Requirement"/>
      </w:pPr>
      <w:r>
        <w:rPr>
          <w:b/>
        </w:rPr>
        <w:t xml:space="preserve">NFR-CMP-001 — Portabilité. </w:t>
      </w:r>
      <w:r>
        <w:t>Serveur Windows 10/11 x64 prioritaire. Linux peut être ajouté si le SDK matériel et les logiciels cibles le permettent.</w:t>
      </w:r>
      <w:r>
        <w:rPr>
          <w:i/>
        </w:rPr>
        <w:t xml:space="preserve"> [Must]</w:t>
      </w:r>
    </w:p>
    <w:p>
      <w:pPr>
        <w:pStyle w:val="Heading1"/>
      </w:pPr>
      <w:r>
        <w:t>9. Choix technologiques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Forces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Limites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Décision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Prototype rapide, PySide6, asyncio, NumPy FFT.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GIL, copies, callbacks natifs et packaging/driver; risque sur jitter.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GUI/outils/prototype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C++20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Contrôle mémoire/threads, ABI native, plugins et drivers, débit prévisible.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Développement plus exigeant.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Cœur recommandé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PlatformIO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 pour firmware embarqué.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 adapté au SDK/driver/app desktop Windows.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Non retenu pour le serveur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Rust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Sécurité mémoire et performance.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Interop SDK/driver et compétences à valider.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Alternative future</w:t>
            </w:r>
          </w:p>
        </w:tc>
      </w:tr>
    </w:tbl>
    <w:p>
      <w:pPr>
        <w:spacing w:after="40"/>
      </w:pPr>
    </w:p>
    <w:p>
      <w:r>
        <w:t>Architecture recommandée : service C++20 (CMake + vcpkg/Conan), Qt 6/QML pour l’interface, Protobuf pour les contrats, tests Catch2/GoogleTest. Une GUI PySide6 est acceptable si la FFT est décimée et le flux brut reste dans la bibliothèque C++.</w:t>
      </w:r>
    </w:p>
    <w:p>
      <w:pPr>
        <w:pStyle w:val="Heading1"/>
      </w:pPr>
      <w:r>
        <w:t>10. Sécurité et exploitation</w:t>
      </w:r>
    </w:p>
    <w:p>
      <w:pPr>
        <w:pStyle w:val="ListBullet"/>
      </w:pPr>
      <w:r>
        <w:t>Écoute réseau limitée aux interfaces configurées; pare-feu documenté; aucun port ouvert par défaut sur réseau public.</w:t>
      </w:r>
    </w:p>
    <w:p>
      <w:pPr>
        <w:pStyle w:val="ListBullet"/>
      </w:pPr>
      <w:r>
        <w:t>Secrets hors fichiers journaux; stockage protégé par l’OS; révocation des jetons.</w:t>
      </w:r>
    </w:p>
    <w:p>
      <w:pPr>
        <w:pStyle w:val="ListBullet"/>
      </w:pPr>
      <w:r>
        <w:t>Installation signée. Pour tout driver Windows : signature appropriée, package INF, restauration et désinstallation testées.</w:t>
      </w:r>
    </w:p>
    <w:p>
      <w:pPr>
        <w:pStyle w:val="ListBullet"/>
      </w:pPr>
      <w:r>
        <w:t>Mise à jour compatible avec le protocole N-1 lorsque possible; export d’un bundle de diagnostic sans données I/Q par défaut.</w:t>
      </w:r>
    </w:p>
    <w:p>
      <w:pPr>
        <w:pStyle w:val="ListBullet"/>
      </w:pPr>
      <w:r>
        <w:t>Respect des licences SDRplay/SDK et interdiction de redistribuer ou imiter des composants propriétaires sans autorisation.</w:t>
      </w:r>
    </w:p>
    <w:p>
      <w:pPr>
        <w:pStyle w:val="Heading1"/>
      </w:pPr>
      <w:r>
        <w:t>11. Gestion des erreurs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Événement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Comportement requis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SDR absent au démarrage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GUI disponible; état “attente matériel”; nouvelle détection périodique.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Déconnexion USB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Stopper le flux, notifier les clients, vider les files, tenter reconnexion.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 trop lent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Drop local contrôlé; compteur et alerte; aucune pression sur acquisition.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Perte réseau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Détecter par keepalive; fermer la session et libérer les ressources.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Commande invalide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Refuser sans modifier la configuration; retourner code, champ et plage valide.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Échec partiel de réglage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Restaurer l’état précédent si possible ou publier l’état réellement lu du matériel.</w:t>
            </w:r>
          </w:p>
        </w:tc>
      </w:tr>
    </w:tbl>
    <w:p>
      <w:pPr>
        <w:spacing w:after="40"/>
      </w:pPr>
    </w:p>
    <w:p>
      <w:pPr>
        <w:pStyle w:val="Heading1"/>
      </w:pPr>
      <w:r>
        <w:t>12. Tests et critères d’acceptation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Critère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AT-01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Acquisition 2 MS/s pendant 8 h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Aucun crash/fuite; compteurs conformes.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AT-02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Connexion de 4 clients I16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Chaque client reçoit séquences identiques; aucune perte sur LAN référence.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AT-03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 volontairement ralenti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Seul ce client perd des blocs; acquisition et autres clients restent stables.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AT-04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Changement fréquence/gain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Tous les clients reçoivent la nouvelle révision et le flux reprend ≤ 500 ms.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AT-05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Débranchement/rebranchement USB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Erreur visible, sessions notifiées, récupération sans redémarrage si supportée.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AT-06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Compatibilité logicielle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Chaque combinaison de la matrice ouvre, configure, reçoit et ferme correctement.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AT-07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Sécurité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Connexion non authentifiée refusée; rôles et reprise de contrôle vérifiés.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AT-08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Charge GUI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Waterfall actif sans pertes supplémentaires ni dépassement CPU cible.</w:t>
            </w:r>
          </w:p>
        </w:tc>
      </w:tr>
    </w:tbl>
    <w:p>
      <w:pPr>
        <w:spacing w:after="40"/>
      </w:pPr>
    </w:p>
    <w:p>
      <w:pPr>
        <w:pStyle w:val="Heading1"/>
      </w:pPr>
      <w:r>
        <w:t>13. Lots de réalisation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 — Faisabilité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Valider SDK RSP1A, formats, callbacks, licences; capturer 2 MS/s.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Prototype mono-client + rapport de débit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 — Cœur MVP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C++, contrôle, fan-out 4 clients, statistiques, client de test.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Flux réseau stable 8 h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P2 — GUI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Réglages, FFT/waterfall, état et clients.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Application opérateur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P3 — Compatibilité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SoapySDR/ExtIO puis proxy API ciblé.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Matrice logiciels certifiée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P4 — USB virtuel (option)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PoC driver/bus virtuel et certification.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Décision go/no-go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P5 — Industrialisation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Installateurs, signature, sécurité, logs, CI/CD et documentation.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Release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14. Risques et points ouverts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Risque / décision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Traitement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Licence et ABI SDRplay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Peut bloquer le proxy transparent.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Obtenir accord et versions SDK autorisées avant P3.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Logiciels clients visés non listés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Impossible de garantir la compatibilité.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Établir une matrice priorisée (nom/version/OS/32-64 bits).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Émulation USB virtuelle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Coût, signature et maintenance élevés.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PoC isolé; privilégier proxy API/plugin.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Autorité de réglage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Conflits entre clients.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Verrou unique, observateurs et règles de reprise.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Réseau insuffisant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Pertes à 4 clients, surtout F32/Wi-Fi.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I16, Ethernet 1 Gb/s, files bornées, télémétrie.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 exact de “2 MHz”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Bande utile vs 2 MS/s.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Confirmer taux d’échantillonnage et format natif dans P0.</w:t>
            </w:r>
          </w:p>
        </w:tc>
      </w:tr>
    </w:tbl>
    <w:p>
      <w:pPr>
        <w:spacing w:after="40"/>
      </w:pPr>
    </w:p>
    <w:p>
      <w:pPr>
        <w:pStyle w:val="Heading2"/>
      </w:pPr>
      <w:r>
        <w:t>Questions à trancher avant gel de conception</w:t>
      </w:r>
    </w:p>
    <w:p>
      <w:pPr>
        <w:pStyle w:val="ListBullet"/>
      </w:pPr>
      <w:r>
        <w:t>Quels logiciels clients précis et quelles versions doivent fonctionner sans modification ?</w:t>
      </w:r>
    </w:p>
    <w:p>
      <w:pPr>
        <w:pStyle w:val="ListBullet"/>
      </w:pPr>
      <w:r>
        <w:t>Les clients sont-ils des machines Windows distinctes, des VM, ou plusieurs processus sur le même poste ?</w:t>
      </w:r>
    </w:p>
    <w:p>
      <w:pPr>
        <w:pStyle w:val="ListBullet"/>
      </w:pPr>
      <w:r>
        <w:t>Quel client est autorisé à modifier fréquence et gain ? Faut-il une fréquence unique commune ?</w:t>
      </w:r>
    </w:p>
    <w:p>
      <w:pPr>
        <w:pStyle w:val="ListBullet"/>
      </w:pPr>
      <w:r>
        <w:t>Quel format I/Q et quel taux exact fournit le SDK RSP1A pour la configuration cible ?</w:t>
      </w:r>
    </w:p>
    <w:p>
      <w:pPr>
        <w:pStyle w:val="ListBullet"/>
      </w:pPr>
      <w:r>
        <w:t>Le réseau est-il limité à un LAN de confiance ou doit-il fonctionner via WAN/VPN ?</w:t>
      </w:r>
    </w:p>
    <w:p>
      <w:pPr>
        <w:pStyle w:val="Heading1"/>
      </w:pPr>
      <w:r>
        <w:t>15. Définition de terminé</w:t>
      </w:r>
    </w:p>
    <w:p>
      <w:pPr>
        <w:pStyle w:val="ListBullet"/>
      </w:pPr>
      <w:r>
        <w:t>Les exigences Must et les tests AT-01 à AT-08 sont satisfaits sur la plateforme de référence.</w:t>
      </w:r>
    </w:p>
    <w:p>
      <w:pPr>
        <w:pStyle w:val="ListBullet"/>
      </w:pPr>
      <w:r>
        <w:t>Quatre clients reçoivent le même flux 2 MS/s sur Ethernet 1 Gb/s sans perte serveur pendant 8 h.</w:t>
      </w:r>
    </w:p>
    <w:p>
      <w:pPr>
        <w:pStyle w:val="ListBullet"/>
      </w:pPr>
      <w:r>
        <w:t>La GUI présente signal, paramètres, santé et clients sans dégrader le flux.</w:t>
      </w:r>
    </w:p>
    <w:p>
      <w:pPr>
        <w:pStyle w:val="ListBullet"/>
      </w:pPr>
      <w:r>
        <w:t>La matrice de compatibilité indique clairement les combinaisons supportées et les limites.</w:t>
      </w:r>
    </w:p>
    <w:p>
      <w:pPr>
        <w:pStyle w:val="ListBullet"/>
      </w:pPr>
      <w:r>
        <w:t>Installation, désinstallation, sécurité, licences et documentation opérateur sont validées.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36E"/>
        <w:sz w:val="16"/>
      </w:rPr>
      <w:t xml:space="preserve">Version 1.0 — 9 août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9636E"/>
        <w:sz w:val="16"/>
      </w:rPr>
      <w:t>SPÉCIFICATION SYSTÈME  |  PASSERELLE SDR MULTI-CLIENT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color w:val="2026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04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after="80"/>
      <w:ind w:left="216" w:right="144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 logicielle — Passerelle SDR I/Q multi-client</dc:title>
  <dc:subject>Acquisition USB SDRplay RSP1A, diffusion I/Q multi-client et compatibilité logicielle</dc:subject>
  <dc:creator>Équipe projet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