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31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/>
          <w:bCs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/>
          <w:bCs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/>
          <w:bCs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/>
          <w:bCs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/>
          <w:bCs/>
        </w:rPr>
        <w:t xml:space="preserve">kit per domain</w:t>
      </w:r>
      <w:r>
        <w:t xml:space="preserve">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/>
          <w:bCs/>
        </w:rPr>
        <w:t xml:space="preserve">NetKit</w:t>
      </w:r>
      <w:r>
        <w:t xml:space="preserve">,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AudioKit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PrinterKit</w:t>
      </w:r>
      <w:r>
        <w:t xml:space="preserve">,</w:t>
      </w:r>
      <w:r>
        <w:t xml:space="preserve"> </w:t>
      </w:r>
      <w:r>
        <w:rPr>
          <w:b/>
          <w:bCs/>
        </w:rPr>
        <w:t xml:space="preserve">GPIOKit</w:t>
      </w:r>
      <w:r>
        <w:t xml:space="preserve">,</w:t>
      </w:r>
      <w:r>
        <w:t xml:space="preserve"> </w:t>
      </w:r>
      <w:r>
        <w:rPr>
          <w:b/>
          <w:bCs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6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/>
          <w:bCs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/>
          <w:bCs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/>
          <w:bCs/>
        </w:rPr>
        <w:t xml:space="preserve">an app is</w:t>
      </w:r>
      <w:r>
        <w:rPr>
          <w:b/>
          <w:bCs/>
        </w:rPr>
        <w:t xml:space="preserve"> </w:t>
      </w:r>
      <w:r>
        <w:rPr>
          <w:b/>
          <w:bCs/>
        </w:rPr>
        <w:t xml:space="preserve">not rebuilt, and has no code per mode</w:t>
      </w:r>
      <w:r>
        <w:t xml:space="preserve">. (</w:t>
      </w:r>
      <w:hyperlink r:id="rId27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28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0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1"/>
    <w:bookmarkStart w:id="32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2"/>
    <w:bookmarkStart w:id="34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3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4"/>
    <w:bookmarkStart w:id="35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5"/>
    <w:bookmarkStart w:id="37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7"/>
    <w:bookmarkStart w:id="38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8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  <w:b/>
                  <w:bCs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/>
          <w:bCs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/>
          <w:bCs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3"/>
    <w:bookmarkStart w:id="46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/>
          <w:iCs/>
        </w:rPr>
        <w:t xml:space="preserve">Written on 2026-10-09. A comparison of designs and of what each system offers — nothing here was</w:t>
      </w:r>
      <w:r>
        <w:rPr>
          <w:i/>
          <w:iCs/>
        </w:rPr>
        <w:t xml:space="preserve"> </w:t>
      </w:r>
      <w:r>
        <w:rPr>
          <w:i/>
          <w:iCs/>
        </w:rPr>
        <w:t xml:space="preserve">measured, and the other systems move: check their own sites.</w:t>
      </w:r>
    </w:p>
    <w:p>
      <w:pPr>
        <w:pStyle w:val="BodyText"/>
      </w:pPr>
      <w:r>
        <w:rPr>
          <w:b/>
          <w:bCs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 OS</w:t>
            </w:r>
          </w:p>
        </w:tc>
        <w:tc>
          <w:tcPr/>
          <w:p>
            <w:pPr>
              <w:pStyle w:val="Compac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Onyx has that is its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/>
          <w:iCs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/>
          <w:bCs/>
        </w:rPr>
        <w:t xml:space="preserve">What it does not have — by choice.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4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/>
          <w:bCs/>
        </w:rPr>
        <w:t xml:space="preserve">What it does not have — yet, or simply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</w:t>
      </w:r>
      <w:r>
        <w:t xml:space="preserve">: the Raspberry Pi 4 and 400 only — the Pi 5 is a plan (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5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</w:t>
      </w:r>
      <w:r>
        <w:t xml:space="preserve">: English and French; no screen reader.</w:t>
      </w:r>
    </w:p>
    <w:bookmarkEnd w:id="4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2026-10-18T12:34:36Z</dcterms:created>
  <dcterms:modified xsi:type="dcterms:W3CDTF">2026-10-18T12:34:36Z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