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How an Onyx program is built on the system's shared libraries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kits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 short example</w:t>
      </w:r>
      <w:r>
        <w:rPr>
          <w:i/>
          <w:iCs/>
        </w:rPr>
        <w:t xml:space="preserve"> </w:t>
      </w:r>
      <w:r>
        <w:rPr>
          <w:i/>
          <w:iCs/>
        </w:rPr>
        <w:t xml:space="preserve">for each. Each kit has its reference, with every operation it exposes (documents 10 to 19, linked in the</w:t>
      </w:r>
      <w:r>
        <w:rPr>
          <w:i/>
          <w:iCs/>
        </w:rPr>
        <w:t xml:space="preserve"> </w:t>
      </w:r>
      <w:r>
        <w:rPr>
          <w:i/>
          <w:iCs/>
        </w:rPr>
        <w:t xml:space="preserve">table below). Companion of the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Developer Guide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(the build, the application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model, the ports) and of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Kernel Internals</w:t>
        </w:r>
      </w:hyperlink>
      <w:r>
        <w:rPr>
          <w:i/>
          <w:iCs/>
        </w:rPr>
        <w:t xml:space="preserve">.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pStyle w:val="Compact"/>
        <w:numPr>
          <w:ilvl w:val="0"/>
          <w:numId w:val="1001"/>
        </w:numPr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pStyle w:val="Compact"/>
        <w:numPr>
          <w:ilvl w:val="0"/>
          <w:numId w:val="1001"/>
        </w:numPr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pStyle w:val="Compact"/>
        <w:numPr>
          <w:ilvl w:val="0"/>
          <w:numId w:val="1001"/>
        </w:numPr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pStyle w:val="Compact"/>
        <w:numPr>
          <w:ilvl w:val="0"/>
          <w:numId w:val="1001"/>
        </w:numPr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pStyle w:val="Compact"/>
        <w:numPr>
          <w:ilvl w:val="0"/>
          <w:numId w:val="1001"/>
        </w:numPr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pStyle w:val="Compact"/>
        <w:numPr>
          <w:ilvl w:val="0"/>
          <w:numId w:val="1001"/>
        </w:numPr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pStyle w:val="Compact"/>
        <w:numPr>
          <w:ilvl w:val="0"/>
          <w:numId w:val="1001"/>
        </w:numPr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pStyle w:val="Compact"/>
        <w:numPr>
          <w:ilvl w:val="0"/>
          <w:numId w:val="1001"/>
        </w:numPr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pStyle w:val="Compact"/>
        <w:numPr>
          <w:ilvl w:val="0"/>
          <w:numId w:val="1001"/>
        </w:numPr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pStyle w:val="Compact"/>
        <w:numPr>
          <w:ilvl w:val="0"/>
          <w:numId w:val="1001"/>
        </w:numPr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pStyle w:val="Compact"/>
        <w:numPr>
          <w:ilvl w:val="0"/>
          <w:numId w:val="1001"/>
        </w:numPr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pStyle w:val="Compact"/>
        <w:numPr>
          <w:ilvl w:val="0"/>
          <w:numId w:val="1001"/>
        </w:numPr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pStyle w:val="Compact"/>
        <w:numPr>
          <w:ilvl w:val="0"/>
          <w:numId w:val="1001"/>
        </w:numPr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pStyle w:val="Compact"/>
        <w:numPr>
          <w:ilvl w:val="0"/>
          <w:numId w:val="1001"/>
        </w:numPr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2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/>
          <w:bCs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On the card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AppKit</w:t>
            </w:r>
          </w:p>
        </w:tc>
        <w:tc>
          <w:tcPr/>
          <w:p>
            <w:pPr>
              <w:pStyle w:val="Compac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UIKit</w:t>
            </w:r>
          </w:p>
        </w:tc>
        <w:tc>
          <w:tcPr/>
          <w:p>
            <w:pPr>
              <w:pStyle w:val="Compac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NetKit</w:t>
            </w:r>
          </w:p>
        </w:tc>
        <w:tc>
          <w:tcPr/>
          <w:p>
            <w:pPr>
              <w:pStyle w:val="Compac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FileKit</w:t>
            </w:r>
          </w:p>
        </w:tc>
        <w:tc>
          <w:tcPr/>
          <w:p>
            <w:pPr>
              <w:pStyle w:val="Compac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ImageKit</w:t>
            </w:r>
          </w:p>
        </w:tc>
        <w:tc>
          <w:tcPr/>
          <w:p>
            <w:pPr>
              <w:pStyle w:val="Compac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AudioKit</w:t>
            </w:r>
          </w:p>
        </w:tc>
        <w:tc>
          <w:tcPr/>
          <w:p>
            <w:pPr>
              <w:pStyle w:val="Compac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FontKit</w:t>
            </w:r>
          </w:p>
        </w:tc>
        <w:tc>
          <w:tcPr/>
          <w:p>
            <w:pPr>
              <w:pStyle w:val="Compac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GPIOKit</w:t>
            </w:r>
          </w:p>
        </w:tc>
        <w:tc>
          <w:tcPr/>
          <w:p>
            <w:pPr>
              <w:pStyle w:val="Compac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GameKit</w:t>
            </w:r>
          </w:p>
        </w:tc>
        <w:tc>
          <w:tcPr/>
          <w:p>
            <w:pPr>
              <w:pStyle w:val="Compac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/>
          <w:bCs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/>
          <w:bCs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/>
          <w:bCs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2"/>
    <w:bookmarkStart w:id="38" w:name="X85b9036d0c437b6d6abf0631055454f6f74ddb8"/>
    <w:p>
      <w:pPr>
        <w:pStyle w:val="Heading2"/>
      </w:pPr>
      <w:r>
        <w:t xml:space="preserve">2. Using a kit in a program</w:t>
      </w:r>
    </w:p>
    <w:bookmarkStart w:id="33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3"/>
    <w:bookmarkStart w:id="34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/>
          <w:bCs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4"/>
    <w:bookmarkStart w:id="35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5"/>
    <w:bookmarkStart w:id="36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/>
          <w:iCs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/>
          <w:bCs/>
        </w:rPr>
        <w:t xml:space="preserve">a new kit is</w:t>
      </w:r>
      <w:r>
        <w:rPr>
          <w:b/>
          <w:bCs/>
        </w:rPr>
        <w:t xml:space="preserve"> </w:t>
      </w:r>
      <w:r>
        <w:rPr>
          <w:b/>
          <w:bCs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/>
          <w:iCs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6"/>
    <w:bookmarkStart w:id="37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7"/>
    <w:bookmarkEnd w:id="38"/>
    <w:bookmarkStart w:id="39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/>
          <w:bCs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39"/>
    <w:bookmarkStart w:id="40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/>
          <w:bCs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/>
          <w:bCs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/>
          <w:bCs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/>
          <w:bCs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/>
          <w:iCs/>
        </w:rPr>
        <w:t xml:space="preserve">or a</w:t>
      </w:r>
      <w:r>
        <w:rPr>
          <w:i/>
          <w:iCs/>
        </w:rPr>
        <w:t xml:space="preserve"> </w:t>
      </w:r>
      <w:r>
        <w:rPr>
          <w:i/>
          <w:iCs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/>
          <w:bCs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/>
          <w:bCs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/>
          <w:bCs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/>
          <w:iCs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/>
          <w:bCs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/>
          <w:bCs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/>
          <w:bCs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/>
          <w:bCs/>
        </w:rPr>
        <w:t xml:space="preserve">»</w:t>
      </w:r>
      <w:r>
        <w:t xml:space="preserve">),</w:t>
      </w:r>
      <w:r>
        <w:t xml:space="preserve"> </w:t>
      </w:r>
      <w:r>
        <w:rPr>
          <w:b/>
          <w:bCs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/>
          <w:bCs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/>
          <w:bCs/>
        </w:rPr>
        <w:t xml:space="preserve">type</w:t>
      </w:r>
      <w:r>
        <w:t xml:space="preserve">, the</w:t>
      </w:r>
      <w:r>
        <w:t xml:space="preserve"> </w:t>
      </w:r>
      <w:r>
        <w:rPr>
          <w:b/>
          <w:bCs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0"/>
    <w:bookmarkStart w:id="41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/>
          <w:bCs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/>
          <w:bCs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/>
          <w:bCs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/>
          <w:bCs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/>
          <w:bCs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/>
          <w:bCs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/>
          <w:bCs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/>
          <w:bCs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/>
          <w:bCs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/>
          <w:bCs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1"/>
    <w:bookmarkStart w:id="42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2"/>
    <w:bookmarkStart w:id="43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/>
          <w:bCs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/>
          <w:bCs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3"/>
    <w:bookmarkStart w:id="44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/>
          <w:bCs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4"/>
    <w:bookmarkStart w:id="45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/>
          <w:bCs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5"/>
    <w:bookmarkStart w:id="46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6"/>
    <w:bookmarkStart w:id="47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7"/>
    <w:bookmarkStart w:id="48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/>
          <w:bCs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/>
          <w:bCs/>
        </w:rPr>
        <w:t xml:space="preserve">The levels are</w:t>
      </w:r>
      <w:r>
        <w:rPr>
          <w:b/>
          <w:bCs/>
        </w:rPr>
        <w:t xml:space="preserve"> </w:t>
      </w:r>
      <w:r>
        <w:rPr>
          <w:b/>
          <w:bCs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/>
          <w:bCs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/>
          <w:bCs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/>
          <w:iCs/>
        </w:rPr>
        <w:t xml:space="preserve">GPIO</w:t>
      </w:r>
      <w:r>
        <w:t xml:space="preserve">).</w:t>
      </w:r>
    </w:p>
    <w:bookmarkEnd w:id="48"/>
    <w:bookmarkStart w:id="49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/>
          <w:bCs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/>
          <w:bCs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/>
          <w:bCs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b/>
          <w:bCs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/>
          <w:bCs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49"/>
    <w:bookmarkStart w:id="52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/>
          <w:bCs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pStyle w:val="Compact"/>
        <w:numPr>
          <w:ilvl w:val="0"/>
          <w:numId w:val="1004"/>
        </w:numPr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/>
          <w:bCs/>
        </w:rPr>
        <w:t xml:space="preserve">one header a program includes,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pStyle w:val="Compact"/>
        <w:numPr>
          <w:ilvl w:val="0"/>
          <w:numId w:val="1004"/>
        </w:numPr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pStyle w:val="Compact"/>
        <w:numPr>
          <w:ilvl w:val="0"/>
          <w:numId w:val="1004"/>
        </w:numPr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/>
          <w:iCs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</w:pPr>
            <w:r>
              <w:t xml:space="preserve">GameKit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</w:t>
            </w:r>
          </w:p>
        </w:tc>
        <w:tc>
          <w:tcPr/>
          <w:p>
            <w:pPr>
              <w:pStyle w:val="Compact"/>
            </w:pPr>
            <w: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Relationship Type="http://schemas.openxmlformats.org/officeDocument/2006/relationships/hyperlink" Id="rId30" Target="19-GPIOKIT.md" TargetMode="External" /><Relationship Type="http://schemas.openxmlformats.org/officeDocument/2006/relationships/hyperlink" Id="rId31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Relationship Type="http://schemas.openxmlformats.org/officeDocument/2006/relationships/hyperlink" Id="rId30" Target="19-GPIOKIT.md" TargetMode="External" /><Relationship Type="http://schemas.openxmlformats.org/officeDocument/2006/relationships/hyperlink" Id="rId31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2026-10-18T11:12:11Z</dcterms:created>
  <dcterms:modified xsi:type="dcterms:W3CDTF">2026-10-18T11:12:11Z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