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2">
      <w:pPr>
        <w:rPr/>
      </w:pPr>
      <w:r>
        <w:rPr/>
        <w:t xml:space="preserve">🐱</w:t>
        <w:drawing>
          <wp:inline distT="0" distB="0" distL="0" distR="0">
            <wp:extent cx="3048000" cy="22860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d1d0d1"/>
          </w:tcPr>
          <w:p w14:paraId="00000001">
            <w:pPr>
              <w:rPr/>
              <w:jc w:val="left"/>
            </w:pPr>
            <w:r>
              <w:rPr>
                <w:sz w:val="36"/>
                <w:szCs w:val="36"/>
                <w:b/>
                <w:bCs/>
                <w:rFonts w:ascii="Calibri" w:hAnsi="Calibri" w:cs="Calibri"/>
              </w:rPr>
              <w:t xml:space="preserve">Numérologie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