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Buddhism Research Foundation</w:t>
      </w:r>
    </w:p>
    <w:p>
      <w:pPr>
        <w:pStyle w:val="Subtitle"/>
      </w:pPr>
      <w:r>
        <w:t>Comparative Beliefs Encyclopedia • Research and source verification audit</w:t>
      </w:r>
    </w:p>
    <w:p>
      <w:r>
        <w:t>Prepared 21 October 2026</w:t>
      </w:r>
    </w:p>
    <w:p>
      <w:r>
        <w:t>This packet builds the research base for a general-audience Buddhism entry. It supplies an annotated bibliography, a findings matrix, a proposed article outline, an accuracy and sensitivity checklist, and a portfolio relevance assessment. It does not draft the article or choose a final title. The evidence supports a clear starting point: Buddhism is a historically developing, internally diverse religious tradition whose teachings, institutions, texts, and everyday practices vary across time and community. Any short entry should make that diversity visible without implying that every Buddhist shares one canon or one form of practice.</w:t>
      </w:r>
    </w:p>
    <w:p>
      <w:r>
        <w:t>Scope note: This is a source-verification foundation, not an exhaustive literature review. Source descriptions below are based on publisher, journal, or institutional records and the accessible text or abstracts. Where full text is paywalled, the annotation identifies that limit. Scholarly claims should be checked against the relevant chapters before publication.</w:t>
      </w:r>
    </w:p>
    <w:p>
      <w:pPr>
        <w:pStyle w:val="Heading1"/>
      </w:pPr>
      <w:r>
        <w:t>A. Annotated bibliography</w:t>
      </w:r>
    </w:p>
    <w:p>
      <w:r>
        <w:t>Fourteen strong starting sources combine scholarly syntheses, specialist reference entries, an archaeological study, a peer-reviewed methodological article, and representative Buddhist textual resources. The list intentionally includes both academic scholarship and tradition-based primary materials; those source types answer different questions.</w:t>
      </w:r>
    </w:p>
    <w:p>
      <w:pPr>
        <w:keepLines/>
      </w:pPr>
      <w:r>
        <w:rPr>
          <w:b/>
        </w:rPr>
        <w:t xml:space="preserve">1. Dale S. Wright, Buddhism: What Everyone Needs to Know (Oxford University Press, 2020). </w:t>
      </w:r>
      <w:r>
        <w:t xml:space="preserve">A short, reader-friendly academic overview covering origins, early history, diversity, and contemporary Buddhism. OUP describes Wright’s account as an authoritative guide for general readers. Use as the first-pass map for article structure and accessible wording. Limitation: a compact overview cannot settle specialist debates; follow its references for contested claims. </w:t>
      </w:r>
      <w:r>
        <w:rPr>
          <w:i/>
        </w:rPr>
        <w:t>Source record</w:t>
      </w:r>
    </w:p>
    <w:p>
      <w:pPr>
        <w:pStyle w:val="Caption"/>
        <w:spacing w:after="140"/>
      </w:pPr>
      <w:hyperlink r:id="rId11">
        <w:r>
          <w:rPr>
            <w:color w:val="23557D"/>
            <w:u w:val="single"/>
          </w:rPr>
          <w:t>https://academic.oup.com/book/62805?searchresult=1</w:t>
        </w:r>
      </w:hyperlink>
    </w:p>
    <w:p>
      <w:pPr>
        <w:keepLines/>
      </w:pPr>
      <w:r>
        <w:rPr>
          <w:b/>
        </w:rPr>
        <w:t xml:space="preserve">2. Peter Harvey, An Introduction to Buddhism: Teachings, History and Practices, 2nd ed. (Cambridge University Press, 2013; online publication 2012). </w:t>
      </w:r>
      <w:r>
        <w:t xml:space="preserve">A comprehensive textbook by Harvey, Emeritus Professor of Buddhist Studies at the University of Sunderland. Its chapter structure spans early teachings, karma and rebirth, Mahayana, tantric Buddhism, devotion, ethics, the sangha, meditation, modern Asian Buddhism, and Buddhism beyond Asia. It is the strongest single-volume backbone in this packet. Limitation: broad comparative coverage necessarily compresses local variation; use specialist works and tradition-specific sources alongside it. </w:t>
      </w:r>
      <w:r>
        <w:rPr>
          <w:i/>
        </w:rPr>
        <w:t>Source record</w:t>
      </w:r>
    </w:p>
    <w:p>
      <w:pPr>
        <w:pStyle w:val="Caption"/>
        <w:spacing w:after="140"/>
      </w:pPr>
      <w:hyperlink r:id="rId12">
        <w:r>
          <w:rPr>
            <w:color w:val="23557D"/>
            <w:u w:val="single"/>
          </w:rPr>
          <w:t>https://www.cambridge.org/highereducation/books/an-introduction-to-buddhism/9CA7B749D45ABAAB372422AEEE863A97</w:t>
        </w:r>
      </w:hyperlink>
    </w:p>
    <w:p>
      <w:pPr>
        <w:keepLines/>
      </w:pPr>
      <w:r>
        <w:rPr>
          <w:b/>
        </w:rPr>
        <w:t xml:space="preserve">3. Lars Fogelin, An Archaeological History of Indian Buddhism (Oxford University Press, 2015). </w:t>
      </w:r>
      <w:r>
        <w:t xml:space="preserve">Fogelin, Associate Professor of Anthropology at the University of Arizona, synthesizes archaeology, architecture, iconography, inscriptions, and Buddhist historical sources. Particularly useful for grounding institutional and social history beyond scripture and for distinguishing evidence available for early periods from later periods. Limitation: its geographic focus is India, not the full Asian or global history of Buddhism. </w:t>
      </w:r>
      <w:r>
        <w:rPr>
          <w:i/>
        </w:rPr>
        <w:t>Source record</w:t>
      </w:r>
    </w:p>
    <w:p>
      <w:pPr>
        <w:pStyle w:val="Caption"/>
        <w:spacing w:after="140"/>
      </w:pPr>
      <w:hyperlink r:id="rId13">
        <w:r>
          <w:rPr>
            <w:color w:val="23557D"/>
            <w:u w:val="single"/>
          </w:rPr>
          <w:t>https://academic.oup.com/book/7301</w:t>
        </w:r>
      </w:hyperlink>
    </w:p>
    <w:p>
      <w:pPr>
        <w:keepLines/>
      </w:pPr>
      <w:r>
        <w:rPr>
          <w:b/>
        </w:rPr>
        <w:t xml:space="preserve">4. Daniel Veidlinger, “History of the Buddhist Canon,” Oxford Bibliographies in Buddhism (published 2010). </w:t>
      </w:r>
      <w:r>
        <w:t xml:space="preserve">Veidlinger is identified with the Department of Religious Studies at California State University, Chico. This reference entry directly establishes that there is no single fixed canon accepted by all Buddhists and summarizes distinct Pali, Chinese, and Tibetan canon histories. Limitation: the accessible page is an abstract/extract and the full annotated bibliography requires access. </w:t>
      </w:r>
      <w:r>
        <w:rPr>
          <w:i/>
        </w:rPr>
        <w:t>Source record</w:t>
      </w:r>
    </w:p>
    <w:p>
      <w:pPr>
        <w:pStyle w:val="Caption"/>
        <w:spacing w:after="140"/>
      </w:pPr>
      <w:hyperlink r:id="rId14">
        <w:r>
          <w:rPr>
            <w:color w:val="23557D"/>
            <w:u w:val="single"/>
          </w:rPr>
          <w:t>https://academic.oup.com/reference/62340/reference-article-abstract/554134298</w:t>
        </w:r>
      </w:hyperlink>
    </w:p>
    <w:p>
      <w:pPr>
        <w:keepLines/>
      </w:pPr>
      <w:r>
        <w:rPr>
          <w:b/>
        </w:rPr>
        <w:t xml:space="preserve">5. Daniel Boucher, “Mahayana,” Oxford Bibliographies in Buddhism (published 2011; version updated 2021). </w:t>
      </w:r>
      <w:r>
        <w:t xml:space="preserve">Boucher, Associate Professor of Asian Studies at Cornell University, surveys the history and contested definition of Mahayana. The accessible extract describes it as a collection of movements often characterized by bodhisattva commitment and acceptance of some Mahayana texts, with gradual historical development rather than a single founding event. Limitation: the full reference essay is access-restricted; the entry’s framing should be supplemented with primary-text and regional studies. </w:t>
      </w:r>
      <w:r>
        <w:rPr>
          <w:i/>
        </w:rPr>
        <w:t>Source record</w:t>
      </w:r>
    </w:p>
    <w:p>
      <w:pPr>
        <w:pStyle w:val="Caption"/>
        <w:spacing w:after="140"/>
      </w:pPr>
      <w:hyperlink r:id="rId15">
        <w:r>
          <w:rPr>
            <w:color w:val="23557D"/>
            <w:u w:val="single"/>
          </w:rPr>
          <w:t>https://academic.oup.com/reference/62340/reference-article-abstract/554140598</w:t>
        </w:r>
      </w:hyperlink>
    </w:p>
    <w:p>
      <w:pPr>
        <w:keepLines/>
      </w:pPr>
      <w:r>
        <w:rPr>
          <w:b/>
        </w:rPr>
        <w:t xml:space="preserve">6. David Gray, “Buddhism in Tibet,” Oxford Bibliographies in Buddhism (published 2010). </w:t>
      </w:r>
      <w:r>
        <w:t xml:space="preserve">Gray, Associate Professor of Religious Studies at Santa Clara University, outlines transmissions into Tibet and the development of Tibetan schools, including the importance of Indian tantric/Vajrayana materials. Useful for preventing “Tibetan Buddhism” from being treated as a synonym for all Vajrayana or as a single uniform school. Limitation: an overview/reference guide; consult newer specialist work for current debates and regional specificity. </w:t>
      </w:r>
      <w:r>
        <w:rPr>
          <w:i/>
        </w:rPr>
        <w:t>Source record</w:t>
      </w:r>
    </w:p>
    <w:p>
      <w:pPr>
        <w:pStyle w:val="Caption"/>
        <w:spacing w:after="140"/>
      </w:pPr>
      <w:hyperlink r:id="rId16">
        <w:r>
          <w:rPr>
            <w:color w:val="23557D"/>
            <w:u w:val="single"/>
          </w:rPr>
          <w:t>https://academic.oup.com/reference/62340/reference-article-abstract/554143746</w:t>
        </w:r>
      </w:hyperlink>
    </w:p>
    <w:p>
      <w:pPr>
        <w:keepLines/>
      </w:pPr>
      <w:r>
        <w:rPr>
          <w:b/>
        </w:rPr>
        <w:t xml:space="preserve">7. Kate Crosby, Theravada Buddhism: Continuity, Diversity, and Identity (Wiley-Blackwell, 2014). </w:t>
      </w:r>
      <w:r>
        <w:t xml:space="preserve">Crosby is identified by the publisher as a Buddhist Studies scholar at SOAS, University of London. The book treats Theravada history, texts, meditation, devotion, monastic life, gender, politics, and practice beyond a narrow Sri Lanka/Thailand focus. Particularly valuable for correcting the habit of treating Theravada as an unchanging or purely textual tradition. Limitation: its specialist focus does not serve as a balanced overview of all Buddhist traditions. </w:t>
      </w:r>
      <w:r>
        <w:rPr>
          <w:i/>
        </w:rPr>
        <w:t>Source record</w:t>
      </w:r>
    </w:p>
    <w:p>
      <w:pPr>
        <w:pStyle w:val="Caption"/>
        <w:spacing w:after="140"/>
      </w:pPr>
      <w:hyperlink r:id="rId17">
        <w:r>
          <w:rPr>
            <w:color w:val="23557D"/>
            <w:u w:val="single"/>
          </w:rPr>
          <w:t>https://www.wiley-vch.de/en/areas-interest/humanities-social-sciences/theravada-buddhism-978-1-4051-8906-4</w:t>
        </w:r>
      </w:hyperlink>
    </w:p>
    <w:p>
      <w:pPr>
        <w:keepLines/>
      </w:pPr>
      <w:r>
        <w:rPr>
          <w:b/>
        </w:rPr>
        <w:t xml:space="preserve">8. Robert H. Sharf, “Is Mindfulness Buddhist? (And Why It Matters),” Transcultural Psychiatry 52, no. 4 (2015): 470–484; first published online 2014. </w:t>
      </w:r>
      <w:r>
        <w:t xml:space="preserve">Sharf is D. H. Chen Distinguished Professor of Buddhist Studies at the University of California, Berkeley. This peer-reviewed article traces modern “bare attention” mindfulness to specific Burmese reform histories and compares it with other historical innovations; it argues that contemporary mindfulness should not be projected onto Buddhism as a whole. Limitation: a focused, critical argument about meditation and modernity, not a general survey; represent its thesis as a scholarly intervention rather than universal consensus. </w:t>
      </w:r>
      <w:r>
        <w:rPr>
          <w:i/>
        </w:rPr>
        <w:t>Source record</w:t>
      </w:r>
    </w:p>
    <w:p>
      <w:pPr>
        <w:pStyle w:val="Caption"/>
        <w:spacing w:after="140"/>
      </w:pPr>
      <w:hyperlink r:id="rId18">
        <w:r>
          <w:rPr>
            <w:color w:val="23557D"/>
            <w:u w:val="single"/>
          </w:rPr>
          <w:t>https://journals.sagepub.com/doi/10.1177/1363461514557561</w:t>
        </w:r>
      </w:hyperlink>
    </w:p>
    <w:p>
      <w:pPr>
        <w:keepLines/>
      </w:pPr>
      <w:r>
        <w:rPr>
          <w:b/>
        </w:rPr>
        <w:t xml:space="preserve">9. Vanessa R. Sasson and Kristin Scheible, eds., The Buddha: A Storied Life (Oxford University Press, 2023). </w:t>
      </w:r>
      <w:r>
        <w:t xml:space="preserve">The editors are scholars of religious studies; OUP identifies Sasson as Professor of Religious Studies and Research Fellow at the University of the Free State, and Scheible as Professor of Religion and Humanities at Reed College. The collection examines the Buddha’s biography as a multivalent religious narrative that shapes ritual, practice, and Buddhist identity. Useful for separating historical reconstruction from the continuing religious importance of traditional life stories. Limitation: edited collection and narrative focus; not a substitute for a concise chronology or a general survey. </w:t>
      </w:r>
      <w:r>
        <w:rPr>
          <w:i/>
        </w:rPr>
        <w:t>Source record</w:t>
      </w:r>
    </w:p>
    <w:p>
      <w:pPr>
        <w:pStyle w:val="Caption"/>
        <w:spacing w:after="140"/>
      </w:pPr>
      <w:hyperlink r:id="rId19">
        <w:r>
          <w:rPr>
            <w:color w:val="23557D"/>
            <w:u w:val="single"/>
          </w:rPr>
          <w:t>https://academic.oup.com/book/51780</w:t>
        </w:r>
      </w:hyperlink>
    </w:p>
    <w:p>
      <w:pPr>
        <w:keepLines/>
      </w:pPr>
      <w:r>
        <w:rPr>
          <w:b/>
        </w:rPr>
        <w:t xml:space="preserve">10. “Origins and Early History,” in Dale S. Wright, Buddhism: What Everyone Needs to Know (Oxford University Press, 2020). </w:t>
      </w:r>
      <w:r>
        <w:t xml:space="preserve">The accessible chapter summary notes that traditional dates differ and that historians generally place the Buddha in the middle of the fifth century BCE, with death before 400 BCE. Use this only as a cautious broad dating frame; do not give a precise birth/death year as settled fact. Limitation: chapter abstract, not full text. </w:t>
      </w:r>
      <w:r>
        <w:rPr>
          <w:i/>
        </w:rPr>
        <w:t>Source record</w:t>
      </w:r>
    </w:p>
    <w:p>
      <w:pPr>
        <w:pStyle w:val="Caption"/>
        <w:spacing w:after="140"/>
      </w:pPr>
      <w:hyperlink r:id="rId20">
        <w:r>
          <w:rPr>
            <w:color w:val="23557D"/>
            <w:u w:val="single"/>
          </w:rPr>
          <w:t>https://academic.oup.com/book/62805/chapter-abstract/565031782</w:t>
        </w:r>
      </w:hyperlink>
    </w:p>
    <w:p>
      <w:pPr>
        <w:keepLines/>
      </w:pPr>
      <w:r>
        <w:rPr>
          <w:b/>
        </w:rPr>
        <w:t xml:space="preserve">11. SN 56.11, Dhammacakkappavattana Sutta, translation by Bhikkhu Bodhi, SuttaCentral. </w:t>
      </w:r>
      <w:r>
        <w:t xml:space="preserve">A Buddhist textual source commonly associated with the first sermon and the four truths. It is useful for checking how the teaching is actually worded in a particular Pali-text translation. Identify it as a canonical Pali discourse in a modern translation, not as a verbatim transcript whose exact wording is historically demonstrable. Limitation: one text, one canonical lineage, and one translator’s choices; compare parallel texts and translations where wording matters. </w:t>
      </w:r>
      <w:r>
        <w:rPr>
          <w:i/>
        </w:rPr>
        <w:t>Source record</w:t>
      </w:r>
    </w:p>
    <w:p>
      <w:pPr>
        <w:pStyle w:val="Caption"/>
        <w:spacing w:after="140"/>
      </w:pPr>
      <w:hyperlink r:id="rId21">
        <w:r>
          <w:rPr>
            <w:color w:val="23557D"/>
            <w:u w:val="single"/>
          </w:rPr>
          <w:t>https://suttacentral.net/sn56.11/en/bodhi</w:t>
        </w:r>
      </w:hyperlink>
    </w:p>
    <w:p>
      <w:pPr>
        <w:keepLines/>
      </w:pPr>
      <w:r>
        <w:rPr>
          <w:b/>
        </w:rPr>
        <w:t xml:space="preserve">12. 84000: Translating the Words of the Buddha, Reading Room and project overview. </w:t>
      </w:r>
      <w:r>
        <w:t xml:space="preserve">A major translation project presenting texts from the Tibetan Buddhist canon. Use it for Tibetan canonical materials and the tradition’s own textual categories, with attention to the translator’s introduction and text type. Limitation: the published corpus is growing and should not be presented as the entirety of Buddhist scripture or as representative of all Buddhist traditions. </w:t>
      </w:r>
      <w:r>
        <w:rPr>
          <w:i/>
        </w:rPr>
        <w:t>Source record</w:t>
      </w:r>
    </w:p>
    <w:p>
      <w:pPr>
        <w:pStyle w:val="Caption"/>
        <w:spacing w:after="140"/>
      </w:pPr>
      <w:hyperlink r:id="rId22">
        <w:r>
          <w:rPr>
            <w:color w:val="23557D"/>
            <w:u w:val="single"/>
          </w:rPr>
          <w:t>https://84000.co/</w:t>
        </w:r>
      </w:hyperlink>
    </w:p>
    <w:p>
      <w:pPr>
        <w:keepLines/>
      </w:pPr>
      <w:r>
        <w:rPr>
          <w:b/>
        </w:rPr>
        <w:t xml:space="preserve">13. “Introduction,” The Oxford Handbook of Lived Buddhism (Oxford University Press, 2024). </w:t>
      </w:r>
      <w:r>
        <w:t xml:space="preserve">The accessible chapter introduction describes scholarship that uses textual reading and ethnographic methods to investigate Buddhist belief and practice across communities, periods, and traditions. It supports the decision to include devotional, ritual, material, institutional, and lay life instead of reducing Buddhism to abstract doctrine. Limitation: a collected handbook of cases is selective by design; no single case generalizes to all Buddhists. </w:t>
      </w:r>
      <w:r>
        <w:rPr>
          <w:i/>
        </w:rPr>
        <w:t>Source record</w:t>
      </w:r>
    </w:p>
    <w:p>
      <w:pPr>
        <w:pStyle w:val="Caption"/>
        <w:spacing w:after="140"/>
      </w:pPr>
      <w:hyperlink r:id="rId23">
        <w:r>
          <w:rPr>
            <w:color w:val="23557D"/>
            <w:u w:val="single"/>
          </w:rPr>
          <w:t>https://academic.oup.com/edited-volume/56065/chapter/533145729</w:t>
        </w:r>
      </w:hyperlink>
    </w:p>
    <w:p>
      <w:pPr>
        <w:keepLines/>
      </w:pPr>
      <w:r>
        <w:rPr>
          <w:b/>
        </w:rPr>
        <w:t xml:space="preserve">14. Lars Fogelin, “From the Buddha to Ashoka: c. 600–200 BCE,” in An Archaeological History of Indian Buddhism (Oxford University Press, 2015). </w:t>
      </w:r>
      <w:r>
        <w:t xml:space="preserve">This chapter abstract explicitly describes the early archaeological, historical, iconographic, and inscriptional evidence as fragmentary and limited, with more evidence from the third century BCE, including Ashokan inscriptions. It is a useful guardrail for historical claims about early Buddhism. Limitation: chapter abstract only; the full argument and evidence need checking before publication. </w:t>
      </w:r>
      <w:r>
        <w:rPr>
          <w:i/>
        </w:rPr>
        <w:t>Source record</w:t>
      </w:r>
    </w:p>
    <w:p>
      <w:pPr>
        <w:pStyle w:val="Caption"/>
        <w:spacing w:after="140"/>
      </w:pPr>
      <w:hyperlink r:id="rId24">
        <w:r>
          <w:rPr>
            <w:color w:val="23557D"/>
            <w:u w:val="single"/>
          </w:rPr>
          <w:t>https://academic.oup.com/book/7301/chapter-abstract/152029196</w:t>
        </w:r>
      </w:hyperlink>
    </w:p>
    <w:p>
      <w:pPr>
        <w:pStyle w:val="Heading1"/>
      </w:pPr>
      <w:r>
        <w:t>B. Research findings matrix</w:t>
      </w:r>
    </w:p>
    <w:p>
      <w:r>
        <w:t>The synthesis below distinguishes broad scholarly convergence from tradition-specific claims and unresolved questions. “High confidence” here means the framing is well supported across the selected sources, not that every detail is uncontested.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4003"/>
        <w:gridCol w:w="3528"/>
        <w:gridCol w:w="1037"/>
      </w:tblGrid>
      <w:tr>
        <w:trPr>
          <w:tblHeader w:val="true"/>
          <w:cantSplit/>
        </w:trPr>
        <w:tc>
          <w:tcPr>
            <w:tcW w:type="dxa" w:w="2498"/>
            <w:shd w:fill="244563"/>
            <w:vAlign w:val="center"/>
            <w:tcMar>
              <w:top w:w="90" w:type="dxa"/>
              <w:start w:w="100" w:type="dxa"/>
              <w:bottom w:w="90" w:type="dxa"/>
              <w:end w:w="100" w:type="dxa"/>
            </w:tcMar>
          </w:tcPr>
          <w:p>
            <w:pPr>
              <w:spacing w:line="247" w:lineRule="auto"/>
            </w:pPr>
            <w:r>
              <w:rPr>
                <w:b/>
                <w:color w:val="FFFFFF"/>
                <w:sz w:val="16"/>
              </w:rPr>
              <w:t>Topic</w:t>
            </w:r>
          </w:p>
        </w:tc>
        <w:tc>
          <w:tcPr>
            <w:tcW w:type="dxa" w:w="2498"/>
            <w:shd w:fill="244563"/>
            <w:vAlign w:val="center"/>
            <w:tcMar>
              <w:top w:w="90" w:type="dxa"/>
              <w:start w:w="100" w:type="dxa"/>
              <w:bottom w:w="90" w:type="dxa"/>
              <w:end w:w="100" w:type="dxa"/>
            </w:tcMar>
          </w:tcPr>
          <w:p>
            <w:pPr>
              <w:spacing w:line="247" w:lineRule="auto"/>
            </w:pPr>
            <w:r>
              <w:rPr>
                <w:b/>
                <w:color w:val="FFFFFF"/>
                <w:sz w:val="16"/>
              </w:rPr>
              <w:t>Supported synthesis</w:t>
            </w:r>
          </w:p>
        </w:tc>
        <w:tc>
          <w:tcPr>
            <w:tcW w:type="dxa" w:w="2498"/>
            <w:shd w:fill="244563"/>
            <w:vAlign w:val="center"/>
            <w:tcMar>
              <w:top w:w="90" w:type="dxa"/>
              <w:start w:w="100" w:type="dxa"/>
              <w:bottom w:w="90" w:type="dxa"/>
              <w:end w:w="100" w:type="dxa"/>
            </w:tcMar>
          </w:tcPr>
          <w:p>
            <w:pPr>
              <w:spacing w:line="247" w:lineRule="auto"/>
            </w:pPr>
            <w:r>
              <w:rPr>
                <w:b/>
                <w:color w:val="FFFFFF"/>
                <w:sz w:val="16"/>
              </w:rPr>
              <w:t>Agreement and caution</w:t>
            </w:r>
          </w:p>
        </w:tc>
        <w:tc>
          <w:tcPr>
            <w:tcW w:type="dxa" w:w="2498"/>
            <w:shd w:fill="244563"/>
            <w:vAlign w:val="center"/>
            <w:tcMar>
              <w:top w:w="90" w:type="dxa"/>
              <w:start w:w="100" w:type="dxa"/>
              <w:bottom w:w="90" w:type="dxa"/>
              <w:end w:w="100" w:type="dxa"/>
            </w:tcMar>
          </w:tcPr>
          <w:p>
            <w:pPr>
              <w:spacing w:line="247" w:lineRule="auto"/>
            </w:pPr>
            <w:r>
              <w:rPr>
                <w:b/>
                <w:color w:val="FFFFFF"/>
                <w:sz w:val="16"/>
              </w:rPr>
              <w:t>Sources</w:t>
            </w:r>
          </w:p>
        </w:tc>
      </w:tr>
      <w:tr>
        <w:trPr>
          <w:cantSplit/>
        </w:trPr>
        <w:tc>
          <w:tcPr>
            <w:tcW w:type="dxa" w:w="1786"/>
            <w:vAlign w:val="center"/>
            <w:tcMar>
              <w:top w:w="90" w:type="dxa"/>
              <w:start w:w="100" w:type="dxa"/>
              <w:bottom w:w="90" w:type="dxa"/>
              <w:end w:w="100" w:type="dxa"/>
            </w:tcMar>
          </w:tcPr>
          <w:p>
            <w:pPr>
              <w:spacing w:after="40" w:line="247" w:lineRule="auto"/>
            </w:pPr>
            <w:r>
              <w:rPr>
                <w:sz w:val="16"/>
              </w:rPr>
              <w:t>Origins and evidence</w:t>
            </w:r>
          </w:p>
        </w:tc>
        <w:tc>
          <w:tcPr>
            <w:tcW w:type="dxa" w:w="4003"/>
            <w:vAlign w:val="center"/>
            <w:tcMar>
              <w:top w:w="90" w:type="dxa"/>
              <w:start w:w="100" w:type="dxa"/>
              <w:bottom w:w="90" w:type="dxa"/>
              <w:end w:w="100" w:type="dxa"/>
            </w:tcMar>
          </w:tcPr>
          <w:p>
            <w:pPr>
              <w:spacing w:after="40" w:line="247" w:lineRule="auto"/>
            </w:pPr>
            <w:r>
              <w:rPr>
                <w:sz w:val="16"/>
              </w:rPr>
              <w:t>Buddhism emerged in northeastern/northern India within a wider South Asian religious and intellectual world. A historical Gotama is generally placed around the fifth century BCE, but precise dates and many biographical details remain uncertain. Early textual transmission was oral; inscriptions and archaeology become more visible later.</w:t>
            </w:r>
          </w:p>
        </w:tc>
        <w:tc>
          <w:tcPr>
            <w:tcW w:type="dxa" w:w="3528"/>
            <w:vAlign w:val="center"/>
            <w:tcMar>
              <w:top w:w="90" w:type="dxa"/>
              <w:start w:w="100" w:type="dxa"/>
              <w:bottom w:w="90" w:type="dxa"/>
              <w:end w:w="100" w:type="dxa"/>
            </w:tcMar>
          </w:tcPr>
          <w:p>
            <w:pPr>
              <w:spacing w:after="40" w:line="247" w:lineRule="auto"/>
            </w:pPr>
            <w:r>
              <w:rPr>
                <w:sz w:val="16"/>
              </w:rPr>
              <w:t>Strong for broad frame; specific chronology and biography debated. Do not treat later biographies as modern historical records.</w:t>
            </w:r>
          </w:p>
        </w:tc>
        <w:tc>
          <w:tcPr>
            <w:tcW w:type="dxa" w:w="1037"/>
            <w:vAlign w:val="center"/>
            <w:tcMar>
              <w:top w:w="90" w:type="dxa"/>
              <w:start w:w="100" w:type="dxa"/>
              <w:bottom w:w="90" w:type="dxa"/>
              <w:end w:w="100" w:type="dxa"/>
            </w:tcMar>
          </w:tcPr>
          <w:p>
            <w:pPr>
              <w:spacing w:after="40" w:line="247" w:lineRule="auto"/>
            </w:pPr>
            <w:r>
              <w:rPr>
                <w:sz w:val="16"/>
              </w:rPr>
              <w:t>[1][2][3][9][10][14]</w:t>
            </w:r>
          </w:p>
        </w:tc>
      </w:tr>
      <w:tr>
        <w:trPr>
          <w:cantSplit/>
        </w:trPr>
        <w:tc>
          <w:tcPr>
            <w:tcW w:type="dxa" w:w="1786"/>
            <w:vAlign w:val="center"/>
            <w:tcMar>
              <w:top w:w="90" w:type="dxa"/>
              <w:start w:w="100" w:type="dxa"/>
              <w:bottom w:w="90" w:type="dxa"/>
              <w:end w:w="100" w:type="dxa"/>
            </w:tcMar>
            <w:shd w:fill="F1F5F8"/>
          </w:tcPr>
          <w:p>
            <w:pPr>
              <w:spacing w:after="40" w:line="247" w:lineRule="auto"/>
            </w:pPr>
            <w:r>
              <w:rPr>
                <w:sz w:val="16"/>
              </w:rPr>
              <w:t>Foundational teachings</w:t>
            </w:r>
          </w:p>
        </w:tc>
        <w:tc>
          <w:tcPr>
            <w:tcW w:type="dxa" w:w="4003"/>
            <w:vAlign w:val="center"/>
            <w:tcMar>
              <w:top w:w="90" w:type="dxa"/>
              <w:start w:w="100" w:type="dxa"/>
              <w:bottom w:w="90" w:type="dxa"/>
              <w:end w:w="100" w:type="dxa"/>
            </w:tcMar>
            <w:shd w:fill="F1F5F8"/>
          </w:tcPr>
          <w:p>
            <w:pPr>
              <w:spacing w:after="40" w:line="247" w:lineRule="auto"/>
            </w:pPr>
            <w:r>
              <w:rPr>
                <w:sz w:val="16"/>
              </w:rPr>
              <w:t>The four truths, path, dependent arising, impermanence, non-self, karma, rebirth, and nirvana are central in many accounts, but translations and doctrinal interpretation vary. “Suffering” is often an incomplete rendering of dukkha; it includes unsatisfactoriness and instability. Karma is ethically consequential action, not simply fate.</w:t>
            </w:r>
          </w:p>
        </w:tc>
        <w:tc>
          <w:tcPr>
            <w:tcW w:type="dxa" w:w="3528"/>
            <w:vAlign w:val="center"/>
            <w:tcMar>
              <w:top w:w="90" w:type="dxa"/>
              <w:start w:w="100" w:type="dxa"/>
              <w:bottom w:w="90" w:type="dxa"/>
              <w:end w:w="100" w:type="dxa"/>
            </w:tcMar>
            <w:shd w:fill="F1F5F8"/>
          </w:tcPr>
          <w:p>
            <w:pPr>
              <w:spacing w:after="40" w:line="247" w:lineRule="auto"/>
            </w:pPr>
            <w:r>
              <w:rPr>
                <w:sz w:val="16"/>
              </w:rPr>
              <w:t>Core terms recur widely; interpretation varies across texts, schools, and historical settings. Explain the terms briefly and avoid reducing them to slogans.</w:t>
            </w:r>
          </w:p>
        </w:tc>
        <w:tc>
          <w:tcPr>
            <w:tcW w:type="dxa" w:w="1037"/>
            <w:vAlign w:val="center"/>
            <w:tcMar>
              <w:top w:w="90" w:type="dxa"/>
              <w:start w:w="100" w:type="dxa"/>
              <w:bottom w:w="90" w:type="dxa"/>
              <w:end w:w="100" w:type="dxa"/>
            </w:tcMar>
            <w:shd w:fill="F1F5F8"/>
          </w:tcPr>
          <w:p>
            <w:pPr>
              <w:spacing w:after="40" w:line="247" w:lineRule="auto"/>
            </w:pPr>
            <w:r>
              <w:rPr>
                <w:sz w:val="16"/>
              </w:rPr>
              <w:t>[1][2][7][11]</w:t>
            </w:r>
          </w:p>
        </w:tc>
      </w:tr>
      <w:tr>
        <w:trPr>
          <w:cantSplit/>
        </w:trPr>
        <w:tc>
          <w:tcPr>
            <w:tcW w:type="dxa" w:w="1786"/>
            <w:vAlign w:val="center"/>
            <w:tcMar>
              <w:top w:w="90" w:type="dxa"/>
              <w:start w:w="100" w:type="dxa"/>
              <w:bottom w:w="90" w:type="dxa"/>
              <w:end w:w="100" w:type="dxa"/>
            </w:tcMar>
          </w:tcPr>
          <w:p>
            <w:pPr>
              <w:spacing w:after="40" w:line="247" w:lineRule="auto"/>
            </w:pPr>
            <w:r>
              <w:rPr>
                <w:sz w:val="16"/>
              </w:rPr>
              <w:t>Practice and community</w:t>
            </w:r>
          </w:p>
        </w:tc>
        <w:tc>
          <w:tcPr>
            <w:tcW w:type="dxa" w:w="4003"/>
            <w:vAlign w:val="center"/>
            <w:tcMar>
              <w:top w:w="90" w:type="dxa"/>
              <w:start w:w="100" w:type="dxa"/>
              <w:bottom w:w="90" w:type="dxa"/>
              <w:end w:w="100" w:type="dxa"/>
            </w:tcMar>
          </w:tcPr>
          <w:p>
            <w:pPr>
              <w:spacing w:after="40" w:line="247" w:lineRule="auto"/>
            </w:pPr>
            <w:r>
              <w:rPr>
                <w:sz w:val="16"/>
              </w:rPr>
              <w:t>Buddhist life includes ethical conduct, monastic discipline, study, meditation, devotional activity, ritual, chanting, offerings, pilgrimage, merit-making, and lay/monastic relationships. Which practices are central depends on location, lineage, role, and period.</w:t>
            </w:r>
          </w:p>
        </w:tc>
        <w:tc>
          <w:tcPr>
            <w:tcW w:type="dxa" w:w="3528"/>
            <w:vAlign w:val="center"/>
            <w:tcMar>
              <w:top w:w="90" w:type="dxa"/>
              <w:start w:w="100" w:type="dxa"/>
              <w:bottom w:w="90" w:type="dxa"/>
              <w:end w:w="100" w:type="dxa"/>
            </w:tcMar>
          </w:tcPr>
          <w:p>
            <w:pPr>
              <w:spacing w:after="40" w:line="247" w:lineRule="auto"/>
            </w:pPr>
            <w:r>
              <w:rPr>
                <w:sz w:val="16"/>
              </w:rPr>
              <w:t>Strong diversity finding. Meditation is important but cannot stand for all Buddhist practice or all Buddhists.</w:t>
            </w:r>
          </w:p>
        </w:tc>
        <w:tc>
          <w:tcPr>
            <w:tcW w:type="dxa" w:w="1037"/>
            <w:vAlign w:val="center"/>
            <w:tcMar>
              <w:top w:w="90" w:type="dxa"/>
              <w:start w:w="100" w:type="dxa"/>
              <w:bottom w:w="90" w:type="dxa"/>
              <w:end w:w="100" w:type="dxa"/>
            </w:tcMar>
          </w:tcPr>
          <w:p>
            <w:pPr>
              <w:spacing w:after="40" w:line="247" w:lineRule="auto"/>
            </w:pPr>
            <w:r>
              <w:rPr>
                <w:sz w:val="16"/>
              </w:rPr>
              <w:t>[2][3][7][8][13]</w:t>
            </w:r>
          </w:p>
        </w:tc>
      </w:tr>
      <w:tr>
        <w:trPr>
          <w:cantSplit/>
        </w:trPr>
        <w:tc>
          <w:tcPr>
            <w:tcW w:type="dxa" w:w="1786"/>
            <w:vAlign w:val="center"/>
            <w:tcMar>
              <w:top w:w="90" w:type="dxa"/>
              <w:start w:w="100" w:type="dxa"/>
              <w:bottom w:w="90" w:type="dxa"/>
              <w:end w:w="100" w:type="dxa"/>
            </w:tcMar>
            <w:shd w:fill="F1F5F8"/>
          </w:tcPr>
          <w:p>
            <w:pPr>
              <w:spacing w:after="40" w:line="247" w:lineRule="auto"/>
            </w:pPr>
            <w:r>
              <w:rPr>
                <w:sz w:val="16"/>
              </w:rPr>
              <w:t>Traditions and labels</w:t>
            </w:r>
          </w:p>
        </w:tc>
        <w:tc>
          <w:tcPr>
            <w:tcW w:type="dxa" w:w="4003"/>
            <w:vAlign w:val="center"/>
            <w:tcMar>
              <w:top w:w="90" w:type="dxa"/>
              <w:start w:w="100" w:type="dxa"/>
              <w:bottom w:w="90" w:type="dxa"/>
              <w:end w:w="100" w:type="dxa"/>
            </w:tcMar>
            <w:shd w:fill="F1F5F8"/>
          </w:tcPr>
          <w:p>
            <w:pPr>
              <w:spacing w:after="40" w:line="247" w:lineRule="auto"/>
            </w:pPr>
            <w:r>
              <w:rPr>
                <w:sz w:val="16"/>
              </w:rPr>
              <w:t>Theravada, Mahayana, and Vajrayana are useful large-scale labels but not three tidy, mutually exclusive denominations. Mahayana is a broad set of movements; Vajrayana developed in Indian Buddhist contexts and is commonly understood as a tantric form within Mahayana, while also carrying distinct identities and classifications in particular traditions.</w:t>
            </w:r>
          </w:p>
        </w:tc>
        <w:tc>
          <w:tcPr>
            <w:tcW w:type="dxa" w:w="3528"/>
            <w:vAlign w:val="center"/>
            <w:tcMar>
              <w:top w:w="90" w:type="dxa"/>
              <w:start w:w="100" w:type="dxa"/>
              <w:bottom w:w="90" w:type="dxa"/>
              <w:end w:w="100" w:type="dxa"/>
            </w:tcMar>
            <w:shd w:fill="F1F5F8"/>
          </w:tcPr>
          <w:p>
            <w:pPr>
              <w:spacing w:after="40" w:line="247" w:lineRule="auto"/>
            </w:pPr>
            <w:r>
              <w:rPr>
                <w:sz w:val="16"/>
              </w:rPr>
              <w:t>Broad historical relationships are supportable; the “three vehicles” taxonomy changes by source and doctrinal context. Avoid “Hinayana” as a neutral synonym for Theravada.</w:t>
            </w:r>
          </w:p>
        </w:tc>
        <w:tc>
          <w:tcPr>
            <w:tcW w:type="dxa" w:w="1037"/>
            <w:vAlign w:val="center"/>
            <w:tcMar>
              <w:top w:w="90" w:type="dxa"/>
              <w:start w:w="100" w:type="dxa"/>
              <w:bottom w:w="90" w:type="dxa"/>
              <w:end w:w="100" w:type="dxa"/>
            </w:tcMar>
            <w:shd w:fill="F1F5F8"/>
          </w:tcPr>
          <w:p>
            <w:pPr>
              <w:spacing w:after="40" w:line="247" w:lineRule="auto"/>
            </w:pPr>
            <w:r>
              <w:rPr>
                <w:sz w:val="16"/>
              </w:rPr>
              <w:t>[2][5][6][7]</w:t>
            </w:r>
          </w:p>
        </w:tc>
      </w:tr>
      <w:tr>
        <w:trPr>
          <w:cantSplit/>
        </w:trPr>
        <w:tc>
          <w:tcPr>
            <w:tcW w:type="dxa" w:w="1786"/>
            <w:vAlign w:val="center"/>
            <w:tcMar>
              <w:top w:w="90" w:type="dxa"/>
              <w:start w:w="100" w:type="dxa"/>
              <w:bottom w:w="90" w:type="dxa"/>
              <w:end w:w="100" w:type="dxa"/>
            </w:tcMar>
          </w:tcPr>
          <w:p>
            <w:pPr>
              <w:spacing w:after="40" w:line="247" w:lineRule="auto"/>
            </w:pPr>
            <w:r>
              <w:rPr>
                <w:sz w:val="16"/>
              </w:rPr>
              <w:t>Common simplifications</w:t>
            </w:r>
          </w:p>
        </w:tc>
        <w:tc>
          <w:tcPr>
            <w:tcW w:type="dxa" w:w="4003"/>
            <w:vAlign w:val="center"/>
            <w:tcMar>
              <w:top w:w="90" w:type="dxa"/>
              <w:start w:w="100" w:type="dxa"/>
              <w:bottom w:w="90" w:type="dxa"/>
              <w:end w:w="100" w:type="dxa"/>
            </w:tcMar>
          </w:tcPr>
          <w:p>
            <w:pPr>
              <w:spacing w:after="40" w:line="247" w:lineRule="auto"/>
            </w:pPr>
            <w:r>
              <w:rPr>
                <w:sz w:val="16"/>
              </w:rPr>
              <w:t>Buddhism is not only a philosophy or secular mindfulness; not every Buddhist meditates; Buddhist textual authority is plural; Buddhist traditions include devotional and cosmological worlds; and Buddhist communities have histories of both nonviolence ideals and political entanglement.</w:t>
            </w:r>
          </w:p>
        </w:tc>
        <w:tc>
          <w:tcPr>
            <w:tcW w:type="dxa" w:w="3528"/>
            <w:vAlign w:val="center"/>
            <w:tcMar>
              <w:top w:w="90" w:type="dxa"/>
              <w:start w:w="100" w:type="dxa"/>
              <w:bottom w:w="90" w:type="dxa"/>
              <w:end w:w="100" w:type="dxa"/>
            </w:tcMar>
          </w:tcPr>
          <w:p>
            <w:pPr>
              <w:spacing w:after="40" w:line="247" w:lineRule="auto"/>
            </w:pPr>
            <w:r>
              <w:rPr>
                <w:sz w:val="16"/>
              </w:rPr>
              <w:t>Well supported as corrections, but each should be made with examples and qualification rather than another sweeping generalization.</w:t>
            </w:r>
          </w:p>
        </w:tc>
        <w:tc>
          <w:tcPr>
            <w:tcW w:type="dxa" w:w="1037"/>
            <w:vAlign w:val="center"/>
            <w:tcMar>
              <w:top w:w="90" w:type="dxa"/>
              <w:start w:w="100" w:type="dxa"/>
              <w:bottom w:w="90" w:type="dxa"/>
              <w:end w:w="100" w:type="dxa"/>
            </w:tcMar>
          </w:tcPr>
          <w:p>
            <w:pPr>
              <w:spacing w:after="40" w:line="247" w:lineRule="auto"/>
            </w:pPr>
            <w:r>
              <w:rPr>
                <w:sz w:val="16"/>
              </w:rPr>
              <w:t>[2][4][7][8][13]</w:t>
            </w:r>
          </w:p>
        </w:tc>
      </w:tr>
      <w:tr>
        <w:trPr>
          <w:cantSplit/>
        </w:trPr>
        <w:tc>
          <w:tcPr>
            <w:tcW w:type="dxa" w:w="1786"/>
            <w:vAlign w:val="center"/>
            <w:tcMar>
              <w:top w:w="90" w:type="dxa"/>
              <w:start w:w="100" w:type="dxa"/>
              <w:bottom w:w="90" w:type="dxa"/>
              <w:end w:w="100" w:type="dxa"/>
            </w:tcMar>
            <w:shd w:fill="F1F5F8"/>
          </w:tcPr>
          <w:p>
            <w:pPr>
              <w:spacing w:after="40" w:line="247" w:lineRule="auto"/>
            </w:pPr>
            <w:r>
              <w:rPr>
                <w:sz w:val="16"/>
              </w:rPr>
              <w:t>Comparative South Asian context</w:t>
            </w:r>
          </w:p>
        </w:tc>
        <w:tc>
          <w:tcPr>
            <w:tcW w:type="dxa" w:w="4003"/>
            <w:vAlign w:val="center"/>
            <w:tcMar>
              <w:top w:w="90" w:type="dxa"/>
              <w:start w:w="100" w:type="dxa"/>
              <w:bottom w:w="90" w:type="dxa"/>
              <w:end w:w="100" w:type="dxa"/>
            </w:tcMar>
            <w:shd w:fill="F1F5F8"/>
          </w:tcPr>
          <w:p>
            <w:pPr>
              <w:spacing w:after="40" w:line="247" w:lineRule="auto"/>
            </w:pPr>
            <w:r>
              <w:rPr>
                <w:sz w:val="16"/>
              </w:rPr>
              <w:t>Buddhism developed in dialogue, debate, and shared environments with other South Asian traditions, including Brahmanical traditions and Jain communities. Terms such as karma, rebirth, renunciation, and liberation have overlapping histories but do not mean exactly the same thing across traditions. “Hinduism” itself is historically diverse and should not be treated as a single unchanging counterpart.</w:t>
            </w:r>
          </w:p>
        </w:tc>
        <w:tc>
          <w:tcPr>
            <w:tcW w:type="dxa" w:w="3528"/>
            <w:vAlign w:val="center"/>
            <w:tcMar>
              <w:top w:w="90" w:type="dxa"/>
              <w:start w:w="100" w:type="dxa"/>
              <w:bottom w:w="90" w:type="dxa"/>
              <w:end w:w="100" w:type="dxa"/>
            </w:tcMar>
            <w:shd w:fill="F1F5F8"/>
          </w:tcPr>
          <w:p>
            <w:pPr>
              <w:spacing w:after="40" w:line="247" w:lineRule="auto"/>
            </w:pPr>
            <w:r>
              <w:rPr>
                <w:sz w:val="16"/>
              </w:rPr>
              <w:t>Contextual relationship is clear; the scope of influence, borrowing, and polemic requires claim-by-claim specialist sourcing.</w:t>
            </w:r>
          </w:p>
        </w:tc>
        <w:tc>
          <w:tcPr>
            <w:tcW w:type="dxa" w:w="1037"/>
            <w:vAlign w:val="center"/>
            <w:tcMar>
              <w:top w:w="90" w:type="dxa"/>
              <w:start w:w="100" w:type="dxa"/>
              <w:bottom w:w="90" w:type="dxa"/>
              <w:end w:w="100" w:type="dxa"/>
            </w:tcMar>
            <w:shd w:fill="F1F5F8"/>
          </w:tcPr>
          <w:p>
            <w:pPr>
              <w:spacing w:after="40" w:line="247" w:lineRule="auto"/>
            </w:pPr>
            <w:r>
              <w:rPr>
                <w:sz w:val="16"/>
              </w:rPr>
              <w:t>[2][3][10]</w:t>
            </w:r>
          </w:p>
        </w:tc>
      </w:tr>
    </w:tbl>
    <w:p>
      <w:pPr>
        <w:pStyle w:val="Heading2"/>
      </w:pPr>
      <w:r>
        <w:t>Working conclusions for the author</w:t>
      </w:r>
    </w:p>
    <w:p>
      <w:pPr>
        <w:pStyle w:val="ListBullet"/>
      </w:pPr>
      <w:r>
        <w:t>Use “Buddhism” for a family of historically related traditions, not a uniform belief checklist.</w:t>
      </w:r>
    </w:p>
    <w:p>
      <w:pPr>
        <w:pStyle w:val="ListBullet"/>
      </w:pPr>
      <w:r>
        <w:t>Separate three questions in prose: what a Buddhist text or lineage teaches, what historians can infer, and what particular communities do.</w:t>
      </w:r>
    </w:p>
    <w:p>
      <w:pPr>
        <w:pStyle w:val="ListBullet"/>
      </w:pPr>
      <w:r>
        <w:t>Lead with the tradition’s practical and religious dimensions as well as its philosophical ideas; represent laypeople and institutions alongside elite texts and meditation specialists.</w:t>
      </w:r>
    </w:p>
    <w:p>
      <w:pPr>
        <w:pStyle w:val="ListBullet"/>
      </w:pPr>
      <w:r>
        <w:t>Use transliterated terms sparingly, giving Pali/Sanskrit variants where useful and explaining translation choices such as dukkha, anattā/anātman, karma, and nirvana/nibbāna.</w:t>
      </w:r>
    </w:p>
    <w:p>
      <w:pPr>
        <w:pStyle w:val="ListBullet"/>
      </w:pPr>
      <w:r>
        <w:t>For each general claim, name the scope: “in many traditions,” “in this Pali discourse,” “in some Tibetan schools,” or a named place and period.</w:t>
      </w:r>
    </w:p>
    <w:p>
      <w:pPr>
        <w:pStyle w:val="Heading1"/>
      </w:pPr>
      <w:r>
        <w:t>C. Proposed encyclopedia entry outline</w:t>
      </w:r>
    </w:p>
    <w:p>
      <w:r>
        <w:t>Target length: approximately 1,700 words, within the requested 1,500–2,000-word range. This is a writing plan only; the entry has not been drafted.</w:t>
      </w:r>
    </w:p>
    <w:p>
      <w:pPr>
        <w:keepNext/>
      </w:pPr>
      <w:r>
        <w:rPr>
          <w:b/>
        </w:rPr>
        <w:t>1. What Buddhism is (150–200 words)</w:t>
      </w:r>
    </w:p>
    <w:p>
      <w:r>
        <w:t>Introduce Buddhism as a diverse religious tradition rooted in South Asia and centered on awakening/liberation, the Buddha, teachings (dharma/dhamma), and communities (sangha). Signal diversity from the start.</w:t>
      </w:r>
    </w:p>
    <w:p>
      <w:pPr>
        <w:keepNext/>
      </w:pPr>
      <w:r>
        <w:rPr>
          <w:b/>
        </w:rPr>
        <w:t>2. The Buddha and early history (200–250 words)</w:t>
      </w:r>
    </w:p>
    <w:p>
      <w:r>
        <w:t>Introduce Siddhartha/Siddhattha Gautama as the historical Buddha in broad, cautious terms. Distinguish historical reconstruction from traditional biographies and explain limits in the early evidence.</w:t>
      </w:r>
    </w:p>
    <w:p>
      <w:pPr>
        <w:keepNext/>
      </w:pPr>
      <w:r>
        <w:rPr>
          <w:b/>
        </w:rPr>
        <w:t>3. Foundational teachings (300–350 words)</w:t>
      </w:r>
    </w:p>
    <w:p>
      <w:r>
        <w:t>Explain the four truths and the path, then briefly define impermanence, non-self, dependent arising, karma, rebirth, and nirvana. Avoid implying every school phrases these doctrines identically.</w:t>
      </w:r>
    </w:p>
    <w:p>
      <w:pPr>
        <w:keepNext/>
      </w:pPr>
      <w:r>
        <w:rPr>
          <w:b/>
        </w:rPr>
        <w:t>4. Texts and authority (130–170 words)</w:t>
      </w:r>
    </w:p>
    <w:p>
      <w:r>
        <w:t>Explain oral transmission, multiple canons and textual lineages, and the difference between Pali, Chinese, and Tibetan collections. Note that canonical status is tradition-specific.</w:t>
      </w:r>
    </w:p>
    <w:p>
      <w:pPr>
        <w:keepNext/>
      </w:pPr>
      <w:r>
        <w:rPr>
          <w:b/>
        </w:rPr>
        <w:t>5. Buddhist life and practice (220–270 words)</w:t>
      </w:r>
    </w:p>
    <w:p>
      <w:r>
        <w:t>Describe ethics, monastic and lay life, meditation, devotion, ritual, chanting, offerings, pilgrimage, and merit as examples whose relative importance varies across contexts.</w:t>
      </w:r>
    </w:p>
    <w:p>
      <w:pPr>
        <w:keepNext/>
      </w:pPr>
      <w:r>
        <w:rPr>
          <w:b/>
        </w:rPr>
        <w:t>6. Major historical traditions (300–350 words)</w:t>
      </w:r>
    </w:p>
    <w:p>
      <w:r>
        <w:t>Introduce Theravada, Mahayana, and Vajrayana as useful but imperfect broad categories. Give one concise distinction for each, then note regional and school-level variation. Avoid “Hinayana” as an objective category.</w:t>
      </w:r>
    </w:p>
    <w:p>
      <w:pPr>
        <w:keepNext/>
      </w:pPr>
      <w:r>
        <w:rPr>
          <w:b/>
        </w:rPr>
        <w:t>7. Buddhism in South Asian context and global history (180–230 words)</w:t>
      </w:r>
    </w:p>
    <w:p>
      <w:r>
        <w:t>Place early Buddhism among neighboring religious and philosophical movements, noting shared vocabulary and distinct interpretations. Sketch spread across Asia and modern global forms without telling a single linear “decline then revival” story.</w:t>
      </w:r>
    </w:p>
    <w:p>
      <w:pPr>
        <w:keepNext/>
      </w:pPr>
      <w:r>
        <w:rPr>
          <w:b/>
        </w:rPr>
        <w:t>8. What Buddhism is not (100–140 words)</w:t>
      </w:r>
    </w:p>
    <w:p>
      <w:r>
        <w:t>Correct a small set of high-impact misconceptions: it is not simply secular mindfulness, solely a philosophy, uniformly atheistic, or a single form of meditation. Use qualifying language and avoid replacing one stereotype with another.</w:t>
      </w:r>
    </w:p>
    <w:p>
      <w:pPr>
        <w:keepNext/>
      </w:pPr>
      <w:r>
        <w:rPr>
          <w:b/>
        </w:rPr>
        <w:t>9. Further topics (brief signpost, 40–70 words)</w:t>
      </w:r>
    </w:p>
    <w:p>
      <w:r>
        <w:t>Name subjects that merit separate entries: Buddhist schools and regions, Buddhist ethics, meditation lineages, texts/canons, women and monasticism, modern/global Buddhism, and Buddhist relations with politics.</w:t>
      </w:r>
    </w:p>
    <w:p>
      <w:pPr>
        <w:pStyle w:val="Heading1"/>
      </w:pPr>
      <w:r>
        <w:t>D. Accuracy and sensitivity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266"/>
      </w:tblGrid>
      <w:tr>
        <w:trPr>
          <w:tblHeader w:val="true"/>
          <w:cantSplit/>
        </w:trPr>
        <w:tc>
          <w:tcPr>
            <w:tcW w:type="dxa" w:w="4997"/>
            <w:shd w:fill="244563"/>
            <w:vAlign w:val="center"/>
            <w:tcMar>
              <w:top w:w="90" w:type="dxa"/>
              <w:start w:w="100" w:type="dxa"/>
              <w:bottom w:w="90" w:type="dxa"/>
              <w:end w:w="100" w:type="dxa"/>
            </w:tcMar>
          </w:tcPr>
          <w:p>
            <w:pPr>
              <w:spacing w:line="247" w:lineRule="auto"/>
            </w:pPr>
            <w:r>
              <w:rPr>
                <w:b/>
                <w:color w:val="FFFFFF"/>
                <w:sz w:val="17"/>
              </w:rPr>
              <w:t>Check</w:t>
            </w:r>
          </w:p>
        </w:tc>
        <w:tc>
          <w:tcPr>
            <w:tcW w:type="dxa" w:w="4997"/>
            <w:shd w:fill="244563"/>
            <w:vAlign w:val="center"/>
            <w:tcMar>
              <w:top w:w="90" w:type="dxa"/>
              <w:start w:w="100" w:type="dxa"/>
              <w:bottom w:w="90" w:type="dxa"/>
              <w:end w:w="100" w:type="dxa"/>
            </w:tcMar>
          </w:tcPr>
          <w:p>
            <w:pPr>
              <w:spacing w:line="247" w:lineRule="auto"/>
            </w:pPr>
            <w:r>
              <w:rPr>
                <w:b/>
                <w:color w:val="FFFFFF"/>
                <w:sz w:val="17"/>
              </w:rPr>
              <w:t>Publication question</w:t>
            </w:r>
          </w:p>
        </w:tc>
      </w:tr>
      <w:tr>
        <w:trPr>
          <w:cantSplit/>
        </w:trPr>
        <w:tc>
          <w:tcPr>
            <w:tcW w:type="dxa" w:w="2088"/>
            <w:vAlign w:val="center"/>
            <w:tcMar>
              <w:top w:w="90" w:type="dxa"/>
              <w:start w:w="100" w:type="dxa"/>
              <w:bottom w:w="90" w:type="dxa"/>
              <w:end w:w="100" w:type="dxa"/>
            </w:tcMar>
          </w:tcPr>
          <w:p>
            <w:pPr>
              <w:spacing w:after="40" w:line="247" w:lineRule="auto"/>
            </w:pPr>
            <w:r>
              <w:rPr>
                <w:sz w:val="17"/>
              </w:rPr>
              <w:t>Historical framing</w:t>
            </w:r>
          </w:p>
        </w:tc>
        <w:tc>
          <w:tcPr>
            <w:tcW w:type="dxa" w:w="8266"/>
            <w:vAlign w:val="center"/>
            <w:tcMar>
              <w:top w:w="90" w:type="dxa"/>
              <w:start w:w="100" w:type="dxa"/>
              <w:bottom w:w="90" w:type="dxa"/>
              <w:end w:w="100" w:type="dxa"/>
            </w:tcMar>
          </w:tcPr>
          <w:p>
            <w:pPr>
              <w:spacing w:after="40" w:line="247" w:lineRule="auto"/>
            </w:pPr>
            <w:r>
              <w:rPr>
                <w:sz w:val="17"/>
              </w:rPr>
              <w:t>Use an approximate fifth-century BCE setting; avoid giving traditional dates as settled historical fact. Mark the gap between later narrative sources and contemporaneous evidence.</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Naming</w:t>
            </w:r>
          </w:p>
        </w:tc>
        <w:tc>
          <w:tcPr>
            <w:tcW w:type="dxa" w:w="8266"/>
            <w:vAlign w:val="center"/>
            <w:tcMar>
              <w:top w:w="90" w:type="dxa"/>
              <w:start w:w="100" w:type="dxa"/>
              <w:bottom w:w="90" w:type="dxa"/>
              <w:end w:w="100" w:type="dxa"/>
            </w:tcMar>
            <w:shd w:fill="F1F5F8"/>
          </w:tcPr>
          <w:p>
            <w:pPr>
              <w:spacing w:after="40" w:line="247" w:lineRule="auto"/>
            </w:pPr>
            <w:r>
              <w:rPr>
                <w:sz w:val="17"/>
              </w:rPr>
              <w:t>“Buddha” means awakened one and is a title. Use “the Buddha” or Gotama/Gautama carefully; do not imply all Buddhist communities recognize only one Buddha.</w:t>
            </w:r>
          </w:p>
        </w:tc>
      </w:tr>
      <w:tr>
        <w:trPr>
          <w:cantSplit/>
        </w:trPr>
        <w:tc>
          <w:tcPr>
            <w:tcW w:type="dxa" w:w="2088"/>
            <w:vAlign w:val="center"/>
            <w:tcMar>
              <w:top w:w="90" w:type="dxa"/>
              <w:start w:w="100" w:type="dxa"/>
              <w:bottom w:w="90" w:type="dxa"/>
              <w:end w:w="100" w:type="dxa"/>
            </w:tcMar>
          </w:tcPr>
          <w:p>
            <w:pPr>
              <w:spacing w:after="40" w:line="247" w:lineRule="auto"/>
            </w:pPr>
            <w:r>
              <w:rPr>
                <w:sz w:val="17"/>
              </w:rPr>
              <w:t>Four truths</w:t>
            </w:r>
          </w:p>
        </w:tc>
        <w:tc>
          <w:tcPr>
            <w:tcW w:type="dxa" w:w="8266"/>
            <w:vAlign w:val="center"/>
            <w:tcMar>
              <w:top w:w="90" w:type="dxa"/>
              <w:start w:w="100" w:type="dxa"/>
              <w:bottom w:w="90" w:type="dxa"/>
              <w:end w:w="100" w:type="dxa"/>
            </w:tcMar>
          </w:tcPr>
          <w:p>
            <w:pPr>
              <w:spacing w:after="40" w:line="247" w:lineRule="auto"/>
            </w:pPr>
            <w:r>
              <w:rPr>
                <w:sz w:val="17"/>
              </w:rPr>
              <w:t>Avoid a flat equation of dukkha with pain or pessimism. Explain that translations vary and that the truths include origin, cessation, and a path.</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Non-self</w:t>
            </w:r>
          </w:p>
        </w:tc>
        <w:tc>
          <w:tcPr>
            <w:tcW w:type="dxa" w:w="8266"/>
            <w:vAlign w:val="center"/>
            <w:tcMar>
              <w:top w:w="90" w:type="dxa"/>
              <w:start w:w="100" w:type="dxa"/>
              <w:bottom w:w="90" w:type="dxa"/>
              <w:end w:w="100" w:type="dxa"/>
            </w:tcMar>
            <w:shd w:fill="F1F5F8"/>
          </w:tcPr>
          <w:p>
            <w:pPr>
              <w:spacing w:after="40" w:line="247" w:lineRule="auto"/>
            </w:pPr>
            <w:r>
              <w:rPr>
                <w:sz w:val="17"/>
              </w:rPr>
              <w:t>Do not translate non-self into nihilism, “nothing exists,” or the Western claim that people have no personality. Explain that Buddhist analyses reject a permanent, independent self in particular ways.</w:t>
            </w:r>
          </w:p>
        </w:tc>
      </w:tr>
      <w:tr>
        <w:trPr>
          <w:cantSplit/>
        </w:trPr>
        <w:tc>
          <w:tcPr>
            <w:tcW w:type="dxa" w:w="2088"/>
            <w:vAlign w:val="center"/>
            <w:tcMar>
              <w:top w:w="90" w:type="dxa"/>
              <w:start w:w="100" w:type="dxa"/>
              <w:bottom w:w="90" w:type="dxa"/>
              <w:end w:w="100" w:type="dxa"/>
            </w:tcMar>
          </w:tcPr>
          <w:p>
            <w:pPr>
              <w:spacing w:after="40" w:line="247" w:lineRule="auto"/>
            </w:pPr>
            <w:r>
              <w:rPr>
                <w:sz w:val="17"/>
              </w:rPr>
              <w:t>Karma and rebirth</w:t>
            </w:r>
          </w:p>
        </w:tc>
        <w:tc>
          <w:tcPr>
            <w:tcW w:type="dxa" w:w="8266"/>
            <w:vAlign w:val="center"/>
            <w:tcMar>
              <w:top w:w="90" w:type="dxa"/>
              <w:start w:w="100" w:type="dxa"/>
              <w:bottom w:w="90" w:type="dxa"/>
              <w:end w:w="100" w:type="dxa"/>
            </w:tcMar>
          </w:tcPr>
          <w:p>
            <w:pPr>
              <w:spacing w:after="40" w:line="247" w:lineRule="auto"/>
            </w:pPr>
            <w:r>
              <w:rPr>
                <w:sz w:val="17"/>
              </w:rPr>
              <w:t>Do not equate karma with fate, instant cosmic reward, or the claim that suffering is deserved. Distinguish rebirth from a permanent soul migrating unchanged.</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Canon and authority</w:t>
            </w:r>
          </w:p>
        </w:tc>
        <w:tc>
          <w:tcPr>
            <w:tcW w:type="dxa" w:w="8266"/>
            <w:vAlign w:val="center"/>
            <w:tcMar>
              <w:top w:w="90" w:type="dxa"/>
              <w:start w:w="100" w:type="dxa"/>
              <w:bottom w:w="90" w:type="dxa"/>
              <w:end w:w="100" w:type="dxa"/>
            </w:tcMar>
            <w:shd w:fill="F1F5F8"/>
          </w:tcPr>
          <w:p>
            <w:pPr>
              <w:spacing w:after="40" w:line="247" w:lineRule="auto"/>
            </w:pPr>
            <w:r>
              <w:rPr>
                <w:sz w:val="17"/>
              </w:rPr>
              <w:t>Do not call the Pali Tipitaka “the Buddhist Bible” or imply one universal canon. Name the textual tradition when discussing a source.</w:t>
            </w:r>
          </w:p>
        </w:tc>
      </w:tr>
      <w:tr>
        <w:trPr>
          <w:cantSplit/>
        </w:trPr>
        <w:tc>
          <w:tcPr>
            <w:tcW w:type="dxa" w:w="2088"/>
            <w:vAlign w:val="center"/>
            <w:tcMar>
              <w:top w:w="90" w:type="dxa"/>
              <w:start w:w="100" w:type="dxa"/>
              <w:bottom w:w="90" w:type="dxa"/>
              <w:end w:w="100" w:type="dxa"/>
            </w:tcMar>
          </w:tcPr>
          <w:p>
            <w:pPr>
              <w:spacing w:after="40" w:line="247" w:lineRule="auto"/>
            </w:pPr>
            <w:r>
              <w:rPr>
                <w:sz w:val="17"/>
              </w:rPr>
              <w:t>School labels</w:t>
            </w:r>
          </w:p>
        </w:tc>
        <w:tc>
          <w:tcPr>
            <w:tcW w:type="dxa" w:w="8266"/>
            <w:vAlign w:val="center"/>
            <w:tcMar>
              <w:top w:w="90" w:type="dxa"/>
              <w:start w:w="100" w:type="dxa"/>
              <w:bottom w:w="90" w:type="dxa"/>
              <w:end w:w="100" w:type="dxa"/>
            </w:tcMar>
          </w:tcPr>
          <w:p>
            <w:pPr>
              <w:spacing w:after="40" w:line="247" w:lineRule="auto"/>
            </w:pPr>
            <w:r>
              <w:rPr>
                <w:sz w:val="17"/>
              </w:rPr>
              <w:t>Use Theravada, Mahayana, and Vajrayana as broad, imperfect categories. Do not call Theravada “Hinayana”; explain that the latter is often polemical and not a neutral label.</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Practice</w:t>
            </w:r>
          </w:p>
        </w:tc>
        <w:tc>
          <w:tcPr>
            <w:tcW w:type="dxa" w:w="8266"/>
            <w:vAlign w:val="center"/>
            <w:tcMar>
              <w:top w:w="90" w:type="dxa"/>
              <w:start w:w="100" w:type="dxa"/>
              <w:bottom w:w="90" w:type="dxa"/>
              <w:end w:w="100" w:type="dxa"/>
            </w:tcMar>
            <w:shd w:fill="F1F5F8"/>
          </w:tcPr>
          <w:p>
            <w:pPr>
              <w:spacing w:after="40" w:line="247" w:lineRule="auto"/>
            </w:pPr>
            <w:r>
              <w:rPr>
                <w:sz w:val="17"/>
              </w:rPr>
              <w:t>Do not claim all Buddhists meditate, are vegetarian, or are pacifists. Avoid the converse claim that meditation, ethics, or non-harm are unimportant.</w:t>
            </w:r>
          </w:p>
        </w:tc>
      </w:tr>
      <w:tr>
        <w:trPr>
          <w:cantSplit/>
        </w:trPr>
        <w:tc>
          <w:tcPr>
            <w:tcW w:type="dxa" w:w="2088"/>
            <w:vAlign w:val="center"/>
            <w:tcMar>
              <w:top w:w="90" w:type="dxa"/>
              <w:start w:w="100" w:type="dxa"/>
              <w:bottom w:w="90" w:type="dxa"/>
              <w:end w:w="100" w:type="dxa"/>
            </w:tcMar>
          </w:tcPr>
          <w:p>
            <w:pPr>
              <w:spacing w:after="40" w:line="247" w:lineRule="auto"/>
            </w:pPr>
            <w:r>
              <w:rPr>
                <w:sz w:val="17"/>
              </w:rPr>
              <w:t>Mindfulness</w:t>
            </w:r>
          </w:p>
        </w:tc>
        <w:tc>
          <w:tcPr>
            <w:tcW w:type="dxa" w:w="8266"/>
            <w:vAlign w:val="center"/>
            <w:tcMar>
              <w:top w:w="90" w:type="dxa"/>
              <w:start w:w="100" w:type="dxa"/>
              <w:bottom w:w="90" w:type="dxa"/>
              <w:end w:w="100" w:type="dxa"/>
            </w:tcMar>
          </w:tcPr>
          <w:p>
            <w:pPr>
              <w:spacing w:after="40" w:line="247" w:lineRule="auto"/>
            </w:pPr>
            <w:r>
              <w:rPr>
                <w:sz w:val="17"/>
              </w:rPr>
              <w:t>Describe modern secular/clinical mindfulness as a historically situated adaptation. Do not present it as Buddhism in miniature or treat one Buddhist meditation tradition as universal.</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Religious worlds</w:t>
            </w:r>
          </w:p>
        </w:tc>
        <w:tc>
          <w:tcPr>
            <w:tcW w:type="dxa" w:w="8266"/>
            <w:vAlign w:val="center"/>
            <w:tcMar>
              <w:top w:w="90" w:type="dxa"/>
              <w:start w:w="100" w:type="dxa"/>
              <w:bottom w:w="90" w:type="dxa"/>
              <w:end w:w="100" w:type="dxa"/>
            </w:tcMar>
            <w:shd w:fill="F1F5F8"/>
          </w:tcPr>
          <w:p>
            <w:pPr>
              <w:spacing w:after="40" w:line="247" w:lineRule="auto"/>
            </w:pPr>
            <w:r>
              <w:rPr>
                <w:sz w:val="17"/>
              </w:rPr>
              <w:t>Do not describe Buddhism as uniformly atheistic or devoid of gods, Buddhas, bodhisattvas, ritual, and devotion. Distinguish non-creator-God claims from the presence of celestial beings and devotional practices.</w:t>
            </w:r>
          </w:p>
        </w:tc>
      </w:tr>
      <w:tr>
        <w:trPr>
          <w:cantSplit/>
        </w:trPr>
        <w:tc>
          <w:tcPr>
            <w:tcW w:type="dxa" w:w="2088"/>
            <w:vAlign w:val="center"/>
            <w:tcMar>
              <w:top w:w="90" w:type="dxa"/>
              <w:start w:w="100" w:type="dxa"/>
              <w:bottom w:w="90" w:type="dxa"/>
              <w:end w:w="100" w:type="dxa"/>
            </w:tcMar>
          </w:tcPr>
          <w:p>
            <w:pPr>
              <w:spacing w:after="40" w:line="247" w:lineRule="auto"/>
            </w:pPr>
            <w:r>
              <w:rPr>
                <w:sz w:val="17"/>
              </w:rPr>
              <w:t>Hindu comparison</w:t>
            </w:r>
          </w:p>
        </w:tc>
        <w:tc>
          <w:tcPr>
            <w:tcW w:type="dxa" w:w="8266"/>
            <w:vAlign w:val="center"/>
            <w:tcMar>
              <w:top w:w="90" w:type="dxa"/>
              <w:start w:w="100" w:type="dxa"/>
              <w:bottom w:w="90" w:type="dxa"/>
              <w:end w:w="100" w:type="dxa"/>
            </w:tcMar>
          </w:tcPr>
          <w:p>
            <w:pPr>
              <w:spacing w:after="40" w:line="247" w:lineRule="auto"/>
            </w:pPr>
            <w:r>
              <w:rPr>
                <w:sz w:val="17"/>
              </w:rPr>
              <w:t>Avoid “Buddhism broke away from Hinduism” as a simple origin story. Use historically specific labels for Vedic/Brahmanical, Jain, and other śramaṇa settings, and explain that “Hinduism” is itself diverse and historically changing.</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Representation</w:t>
            </w:r>
          </w:p>
        </w:tc>
        <w:tc>
          <w:tcPr>
            <w:tcW w:type="dxa" w:w="8266"/>
            <w:vAlign w:val="center"/>
            <w:tcMar>
              <w:top w:w="90" w:type="dxa"/>
              <w:start w:w="100" w:type="dxa"/>
              <w:bottom w:w="90" w:type="dxa"/>
              <w:end w:w="100" w:type="dxa"/>
            </w:tcMar>
            <w:shd w:fill="F1F5F8"/>
          </w:tcPr>
          <w:p>
            <w:pPr>
              <w:spacing w:after="40" w:line="247" w:lineRule="auto"/>
            </w:pPr>
            <w:r>
              <w:rPr>
                <w:sz w:val="17"/>
              </w:rPr>
              <w:t>Do not let Western convert practice stand in for Asian Buddhist populations, or monastic doctrine stand in for all lay life. Include more than one region and a clear statement of scope.</w:t>
            </w:r>
          </w:p>
        </w:tc>
      </w:tr>
      <w:tr>
        <w:trPr>
          <w:cantSplit/>
        </w:trPr>
        <w:tc>
          <w:tcPr>
            <w:tcW w:type="dxa" w:w="2088"/>
            <w:vAlign w:val="center"/>
            <w:tcMar>
              <w:top w:w="90" w:type="dxa"/>
              <w:start w:w="100" w:type="dxa"/>
              <w:bottom w:w="90" w:type="dxa"/>
              <w:end w:w="100" w:type="dxa"/>
            </w:tcMar>
          </w:tcPr>
          <w:p>
            <w:pPr>
              <w:spacing w:after="40" w:line="247" w:lineRule="auto"/>
            </w:pPr>
            <w:r>
              <w:rPr>
                <w:sz w:val="17"/>
              </w:rPr>
              <w:t>Political and social history</w:t>
            </w:r>
          </w:p>
        </w:tc>
        <w:tc>
          <w:tcPr>
            <w:tcW w:type="dxa" w:w="8266"/>
            <w:vAlign w:val="center"/>
            <w:tcMar>
              <w:top w:w="90" w:type="dxa"/>
              <w:start w:w="100" w:type="dxa"/>
              <w:bottom w:w="90" w:type="dxa"/>
              <w:end w:w="100" w:type="dxa"/>
            </w:tcMar>
          </w:tcPr>
          <w:p>
            <w:pPr>
              <w:spacing w:after="40" w:line="247" w:lineRule="auto"/>
            </w:pPr>
            <w:r>
              <w:rPr>
                <w:sz w:val="17"/>
              </w:rPr>
              <w:t>Avoid both “Buddhists are always peaceful” and a counter-stereotype that reduces traditions to violence. Source concrete examples with place, period, actors, and context.</w:t>
            </w:r>
          </w:p>
        </w:tc>
      </w:tr>
      <w:tr>
        <w:trPr>
          <w:cantSplit/>
        </w:trPr>
        <w:tc>
          <w:tcPr>
            <w:tcW w:type="dxa" w:w="2088"/>
            <w:vAlign w:val="center"/>
            <w:tcMar>
              <w:top w:w="90" w:type="dxa"/>
              <w:start w:w="100" w:type="dxa"/>
              <w:bottom w:w="90" w:type="dxa"/>
              <w:end w:w="100" w:type="dxa"/>
            </w:tcMar>
            <w:shd w:fill="F1F5F8"/>
          </w:tcPr>
          <w:p>
            <w:pPr>
              <w:spacing w:after="40" w:line="247" w:lineRule="auto"/>
            </w:pPr>
            <w:r>
              <w:rPr>
                <w:sz w:val="17"/>
              </w:rPr>
              <w:t>Translation</w:t>
            </w:r>
          </w:p>
        </w:tc>
        <w:tc>
          <w:tcPr>
            <w:tcW w:type="dxa" w:w="8266"/>
            <w:vAlign w:val="center"/>
            <w:tcMar>
              <w:top w:w="90" w:type="dxa"/>
              <w:start w:w="100" w:type="dxa"/>
              <w:bottom w:w="90" w:type="dxa"/>
              <w:end w:w="100" w:type="dxa"/>
            </w:tcMar>
            <w:shd w:fill="F1F5F8"/>
          </w:tcPr>
          <w:p>
            <w:pPr>
              <w:spacing w:after="40" w:line="247" w:lineRule="auto"/>
            </w:pPr>
            <w:r>
              <w:rPr>
                <w:sz w:val="17"/>
              </w:rPr>
              <w:t>Check whether a term is Pali, Sanskrit, Tibetan, Chinese, or a modern English rendering. Use diacritics consistently and do not make one translation carry the whole argument.</w:t>
            </w:r>
          </w:p>
        </w:tc>
      </w:tr>
    </w:tbl>
    <w:p>
      <w:pPr>
        <w:pStyle w:val="Heading2"/>
      </w:pPr>
      <w:r>
        <w:t>Questions to resolve before publication</w:t>
      </w:r>
    </w:p>
    <w:p>
      <w:pPr>
        <w:pStyle w:val="ListBullet"/>
      </w:pPr>
      <w:r>
        <w:t>Which broad dates will the entry use, and which source supports the chosen formulation?</w:t>
      </w:r>
    </w:p>
    <w:p>
      <w:pPr>
        <w:pStyle w:val="ListBullet"/>
      </w:pPr>
      <w:r>
        <w:t>Will the article say “three major traditions” or “three broad categories”? The second wording better signals that taxonomies are not exhaustive or mutually exclusive.</w:t>
      </w:r>
    </w:p>
    <w:p>
      <w:pPr>
        <w:pStyle w:val="ListBullet"/>
      </w:pPr>
      <w:r>
        <w:t>How much room can be given to lay, devotional, and ritual life while staying within the word limit?</w:t>
      </w:r>
    </w:p>
    <w:p>
      <w:pPr>
        <w:pStyle w:val="ListBullet"/>
      </w:pPr>
      <w:r>
        <w:t>Which examples will show variation without implying that one named school or country represents all Buddhists?</w:t>
      </w:r>
    </w:p>
    <w:p>
      <w:pPr>
        <w:pStyle w:val="ListBullet"/>
      </w:pPr>
      <w:r>
        <w:t>Will the comparison section use “Brahmanical traditions” for the early historical setting and reserve “Hindu traditions” for later, appropriately scoped comparisons?</w:t>
      </w:r>
    </w:p>
    <w:p>
      <w:pPr>
        <w:pStyle w:val="ListBullet"/>
      </w:pPr>
      <w:r>
        <w:t>Which further topics should be spun out into separate encyclopedia entries rather than compressed into this overview?</w:t>
      </w:r>
    </w:p>
    <w:p>
      <w:pPr>
        <w:pStyle w:val="Heading1"/>
      </w:pPr>
      <w:r>
        <w:t>E. Portfolio relevance assessment</w:t>
      </w:r>
    </w:p>
    <w:p>
      <w:r>
        <w:t>This research packet is a substantive writing portfolio sample because it demonstrates the work that precedes responsible educational writing: defining scope, finding and evaluating sources, distinguishing primary religious materials from academic interpretation, identifying uncertainty, and making editorial choices under a word limit. The findings matrix shows synthesis across history, doctrine, practice, texts, and regional categories. The checklist shows sensitivity to translation and representational risks. The proposed outline shows how evidence can become an accessible article without borrowing a source’s prose or surrendering the author’s judgment.</w:t>
      </w:r>
    </w:p>
    <w:p>
      <w:r>
        <w:t>For an employer-facing portfolio, the strongest demonstration would be the research foundation paired later with an original article written by the user, plus a short process note describing source selection and revision. This packet itself is not the article and should be labeled as a research brief or editorial research dossier. It can support applications in educational content, patient/public education, research assistance, curriculum development, and editorial roles that value clear explanations and disciplined sourcing.</w:t>
      </w:r>
    </w:p>
    <w:p>
      <w:pPr>
        <w:pStyle w:val="Heading1"/>
      </w:pPr>
      <w:r>
        <w:t>Research limits and next verification pass</w:t>
      </w:r>
    </w:p>
    <w:p>
      <w:r>
        <w:t>Before drafting, verify full text for the core textbook and any paywalled reference materials; add at least one specialist source on early Buddhism’s relationship to Brahmanical and Jain traditions; and select one reliable overview each for Chinese/East Asian Buddhism and Vajrayana beyond the Tibetan case. If the final article includes contemporary population or demographic claims, source those separately from a current dataset. Treat the bibliography as a vetted starting set, not a claim that the field has been exhaustively reviewed.</w:t>
      </w:r>
    </w:p>
    <w:p>
      <w:pPr>
        <w:pStyle w:val="Heading1"/>
      </w:pPr>
      <w:r>
        <w:t>Source notes</w:t>
      </w:r>
    </w:p>
    <w:p>
      <w:r>
        <w:t>Access dates: 21 October 2026. Publisher, journal, academic-reference, and Buddhist textual project pages were checked for bibliographic details and accessible descriptions. Direct web links are embedded as plain URLs for later use. Full text access varies by item. All substantive claims in a future article should be checked against the relevant full source or a specific primary text before publication.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6"/>
      </w:rPr>
      <w:t>Research and source verification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05C6A"/>
        <w:sz w:val="16"/>
      </w:rPr>
      <w:t>COMPARATIVE BELIEFS ENCYCLOPEDIA  |  RESEARCH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1E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ic.oup.com/book/62805?searchresult=1" TargetMode="External"/><Relationship Id="rId12" Type="http://schemas.openxmlformats.org/officeDocument/2006/relationships/hyperlink" Target="https://www.cambridge.org/highereducation/books/an-introduction-to-buddhism/9CA7B749D45ABAAB372422AEEE863A97" TargetMode="External"/><Relationship Id="rId13" Type="http://schemas.openxmlformats.org/officeDocument/2006/relationships/hyperlink" Target="https://academic.oup.com/book/7301" TargetMode="External"/><Relationship Id="rId14" Type="http://schemas.openxmlformats.org/officeDocument/2006/relationships/hyperlink" Target="https://academic.oup.com/reference/62340/reference-article-abstract/554134298" TargetMode="External"/><Relationship Id="rId15" Type="http://schemas.openxmlformats.org/officeDocument/2006/relationships/hyperlink" Target="https://academic.oup.com/reference/62340/reference-article-abstract/554140598" TargetMode="External"/><Relationship Id="rId16" Type="http://schemas.openxmlformats.org/officeDocument/2006/relationships/hyperlink" Target="https://academic.oup.com/reference/62340/reference-article-abstract/554143746" TargetMode="External"/><Relationship Id="rId17" Type="http://schemas.openxmlformats.org/officeDocument/2006/relationships/hyperlink" Target="https://www.wiley-vch.de/en/areas-interest/humanities-social-sciences/theravada-buddhism-978-1-4051-8906-4" TargetMode="External"/><Relationship Id="rId18" Type="http://schemas.openxmlformats.org/officeDocument/2006/relationships/hyperlink" Target="https://journals.sagepub.com/doi/10.1177/1363461514557561" TargetMode="External"/><Relationship Id="rId19" Type="http://schemas.openxmlformats.org/officeDocument/2006/relationships/hyperlink" Target="https://academic.oup.com/book/51780" TargetMode="External"/><Relationship Id="rId20" Type="http://schemas.openxmlformats.org/officeDocument/2006/relationships/hyperlink" Target="https://academic.oup.com/book/62805/chapter-abstract/565031782" TargetMode="External"/><Relationship Id="rId21" Type="http://schemas.openxmlformats.org/officeDocument/2006/relationships/hyperlink" Target="https://suttacentral.net/sn56.11/en/bodhi" TargetMode="External"/><Relationship Id="rId22" Type="http://schemas.openxmlformats.org/officeDocument/2006/relationships/hyperlink" Target="https://84000.co/" TargetMode="External"/><Relationship Id="rId23" Type="http://schemas.openxmlformats.org/officeDocument/2006/relationships/hyperlink" Target="https://academic.oup.com/edited-volume/56065/chapter/533145729" TargetMode="External"/><Relationship Id="rId24" Type="http://schemas.openxmlformats.org/officeDocument/2006/relationships/hyperlink" Target="https://academic.oup.com/book/7301/chapter-abstract/152029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Buddhism Research Foundation</dc:title>
  <dc:subject>Comparative Beliefs Encyclopedia research and source verification audit</dc:subject>
  <dc:creator>OpenAI</dc:creator>
  <cp:keywords>Buddhism, annotated bibliography, research matrix, encyclopedia outline</cp:keywords>
  <dc:description>generated by python-docx</dc:description>
  <cp:lastModifiedBy/>
  <cp:revision>1</cp:revision>
  <dcterms:created xsi:type="dcterms:W3CDTF">2013-12-23T23:15:00Z</dcterms:created>
  <dcterms:modified xsi:type="dcterms:W3CDTF">2013-12-23T23:15:00Z</dcterms:modified>
  <cp:category/>
</cp:coreProperties>
</file>