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A0F1E"/>
          <w:sz w:val="52"/>
          <w:szCs w:val="52"/>
        </w:rPr>
        <w:t xml:space="preserve">Privacy Policy</w:t>
      </w:r>
    </w:p>
    <w:p>
      <w:pPr>
        <w:spacing w:after="80" w:before="0"/>
      </w:pPr>
      <w:r>
        <w:rPr>
          <w:rFonts w:ascii="Arial" w:cs="Arial" w:eastAsia="Arial" w:hAnsi="Arial"/>
          <w:b/>
          <w:bCs/>
          <w:color w:val="007A6E"/>
          <w:sz w:val="26"/>
          <w:szCs w:val="26"/>
        </w:rPr>
        <w:t xml:space="preserve">CompliSync — Jira, Sheets &amp; Monday Sync</w:t>
      </w:r>
    </w:p>
    <w:p>
      <w:pPr>
        <w:spacing w:after="40" w:before="0"/>
      </w:pPr>
      <w:r>
        <w:rPr>
          <w:rFonts w:ascii="Arial" w:cs="Arial" w:eastAsia="Arial" w:hAnsi="Arial"/>
          <w:color w:val="666666"/>
          <w:sz w:val="20"/>
          <w:szCs w:val="20"/>
        </w:rPr>
        <w:t xml:space="preserve">Effective Date: April 25, 2026</w:t>
      </w:r>
    </w:p>
    <w:p>
      <w:pPr>
        <w:spacing w:after="40" w:before="0"/>
      </w:pPr>
      <w:r>
        <w:rPr>
          <w:rFonts w:ascii="Arial" w:cs="Arial" w:eastAsia="Arial" w:hAnsi="Arial"/>
          <w:color w:val="666666"/>
          <w:sz w:val="20"/>
          <w:szCs w:val="20"/>
        </w:rPr>
        <w:t xml:space="preserve">Last Updated: April 25, 2026</w:t>
      </w:r>
    </w:p>
    <w:p>
      <w:pPr>
        <w:pBdr>
          <w:bottom w:val="single" w:color="007A6E" w:sz="4" w:space="4"/>
        </w:pBdr>
        <w:spacing w:after="320" w:before="0"/>
      </w:pPr>
    </w:p>
    <w:p>
      <w:pPr>
        <w:spacing w:after="120" w:before="0"/>
      </w:pPr>
      <w:r>
        <w:rPr>
          <w:rFonts w:ascii="Arial" w:cs="Arial" w:eastAsia="Arial" w:hAnsi="Arial"/>
          <w:b w:val="false"/>
          <w:bCs w:val="false"/>
          <w:i w:val="false"/>
          <w:iCs w:val="false"/>
          <w:color w:val="0A0F1E"/>
          <w:sz w:val="22"/>
          <w:szCs w:val="22"/>
        </w:rPr>
        <w:t xml:space="preserve">This Privacy Policy describes how CompliSync ("CompliSync," "we," "us," or "our") collects, uses, and protects information when you use our software service that synchronizes data between Jira, Google Sheets, and Monday.com (the "Service"). By using CompliSync, you agree to the terms of this Privacy Policy.</w:t>
      </w:r>
    </w:p>
    <w:p>
      <w:pPr>
        <w:pStyle w:val="Heading1"/>
      </w:pPr>
      <w:r>
        <w:rPr>
          <w:rFonts w:ascii="Arial" w:cs="Arial" w:eastAsia="Arial" w:hAnsi="Arial"/>
          <w:b/>
          <w:bCs/>
          <w:color w:val="0A0F1E"/>
          <w:sz w:val="28"/>
          <w:szCs w:val="28"/>
        </w:rPr>
        <w:t xml:space="preserve">1. Information We Collect</w:t>
      </w:r>
    </w:p>
    <w:p>
      <w:pPr>
        <w:pStyle w:val="Heading2"/>
      </w:pPr>
      <w:r>
        <w:rPr>
          <w:rFonts w:ascii="Arial" w:cs="Arial" w:eastAsia="Arial" w:hAnsi="Arial"/>
          <w:b/>
          <w:bCs/>
          <w:color w:val="007A6E"/>
          <w:sz w:val="24"/>
          <w:szCs w:val="24"/>
        </w:rPr>
        <w:t xml:space="preserve">1.1 Information You Provide</w:t>
      </w:r>
    </w:p>
    <w:p>
      <w:pPr>
        <w:pStyle w:val="ListParagraph"/>
        <w:numPr>
          <w:ilvl w:val="0"/>
          <w:numId w:val="2"/>
        </w:numPr>
        <w:spacing w:after="40" w:before="40"/>
      </w:pPr>
      <w:r>
        <w:rPr>
          <w:rFonts w:ascii="Arial" w:cs="Arial" w:eastAsia="Arial" w:hAnsi="Arial"/>
          <w:color w:val="0A0F1E"/>
          <w:sz w:val="22"/>
          <w:szCs w:val="22"/>
        </w:rPr>
        <w:t xml:space="preserve">Account registration information (name, email address, organization name)</w:t>
      </w:r>
    </w:p>
    <w:p>
      <w:pPr>
        <w:pStyle w:val="ListParagraph"/>
        <w:numPr>
          <w:ilvl w:val="0"/>
          <w:numId w:val="2"/>
        </w:numPr>
        <w:spacing w:after="40" w:before="40"/>
      </w:pPr>
      <w:r>
        <w:rPr>
          <w:rFonts w:ascii="Arial" w:cs="Arial" w:eastAsia="Arial" w:hAnsi="Arial"/>
          <w:color w:val="0A0F1E"/>
          <w:sz w:val="22"/>
          <w:szCs w:val="22"/>
        </w:rPr>
        <w:t xml:space="preserve">Billing information (processed securely by our payment provider; we do not store full credit card numbers)</w:t>
      </w:r>
    </w:p>
    <w:p>
      <w:pPr>
        <w:pStyle w:val="ListParagraph"/>
        <w:numPr>
          <w:ilvl w:val="0"/>
          <w:numId w:val="2"/>
        </w:numPr>
        <w:spacing w:after="40" w:before="40"/>
      </w:pPr>
      <w:r>
        <w:rPr>
          <w:rFonts w:ascii="Arial" w:cs="Arial" w:eastAsia="Arial" w:hAnsi="Arial"/>
          <w:color w:val="0A0F1E"/>
          <w:sz w:val="22"/>
          <w:szCs w:val="22"/>
        </w:rPr>
        <w:t xml:space="preserve">Jira instance URL, Jira email address, and Jira API token (stored encrypted)</w:t>
      </w:r>
    </w:p>
    <w:p>
      <w:pPr>
        <w:pStyle w:val="ListParagraph"/>
        <w:numPr>
          <w:ilvl w:val="0"/>
          <w:numId w:val="2"/>
        </w:numPr>
        <w:spacing w:after="40" w:before="40"/>
      </w:pPr>
      <w:r>
        <w:rPr>
          <w:rFonts w:ascii="Arial" w:cs="Arial" w:eastAsia="Arial" w:hAnsi="Arial"/>
          <w:color w:val="0A0F1E"/>
          <w:sz w:val="22"/>
          <w:szCs w:val="22"/>
        </w:rPr>
        <w:t xml:space="preserve">Monday.com API token (stored encrypted)</w:t>
      </w:r>
    </w:p>
    <w:p>
      <w:pPr>
        <w:pStyle w:val="ListParagraph"/>
        <w:numPr>
          <w:ilvl w:val="0"/>
          <w:numId w:val="2"/>
        </w:numPr>
        <w:spacing w:after="40" w:before="40"/>
      </w:pPr>
      <w:r>
        <w:rPr>
          <w:rFonts w:ascii="Arial" w:cs="Arial" w:eastAsia="Arial" w:hAnsi="Arial"/>
          <w:color w:val="0A0F1E"/>
          <w:sz w:val="22"/>
          <w:szCs w:val="22"/>
        </w:rPr>
        <w:t xml:space="preserve">Configuration settings including field mappings, sync schedules, and column designations</w:t>
      </w:r>
    </w:p>
    <w:p>
      <w:pPr>
        <w:spacing w:after="80" w:before="80"/>
      </w:pPr>
    </w:p>
    <w:p>
      <w:pPr>
        <w:pStyle w:val="Heading2"/>
      </w:pPr>
      <w:r>
        <w:rPr>
          <w:rFonts w:ascii="Arial" w:cs="Arial" w:eastAsia="Arial" w:hAnsi="Arial"/>
          <w:b/>
          <w:bCs/>
          <w:color w:val="007A6E"/>
          <w:sz w:val="24"/>
          <w:szCs w:val="24"/>
        </w:rPr>
        <w:t xml:space="preserve">1.2 Information Collected Automatically from Third-Party Platforms</w:t>
      </w:r>
    </w:p>
    <w:p>
      <w:pPr>
        <w:spacing w:after="60" w:before="60"/>
      </w:pPr>
      <w:r>
        <w:rPr>
          <w:rFonts w:ascii="Arial" w:cs="Arial" w:eastAsia="Arial" w:hAnsi="Arial"/>
          <w:b w:val="false"/>
          <w:bCs w:val="false"/>
          <w:i w:val="false"/>
          <w:iCs w:val="false"/>
          <w:color w:val="0A0F1E"/>
          <w:sz w:val="22"/>
          <w:szCs w:val="22"/>
        </w:rPr>
        <w:t xml:space="preserve">When you authorize CompliSync to connect to your Jira, Google Sheets, or Monday.com accounts, we access and process the following data solely to provide the Service:</w:t>
      </w:r>
    </w:p>
    <w:p>
      <w:pPr>
        <w:pStyle w:val="ListParagraph"/>
        <w:numPr>
          <w:ilvl w:val="0"/>
          <w:numId w:val="2"/>
        </w:numPr>
        <w:spacing w:after="40" w:before="40"/>
      </w:pPr>
      <w:r>
        <w:rPr>
          <w:rFonts w:ascii="Arial" w:cs="Arial" w:eastAsia="Arial" w:hAnsi="Arial"/>
          <w:color w:val="0A0F1E"/>
          <w:sz w:val="22"/>
          <w:szCs w:val="22"/>
        </w:rPr>
        <w:t xml:space="preserve">Jira ticket data including ticket IDs, summaries, statuses, priorities, assignees, reporters, dates, custom field values, linked tickets, and comments</w:t>
      </w:r>
    </w:p>
    <w:p>
      <w:pPr>
        <w:pStyle w:val="ListParagraph"/>
        <w:numPr>
          <w:ilvl w:val="0"/>
          <w:numId w:val="2"/>
        </w:numPr>
        <w:spacing w:after="40" w:before="40"/>
      </w:pPr>
      <w:r>
        <w:rPr>
          <w:rFonts w:ascii="Arial" w:cs="Arial" w:eastAsia="Arial" w:hAnsi="Arial"/>
          <w:color w:val="0A0F1E"/>
          <w:sz w:val="22"/>
          <w:szCs w:val="22"/>
        </w:rPr>
        <w:t xml:space="preserve">Google Sheets spreadsheet data you designate for synchronization</w:t>
      </w:r>
    </w:p>
    <w:p>
      <w:pPr>
        <w:pStyle w:val="ListParagraph"/>
        <w:numPr>
          <w:ilvl w:val="0"/>
          <w:numId w:val="2"/>
        </w:numPr>
        <w:spacing w:after="40" w:before="40"/>
      </w:pPr>
      <w:r>
        <w:rPr>
          <w:rFonts w:ascii="Arial" w:cs="Arial" w:eastAsia="Arial" w:hAnsi="Arial"/>
          <w:color w:val="0A0F1E"/>
          <w:sz w:val="22"/>
          <w:szCs w:val="22"/>
        </w:rPr>
        <w:t xml:space="preserve">Monday.com board items, column values, and notes you designate for synchronization</w:t>
      </w:r>
    </w:p>
    <w:p>
      <w:pPr>
        <w:spacing w:after="60" w:before="60"/>
      </w:pPr>
      <w:r>
        <w:rPr>
          <w:rFonts w:ascii="Arial" w:cs="Arial" w:eastAsia="Arial" w:hAnsi="Arial"/>
          <w:b w:val="false"/>
          <w:bCs w:val="false"/>
          <w:i/>
          <w:iCs/>
          <w:color w:val="0A0F1E"/>
          <w:sz w:val="22"/>
          <w:szCs w:val="22"/>
        </w:rPr>
        <w:t xml:space="preserve">We do not access data from these platforms beyond what is necessary to provide the synchronization service you have configured.</w:t>
      </w:r>
    </w:p>
    <w:p>
      <w:pPr>
        <w:spacing w:after="80" w:before="80"/>
      </w:pPr>
    </w:p>
    <w:p>
      <w:pPr>
        <w:pStyle w:val="Heading2"/>
      </w:pPr>
      <w:r>
        <w:rPr>
          <w:rFonts w:ascii="Arial" w:cs="Arial" w:eastAsia="Arial" w:hAnsi="Arial"/>
          <w:b/>
          <w:bCs/>
          <w:color w:val="007A6E"/>
          <w:sz w:val="24"/>
          <w:szCs w:val="24"/>
        </w:rPr>
        <w:t xml:space="preserve">1.3 Usage Data</w:t>
      </w:r>
    </w:p>
    <w:p>
      <w:pPr>
        <w:pStyle w:val="ListParagraph"/>
        <w:numPr>
          <w:ilvl w:val="0"/>
          <w:numId w:val="2"/>
        </w:numPr>
        <w:spacing w:after="40" w:before="40"/>
      </w:pPr>
      <w:r>
        <w:rPr>
          <w:rFonts w:ascii="Arial" w:cs="Arial" w:eastAsia="Arial" w:hAnsi="Arial"/>
          <w:color w:val="0A0F1E"/>
          <w:sz w:val="22"/>
          <w:szCs w:val="22"/>
        </w:rPr>
        <w:t xml:space="preserve">Sync logs including timestamps, record counts, and error messages</w:t>
      </w:r>
    </w:p>
    <w:p>
      <w:pPr>
        <w:pStyle w:val="ListParagraph"/>
        <w:numPr>
          <w:ilvl w:val="0"/>
          <w:numId w:val="2"/>
        </w:numPr>
        <w:spacing w:after="40" w:before="40"/>
      </w:pPr>
      <w:r>
        <w:rPr>
          <w:rFonts w:ascii="Arial" w:cs="Arial" w:eastAsia="Arial" w:hAnsi="Arial"/>
          <w:color w:val="0A0F1E"/>
          <w:sz w:val="22"/>
          <w:szCs w:val="22"/>
        </w:rPr>
        <w:t xml:space="preserve">Feature usage patterns to improve the Service</w:t>
      </w:r>
    </w:p>
    <w:p>
      <w:pPr>
        <w:pStyle w:val="ListParagraph"/>
        <w:numPr>
          <w:ilvl w:val="0"/>
          <w:numId w:val="2"/>
        </w:numPr>
        <w:spacing w:after="40" w:before="40"/>
      </w:pPr>
      <w:r>
        <w:rPr>
          <w:rFonts w:ascii="Arial" w:cs="Arial" w:eastAsia="Arial" w:hAnsi="Arial"/>
          <w:color w:val="0A0F1E"/>
          <w:sz w:val="22"/>
          <w:szCs w:val="22"/>
        </w:rPr>
        <w:t xml:space="preserve">Browser type and version when accessing our web dashboard</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2. How We Use Your Information</w:t>
      </w:r>
    </w:p>
    <w:p>
      <w:pPr>
        <w:spacing w:after="60" w:before="60"/>
      </w:pPr>
      <w:r>
        <w:rPr>
          <w:rFonts w:ascii="Arial" w:cs="Arial" w:eastAsia="Arial" w:hAnsi="Arial"/>
          <w:b w:val="false"/>
          <w:bCs w:val="false"/>
          <w:i w:val="false"/>
          <w:iCs w:val="false"/>
          <w:color w:val="0A0F1E"/>
          <w:sz w:val="22"/>
          <w:szCs w:val="22"/>
        </w:rPr>
        <w:t xml:space="preserve">We use the information we collect to:</w:t>
      </w:r>
    </w:p>
    <w:p>
      <w:pPr>
        <w:pStyle w:val="ListParagraph"/>
        <w:numPr>
          <w:ilvl w:val="0"/>
          <w:numId w:val="2"/>
        </w:numPr>
        <w:spacing w:after="40" w:before="40"/>
      </w:pPr>
      <w:r>
        <w:rPr>
          <w:rFonts w:ascii="Arial" w:cs="Arial" w:eastAsia="Arial" w:hAnsi="Arial"/>
          <w:color w:val="0A0F1E"/>
          <w:sz w:val="22"/>
          <w:szCs w:val="22"/>
        </w:rPr>
        <w:t xml:space="preserve">Provide, operate, and maintain the Service</w:t>
      </w:r>
    </w:p>
    <w:p>
      <w:pPr>
        <w:pStyle w:val="ListParagraph"/>
        <w:numPr>
          <w:ilvl w:val="0"/>
          <w:numId w:val="2"/>
        </w:numPr>
        <w:spacing w:after="40" w:before="40"/>
      </w:pPr>
      <w:r>
        <w:rPr>
          <w:rFonts w:ascii="Arial" w:cs="Arial" w:eastAsia="Arial" w:hAnsi="Arial"/>
          <w:color w:val="0A0F1E"/>
          <w:sz w:val="22"/>
          <w:szCs w:val="22"/>
        </w:rPr>
        <w:t xml:space="preserve">Synchronize data between your connected platforms as configured</w:t>
      </w:r>
    </w:p>
    <w:p>
      <w:pPr>
        <w:pStyle w:val="ListParagraph"/>
        <w:numPr>
          <w:ilvl w:val="0"/>
          <w:numId w:val="2"/>
        </w:numPr>
        <w:spacing w:after="40" w:before="40"/>
      </w:pPr>
      <w:r>
        <w:rPr>
          <w:rFonts w:ascii="Arial" w:cs="Arial" w:eastAsia="Arial" w:hAnsi="Arial"/>
          <w:color w:val="0A0F1E"/>
          <w:sz w:val="22"/>
          <w:szCs w:val="22"/>
        </w:rPr>
        <w:t xml:space="preserve">Send transactional emails including sync status notifications and error alerts</w:t>
      </w:r>
    </w:p>
    <w:p>
      <w:pPr>
        <w:pStyle w:val="ListParagraph"/>
        <w:numPr>
          <w:ilvl w:val="0"/>
          <w:numId w:val="2"/>
        </w:numPr>
        <w:spacing w:after="40" w:before="40"/>
      </w:pPr>
      <w:r>
        <w:rPr>
          <w:rFonts w:ascii="Arial" w:cs="Arial" w:eastAsia="Arial" w:hAnsi="Arial"/>
          <w:color w:val="0A0F1E"/>
          <w:sz w:val="22"/>
          <w:szCs w:val="22"/>
        </w:rPr>
        <w:t xml:space="preserve">Respond to support requests and troubleshoot issues</w:t>
      </w:r>
    </w:p>
    <w:p>
      <w:pPr>
        <w:pStyle w:val="ListParagraph"/>
        <w:numPr>
          <w:ilvl w:val="0"/>
          <w:numId w:val="2"/>
        </w:numPr>
        <w:spacing w:after="40" w:before="40"/>
      </w:pPr>
      <w:r>
        <w:rPr>
          <w:rFonts w:ascii="Arial" w:cs="Arial" w:eastAsia="Arial" w:hAnsi="Arial"/>
          <w:color w:val="0A0F1E"/>
          <w:sz w:val="22"/>
          <w:szCs w:val="22"/>
        </w:rPr>
        <w:t xml:space="preserve">Process billing and manage your subscription</w:t>
      </w:r>
    </w:p>
    <w:p>
      <w:pPr>
        <w:pStyle w:val="ListParagraph"/>
        <w:numPr>
          <w:ilvl w:val="0"/>
          <w:numId w:val="2"/>
        </w:numPr>
        <w:spacing w:after="40" w:before="40"/>
      </w:pPr>
      <w:r>
        <w:rPr>
          <w:rFonts w:ascii="Arial" w:cs="Arial" w:eastAsia="Arial" w:hAnsi="Arial"/>
          <w:color w:val="0A0F1E"/>
          <w:sz w:val="22"/>
          <w:szCs w:val="22"/>
        </w:rPr>
        <w:t xml:space="preserve">Improve and develop new features based on usage patterns</w:t>
      </w:r>
    </w:p>
    <w:p>
      <w:pPr>
        <w:pStyle w:val="ListParagraph"/>
        <w:numPr>
          <w:ilvl w:val="0"/>
          <w:numId w:val="2"/>
        </w:numPr>
        <w:spacing w:after="40" w:before="40"/>
      </w:pPr>
      <w:r>
        <w:rPr>
          <w:rFonts w:ascii="Arial" w:cs="Arial" w:eastAsia="Arial" w:hAnsi="Arial"/>
          <w:color w:val="0A0F1E"/>
          <w:sz w:val="22"/>
          <w:szCs w:val="22"/>
        </w:rPr>
        <w:t xml:space="preserve">Comply with legal obligations</w:t>
      </w:r>
    </w:p>
    <w:p>
      <w:pPr>
        <w:spacing w:after="80" w:before="80"/>
      </w:pPr>
    </w:p>
    <w:p>
      <w:pPr>
        <w:spacing w:after="60" w:before="60"/>
      </w:pPr>
      <w:r>
        <w:rPr>
          <w:rFonts w:ascii="Arial" w:cs="Arial" w:eastAsia="Arial" w:hAnsi="Arial"/>
          <w:b/>
          <w:bCs/>
          <w:i w:val="false"/>
          <w:iCs w:val="false"/>
          <w:color w:val="0A0F1E"/>
          <w:sz w:val="22"/>
          <w:szCs w:val="22"/>
        </w:rPr>
        <w:t xml:space="preserve">We do not sell, rent, or share your data with third parties for marketing purposes.</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3. Protected Health Information (PHI) and HIPAA</w:t>
      </w:r>
    </w:p>
    <w:p>
      <w:pPr>
        <w:pStyle w:val="Heading2"/>
      </w:pPr>
      <w:r>
        <w:rPr>
          <w:rFonts w:ascii="Arial" w:cs="Arial" w:eastAsia="Arial" w:hAnsi="Arial"/>
          <w:b/>
          <w:bCs/>
          <w:color w:val="007A6E"/>
          <w:sz w:val="24"/>
          <w:szCs w:val="24"/>
        </w:rPr>
        <w:t xml:space="preserve">3.1 Our Approach to PHI</w:t>
      </w:r>
    </w:p>
    <w:p>
      <w:pPr>
        <w:spacing w:after="60" w:before="60"/>
      </w:pPr>
      <w:r>
        <w:rPr>
          <w:rFonts w:ascii="Arial" w:cs="Arial" w:eastAsia="Arial" w:hAnsi="Arial"/>
          <w:b w:val="false"/>
          <w:bCs w:val="false"/>
          <w:i w:val="false"/>
          <w:iCs w:val="false"/>
          <w:color w:val="0A0F1E"/>
          <w:sz w:val="22"/>
          <w:szCs w:val="22"/>
        </w:rPr>
        <w:t xml:space="preserve">CompliSync is designed to help compliance-focused teams handle sensitive data responsibly. We acknowledge that some customers, particularly in healthcare and healthcare-adjacent industries, may process data that constitutes Protected Health Information (PHI) as defined under the Health Insurance Portability and Accountability Act (HIPAA).</w:t>
      </w:r>
    </w:p>
    <w:p>
      <w:pPr>
        <w:spacing w:after="80" w:before="80"/>
      </w:pPr>
    </w:p>
    <w:p>
      <w:pPr>
        <w:pStyle w:val="Heading2"/>
      </w:pPr>
      <w:r>
        <w:rPr>
          <w:rFonts w:ascii="Arial" w:cs="Arial" w:eastAsia="Arial" w:hAnsi="Arial"/>
          <w:b/>
          <w:bCs/>
          <w:color w:val="007A6E"/>
          <w:sz w:val="24"/>
          <w:szCs w:val="24"/>
        </w:rPr>
        <w:t xml:space="preserve">3.2 Compliance Tier Customers</w:t>
      </w:r>
    </w:p>
    <w:p>
      <w:pPr>
        <w:spacing w:after="60" w:before="60"/>
      </w:pPr>
      <w:r>
        <w:rPr>
          <w:rFonts w:ascii="Arial" w:cs="Arial" w:eastAsia="Arial" w:hAnsi="Arial"/>
          <w:b w:val="false"/>
          <w:bCs w:val="false"/>
          <w:i w:val="false"/>
          <w:iCs w:val="false"/>
          <w:color w:val="0A0F1E"/>
          <w:sz w:val="22"/>
          <w:szCs w:val="22"/>
        </w:rPr>
        <w:t xml:space="preserve">Customers on the Compliance tier of CompliSync may execute a Business Associate Agreement (BAA) with us. The BAA governs our obligations with respect to any PHI that may be processed through the Service. To request a BAA, contact hello@complisync.org.</w:t>
      </w:r>
    </w:p>
    <w:p>
      <w:pPr>
        <w:spacing w:after="80" w:before="80"/>
      </w:pPr>
    </w:p>
    <w:p>
      <w:pPr>
        <w:pStyle w:val="Heading2"/>
      </w:pPr>
      <w:r>
        <w:rPr>
          <w:rFonts w:ascii="Arial" w:cs="Arial" w:eastAsia="Arial" w:hAnsi="Arial"/>
          <w:b/>
          <w:bCs/>
          <w:color w:val="007A6E"/>
          <w:sz w:val="24"/>
          <w:szCs w:val="24"/>
        </w:rPr>
        <w:t xml:space="preserve">3.3 PHI Safeguards</w:t>
      </w:r>
    </w:p>
    <w:p>
      <w:pPr>
        <w:spacing w:after="60" w:before="60"/>
      </w:pPr>
      <w:r>
        <w:rPr>
          <w:rFonts w:ascii="Arial" w:cs="Arial" w:eastAsia="Arial" w:hAnsi="Arial"/>
          <w:b w:val="false"/>
          <w:bCs w:val="false"/>
          <w:i w:val="false"/>
          <w:iCs w:val="false"/>
          <w:color w:val="0A0F1E"/>
          <w:sz w:val="22"/>
          <w:szCs w:val="22"/>
        </w:rPr>
        <w:t xml:space="preserve">CompliSync provides the following features to help customers manage PHI risk:</w:t>
      </w:r>
    </w:p>
    <w:p>
      <w:pPr>
        <w:pStyle w:val="ListParagraph"/>
        <w:numPr>
          <w:ilvl w:val="0"/>
          <w:numId w:val="2"/>
        </w:numPr>
        <w:spacing w:after="40" w:before="40"/>
      </w:pPr>
      <w:r>
        <w:rPr>
          <w:rFonts w:ascii="Arial" w:cs="Arial" w:eastAsia="Arial" w:hAnsi="Arial"/>
          <w:color w:val="0A0F1E"/>
          <w:sz w:val="22"/>
          <w:szCs w:val="22"/>
        </w:rPr>
        <w:t xml:space="preserve">PHI Column Designation: Customers can mark specific columns as containing PHI</w:t>
      </w:r>
    </w:p>
    <w:p>
      <w:pPr>
        <w:pStyle w:val="ListParagraph"/>
        <w:numPr>
          <w:ilvl w:val="0"/>
          <w:numId w:val="2"/>
        </w:numPr>
        <w:spacing w:after="40" w:before="40"/>
      </w:pPr>
      <w:r>
        <w:rPr>
          <w:rFonts w:ascii="Arial" w:cs="Arial" w:eastAsia="Arial" w:hAnsi="Arial"/>
          <w:color w:val="0A0F1E"/>
          <w:sz w:val="22"/>
          <w:szCs w:val="22"/>
        </w:rPr>
        <w:t xml:space="preserve">PHI Wipe: One-click or scheduled removal of data from designated PHI columns</w:t>
      </w:r>
    </w:p>
    <w:p>
      <w:pPr>
        <w:pStyle w:val="ListParagraph"/>
        <w:numPr>
          <w:ilvl w:val="0"/>
          <w:numId w:val="2"/>
        </w:numPr>
        <w:spacing w:after="40" w:before="40"/>
      </w:pPr>
      <w:r>
        <w:rPr>
          <w:rFonts w:ascii="Arial" w:cs="Arial" w:eastAsia="Arial" w:hAnsi="Arial"/>
          <w:color w:val="0A0F1E"/>
          <w:sz w:val="22"/>
          <w:szCs w:val="22"/>
        </w:rPr>
        <w:t xml:space="preserve">Audit Log: A record of all sync, wipe, and share operations with timestamps and user attribution</w:t>
      </w:r>
    </w:p>
    <w:p>
      <w:pPr>
        <w:pStyle w:val="ListParagraph"/>
        <w:numPr>
          <w:ilvl w:val="0"/>
          <w:numId w:val="2"/>
        </w:numPr>
        <w:spacing w:after="40" w:before="40"/>
      </w:pPr>
      <w:r>
        <w:rPr>
          <w:rFonts w:ascii="Arial" w:cs="Arial" w:eastAsia="Arial" w:hAnsi="Arial"/>
          <w:color w:val="0A0F1E"/>
          <w:sz w:val="22"/>
          <w:szCs w:val="22"/>
        </w:rPr>
        <w:t xml:space="preserve">Data Retention Controls: Automatic removal of records older than a customer-configured threshold</w:t>
      </w:r>
    </w:p>
    <w:p>
      <w:pPr>
        <w:spacing w:after="80" w:before="80"/>
      </w:pPr>
    </w:p>
    <w:p>
      <w:pPr>
        <w:spacing w:after="60" w:before="60"/>
      </w:pPr>
      <w:r>
        <w:rPr>
          <w:rFonts w:ascii="Arial" w:cs="Arial" w:eastAsia="Arial" w:hAnsi="Arial"/>
          <w:b w:val="false"/>
          <w:bCs w:val="false"/>
          <w:i/>
          <w:iCs/>
          <w:color w:val="0A0F1E"/>
          <w:sz w:val="22"/>
          <w:szCs w:val="22"/>
        </w:rPr>
        <w:t xml:space="preserve">Customers are responsible for correctly designating PHI columns and for ensuring their use of CompliSync complies with applicable laws including HIPAA. CompliSync provides tools to assist with compliance but does not guarantee compliance independently of proper customer configuration.</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4. Data Storage and Security</w:t>
      </w:r>
    </w:p>
    <w:p>
      <w:pPr>
        <w:pStyle w:val="Heading2"/>
      </w:pPr>
      <w:r>
        <w:rPr>
          <w:rFonts w:ascii="Arial" w:cs="Arial" w:eastAsia="Arial" w:hAnsi="Arial"/>
          <w:b/>
          <w:bCs/>
          <w:color w:val="007A6E"/>
          <w:sz w:val="24"/>
          <w:szCs w:val="24"/>
        </w:rPr>
        <w:t xml:space="preserve">4.1 Storage</w:t>
      </w:r>
    </w:p>
    <w:p>
      <w:pPr>
        <w:spacing w:after="60" w:before="60"/>
      </w:pPr>
      <w:r>
        <w:rPr>
          <w:rFonts w:ascii="Arial" w:cs="Arial" w:eastAsia="Arial" w:hAnsi="Arial"/>
          <w:b w:val="false"/>
          <w:bCs w:val="false"/>
          <w:i w:val="false"/>
          <w:iCs w:val="false"/>
          <w:color w:val="0A0F1E"/>
          <w:sz w:val="22"/>
          <w:szCs w:val="22"/>
        </w:rPr>
        <w:t xml:space="preserve">Customer data is stored on servers located in the United States. API tokens and credentials are encrypted at rest using AES-256 encryption. Data in transit is protected using TLS 1.2 or higher.</w:t>
      </w:r>
    </w:p>
    <w:p>
      <w:pPr>
        <w:spacing w:after="80" w:before="80"/>
      </w:pPr>
    </w:p>
    <w:p>
      <w:pPr>
        <w:pStyle w:val="Heading2"/>
      </w:pPr>
      <w:r>
        <w:rPr>
          <w:rFonts w:ascii="Arial" w:cs="Arial" w:eastAsia="Arial" w:hAnsi="Arial"/>
          <w:b/>
          <w:bCs/>
          <w:color w:val="007A6E"/>
          <w:sz w:val="24"/>
          <w:szCs w:val="24"/>
        </w:rPr>
        <w:t xml:space="preserve">4.2 Security Measures</w:t>
      </w:r>
    </w:p>
    <w:p>
      <w:pPr>
        <w:pStyle w:val="ListParagraph"/>
        <w:numPr>
          <w:ilvl w:val="0"/>
          <w:numId w:val="2"/>
        </w:numPr>
        <w:spacing w:after="40" w:before="40"/>
      </w:pPr>
      <w:r>
        <w:rPr>
          <w:rFonts w:ascii="Arial" w:cs="Arial" w:eastAsia="Arial" w:hAnsi="Arial"/>
          <w:color w:val="0A0F1E"/>
          <w:sz w:val="22"/>
          <w:szCs w:val="22"/>
        </w:rPr>
        <w:t xml:space="preserve">Encryption of credentials and sensitive configuration data at rest</w:t>
      </w:r>
    </w:p>
    <w:p>
      <w:pPr>
        <w:pStyle w:val="ListParagraph"/>
        <w:numPr>
          <w:ilvl w:val="0"/>
          <w:numId w:val="2"/>
        </w:numPr>
        <w:spacing w:after="40" w:before="40"/>
      </w:pPr>
      <w:r>
        <w:rPr>
          <w:rFonts w:ascii="Arial" w:cs="Arial" w:eastAsia="Arial" w:hAnsi="Arial"/>
          <w:color w:val="0A0F1E"/>
          <w:sz w:val="22"/>
          <w:szCs w:val="22"/>
        </w:rPr>
        <w:t xml:space="preserve">TLS encryption for all data in transit</w:t>
      </w:r>
    </w:p>
    <w:p>
      <w:pPr>
        <w:pStyle w:val="ListParagraph"/>
        <w:numPr>
          <w:ilvl w:val="0"/>
          <w:numId w:val="2"/>
        </w:numPr>
        <w:spacing w:after="40" w:before="40"/>
      </w:pPr>
      <w:r>
        <w:rPr>
          <w:rFonts w:ascii="Arial" w:cs="Arial" w:eastAsia="Arial" w:hAnsi="Arial"/>
          <w:color w:val="0A0F1E"/>
          <w:sz w:val="22"/>
          <w:szCs w:val="22"/>
        </w:rPr>
        <w:t xml:space="preserve">Access controls limiting employee access to customer data</w:t>
      </w:r>
    </w:p>
    <w:p>
      <w:pPr>
        <w:pStyle w:val="ListParagraph"/>
        <w:numPr>
          <w:ilvl w:val="0"/>
          <w:numId w:val="2"/>
        </w:numPr>
        <w:spacing w:after="40" w:before="40"/>
      </w:pPr>
      <w:r>
        <w:rPr>
          <w:rFonts w:ascii="Arial" w:cs="Arial" w:eastAsia="Arial" w:hAnsi="Arial"/>
          <w:color w:val="0A0F1E"/>
          <w:sz w:val="22"/>
          <w:szCs w:val="22"/>
        </w:rPr>
        <w:t xml:space="preserve">Regular security reviews and updates</w:t>
      </w:r>
    </w:p>
    <w:p>
      <w:pPr>
        <w:pStyle w:val="ListParagraph"/>
        <w:numPr>
          <w:ilvl w:val="0"/>
          <w:numId w:val="2"/>
        </w:numPr>
        <w:spacing w:after="40" w:before="40"/>
      </w:pPr>
      <w:r>
        <w:rPr>
          <w:rFonts w:ascii="Arial" w:cs="Arial" w:eastAsia="Arial" w:hAnsi="Arial"/>
          <w:color w:val="0A0F1E"/>
          <w:sz w:val="22"/>
          <w:szCs w:val="22"/>
        </w:rPr>
        <w:t xml:space="preserve">Audit logging of all data access and modification events</w:t>
      </w:r>
    </w:p>
    <w:p>
      <w:pPr>
        <w:spacing w:after="80" w:before="80"/>
      </w:pPr>
    </w:p>
    <w:p>
      <w:pPr>
        <w:pStyle w:val="Heading2"/>
      </w:pPr>
      <w:r>
        <w:rPr>
          <w:rFonts w:ascii="Arial" w:cs="Arial" w:eastAsia="Arial" w:hAnsi="Arial"/>
          <w:b/>
          <w:bCs/>
          <w:color w:val="007A6E"/>
          <w:sz w:val="24"/>
          <w:szCs w:val="24"/>
        </w:rPr>
        <w:t xml:space="preserve">4.3 Data Retention</w:t>
      </w:r>
    </w:p>
    <w:p>
      <w:pPr>
        <w:spacing w:after="60" w:before="60"/>
      </w:pPr>
      <w:r>
        <w:rPr>
          <w:rFonts w:ascii="Arial" w:cs="Arial" w:eastAsia="Arial" w:hAnsi="Arial"/>
          <w:b w:val="false"/>
          <w:bCs w:val="false"/>
          <w:i w:val="false"/>
          <w:iCs w:val="false"/>
          <w:color w:val="0A0F1E"/>
          <w:sz w:val="22"/>
          <w:szCs w:val="22"/>
        </w:rPr>
        <w:t xml:space="preserve">We retain your account data for the duration of your subscription and for 30 days following termination, after which it is permanently deleted. Sync logs are retained for 90 days. You may request immediate deletion of your data by contacting hello@complisync.org.</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5. Third-Party Services</w:t>
      </w:r>
    </w:p>
    <w:p>
      <w:pPr>
        <w:spacing w:after="60" w:before="60"/>
      </w:pPr>
      <w:r>
        <w:rPr>
          <w:rFonts w:ascii="Arial" w:cs="Arial" w:eastAsia="Arial" w:hAnsi="Arial"/>
          <w:b w:val="false"/>
          <w:bCs w:val="false"/>
          <w:i w:val="false"/>
          <w:iCs w:val="false"/>
          <w:color w:val="0A0F1E"/>
          <w:sz w:val="22"/>
          <w:szCs w:val="22"/>
        </w:rPr>
        <w:t xml:space="preserve">CompliSync integrates with the following third-party platforms. Your use of these platforms is governed by their respective privacy policies:</w:t>
      </w:r>
    </w:p>
    <w:p>
      <w:pPr>
        <w:pStyle w:val="ListParagraph"/>
        <w:numPr>
          <w:ilvl w:val="0"/>
          <w:numId w:val="2"/>
        </w:numPr>
        <w:spacing w:after="40" w:before="40"/>
      </w:pPr>
      <w:r>
        <w:rPr>
          <w:rFonts w:ascii="Arial" w:cs="Arial" w:eastAsia="Arial" w:hAnsi="Arial"/>
          <w:color w:val="0A0F1E"/>
          <w:sz w:val="22"/>
          <w:szCs w:val="22"/>
        </w:rPr>
        <w:t xml:space="preserve">Atlassian Jira (atlassian.com/legal/privacy-policy)</w:t>
      </w:r>
    </w:p>
    <w:p>
      <w:pPr>
        <w:pStyle w:val="ListParagraph"/>
        <w:numPr>
          <w:ilvl w:val="0"/>
          <w:numId w:val="2"/>
        </w:numPr>
        <w:spacing w:after="40" w:before="40"/>
      </w:pPr>
      <w:r>
        <w:rPr>
          <w:rFonts w:ascii="Arial" w:cs="Arial" w:eastAsia="Arial" w:hAnsi="Arial"/>
          <w:color w:val="0A0F1E"/>
          <w:sz w:val="22"/>
          <w:szCs w:val="22"/>
        </w:rPr>
        <w:t xml:space="preserve">Google Workspace / Google Sheets (policies.google.com/privacy)</w:t>
      </w:r>
    </w:p>
    <w:p>
      <w:pPr>
        <w:pStyle w:val="ListParagraph"/>
        <w:numPr>
          <w:ilvl w:val="0"/>
          <w:numId w:val="2"/>
        </w:numPr>
        <w:spacing w:after="40" w:before="40"/>
      </w:pPr>
      <w:r>
        <w:rPr>
          <w:rFonts w:ascii="Arial" w:cs="Arial" w:eastAsia="Arial" w:hAnsi="Arial"/>
          <w:color w:val="0A0F1E"/>
          <w:sz w:val="22"/>
          <w:szCs w:val="22"/>
        </w:rPr>
        <w:t xml:space="preserve">Monday.com (monday.com/l/privacy)</w:t>
      </w:r>
    </w:p>
    <w:p>
      <w:pPr>
        <w:pStyle w:val="ListParagraph"/>
        <w:numPr>
          <w:ilvl w:val="0"/>
          <w:numId w:val="2"/>
        </w:numPr>
        <w:spacing w:after="40" w:before="40"/>
      </w:pPr>
      <w:r>
        <w:rPr>
          <w:rFonts w:ascii="Arial" w:cs="Arial" w:eastAsia="Arial" w:hAnsi="Arial"/>
          <w:color w:val="0A0F1E"/>
          <w:sz w:val="22"/>
          <w:szCs w:val="22"/>
        </w:rPr>
        <w:t xml:space="preserve">Formspree (formspree.io/legal/privacy-policy) — for contact form submissions</w:t>
      </w:r>
    </w:p>
    <w:p>
      <w:pPr>
        <w:pStyle w:val="ListParagraph"/>
        <w:numPr>
          <w:ilvl w:val="0"/>
          <w:numId w:val="2"/>
        </w:numPr>
        <w:spacing w:after="40" w:before="40"/>
      </w:pPr>
      <w:r>
        <w:rPr>
          <w:rFonts w:ascii="Arial" w:cs="Arial" w:eastAsia="Arial" w:hAnsi="Arial"/>
          <w:color w:val="0A0F1E"/>
          <w:sz w:val="22"/>
          <w:szCs w:val="22"/>
        </w:rPr>
        <w:t xml:space="preserve">Stripe (stripe.com/privacy) — for payment processing</w:t>
      </w:r>
    </w:p>
    <w:p>
      <w:pPr>
        <w:spacing w:after="80" w:before="80"/>
      </w:pPr>
    </w:p>
    <w:p>
      <w:pPr>
        <w:spacing w:after="60" w:before="60"/>
      </w:pPr>
      <w:r>
        <w:rPr>
          <w:rFonts w:ascii="Arial" w:cs="Arial" w:eastAsia="Arial" w:hAnsi="Arial"/>
          <w:b w:val="false"/>
          <w:bCs w:val="false"/>
          <w:i w:val="false"/>
          <w:iCs w:val="false"/>
          <w:color w:val="0A0F1E"/>
          <w:sz w:val="22"/>
          <w:szCs w:val="22"/>
        </w:rPr>
        <w:t xml:space="preserve">We are not responsible for the privacy practices of these third-party services.</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6. Your Rights</w:t>
      </w:r>
    </w:p>
    <w:p>
      <w:pPr>
        <w:spacing w:after="60" w:before="60"/>
      </w:pPr>
      <w:r>
        <w:rPr>
          <w:rFonts w:ascii="Arial" w:cs="Arial" w:eastAsia="Arial" w:hAnsi="Arial"/>
          <w:b w:val="false"/>
          <w:bCs w:val="false"/>
          <w:i w:val="false"/>
          <w:iCs w:val="false"/>
          <w:color w:val="0A0F1E"/>
          <w:sz w:val="22"/>
          <w:szCs w:val="22"/>
        </w:rPr>
        <w:t xml:space="preserve">Depending on your location, you may have the following rights with respect to your personal data:</w:t>
      </w:r>
    </w:p>
    <w:p>
      <w:pPr>
        <w:pStyle w:val="ListParagraph"/>
        <w:numPr>
          <w:ilvl w:val="0"/>
          <w:numId w:val="2"/>
        </w:numPr>
        <w:spacing w:after="40" w:before="40"/>
      </w:pPr>
      <w:r>
        <w:rPr>
          <w:rFonts w:ascii="Arial" w:cs="Arial" w:eastAsia="Arial" w:hAnsi="Arial"/>
          <w:color w:val="0A0F1E"/>
          <w:sz w:val="22"/>
          <w:szCs w:val="22"/>
        </w:rPr>
        <w:t xml:space="preserve">Access: Request a copy of the personal data we hold about you</w:t>
      </w:r>
    </w:p>
    <w:p>
      <w:pPr>
        <w:pStyle w:val="ListParagraph"/>
        <w:numPr>
          <w:ilvl w:val="0"/>
          <w:numId w:val="2"/>
        </w:numPr>
        <w:spacing w:after="40" w:before="40"/>
      </w:pPr>
      <w:r>
        <w:rPr>
          <w:rFonts w:ascii="Arial" w:cs="Arial" w:eastAsia="Arial" w:hAnsi="Arial"/>
          <w:color w:val="0A0F1E"/>
          <w:sz w:val="22"/>
          <w:szCs w:val="22"/>
        </w:rPr>
        <w:t xml:space="preserve">Correction: Request correction of inaccurate or incomplete data</w:t>
      </w:r>
    </w:p>
    <w:p>
      <w:pPr>
        <w:pStyle w:val="ListParagraph"/>
        <w:numPr>
          <w:ilvl w:val="0"/>
          <w:numId w:val="2"/>
        </w:numPr>
        <w:spacing w:after="40" w:before="40"/>
      </w:pPr>
      <w:r>
        <w:rPr>
          <w:rFonts w:ascii="Arial" w:cs="Arial" w:eastAsia="Arial" w:hAnsi="Arial"/>
          <w:color w:val="0A0F1E"/>
          <w:sz w:val="22"/>
          <w:szCs w:val="22"/>
        </w:rPr>
        <w:t xml:space="preserve">Deletion: Request deletion of your personal data</w:t>
      </w:r>
    </w:p>
    <w:p>
      <w:pPr>
        <w:pStyle w:val="ListParagraph"/>
        <w:numPr>
          <w:ilvl w:val="0"/>
          <w:numId w:val="2"/>
        </w:numPr>
        <w:spacing w:after="40" w:before="40"/>
      </w:pPr>
      <w:r>
        <w:rPr>
          <w:rFonts w:ascii="Arial" w:cs="Arial" w:eastAsia="Arial" w:hAnsi="Arial"/>
          <w:color w:val="0A0F1E"/>
          <w:sz w:val="22"/>
          <w:szCs w:val="22"/>
        </w:rPr>
        <w:t xml:space="preserve">Portability: Request a machine-readable export of your data</w:t>
      </w:r>
    </w:p>
    <w:p>
      <w:pPr>
        <w:pStyle w:val="ListParagraph"/>
        <w:numPr>
          <w:ilvl w:val="0"/>
          <w:numId w:val="2"/>
        </w:numPr>
        <w:spacing w:after="40" w:before="40"/>
      </w:pPr>
      <w:r>
        <w:rPr>
          <w:rFonts w:ascii="Arial" w:cs="Arial" w:eastAsia="Arial" w:hAnsi="Arial"/>
          <w:color w:val="0A0F1E"/>
          <w:sz w:val="22"/>
          <w:szCs w:val="22"/>
        </w:rPr>
        <w:t xml:space="preserve">Restriction: Request that we limit processing of your data</w:t>
      </w:r>
    </w:p>
    <w:p>
      <w:pPr>
        <w:pStyle w:val="ListParagraph"/>
        <w:numPr>
          <w:ilvl w:val="0"/>
          <w:numId w:val="2"/>
        </w:numPr>
        <w:spacing w:after="40" w:before="40"/>
      </w:pPr>
      <w:r>
        <w:rPr>
          <w:rFonts w:ascii="Arial" w:cs="Arial" w:eastAsia="Arial" w:hAnsi="Arial"/>
          <w:color w:val="0A0F1E"/>
          <w:sz w:val="22"/>
          <w:szCs w:val="22"/>
        </w:rPr>
        <w:t xml:space="preserve">Objection: Object to certain types of processing</w:t>
      </w:r>
    </w:p>
    <w:p>
      <w:pPr>
        <w:spacing w:after="80" w:before="80"/>
      </w:pPr>
    </w:p>
    <w:p>
      <w:pPr>
        <w:spacing w:after="60" w:before="60"/>
      </w:pPr>
      <w:r>
        <w:rPr>
          <w:rFonts w:ascii="Arial" w:cs="Arial" w:eastAsia="Arial" w:hAnsi="Arial"/>
          <w:b w:val="false"/>
          <w:bCs w:val="false"/>
          <w:i w:val="false"/>
          <w:iCs w:val="false"/>
          <w:color w:val="0A0F1E"/>
          <w:sz w:val="22"/>
          <w:szCs w:val="22"/>
        </w:rPr>
        <w:t xml:space="preserve">To exercise any of these rights, contact us at hello@complisync.org. We will respond within 30 days.</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7. Cookies</w:t>
      </w:r>
    </w:p>
    <w:p>
      <w:pPr>
        <w:spacing w:after="60" w:before="60"/>
      </w:pPr>
      <w:r>
        <w:rPr>
          <w:rFonts w:ascii="Arial" w:cs="Arial" w:eastAsia="Arial" w:hAnsi="Arial"/>
          <w:b w:val="false"/>
          <w:bCs w:val="false"/>
          <w:i w:val="false"/>
          <w:iCs w:val="false"/>
          <w:color w:val="0A0F1E"/>
          <w:sz w:val="22"/>
          <w:szCs w:val="22"/>
        </w:rPr>
        <w:t xml:space="preserve">Our web dashboard uses essential cookies necessary for authentication and session management. We do not use tracking cookies or third-party advertising cookies. You may disable cookies in your browser settings, but this may affect your ability to log in to the dashboard.</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8. Children's Privacy</w:t>
      </w:r>
    </w:p>
    <w:p>
      <w:pPr>
        <w:spacing w:after="60" w:before="60"/>
      </w:pPr>
      <w:r>
        <w:rPr>
          <w:rFonts w:ascii="Arial" w:cs="Arial" w:eastAsia="Arial" w:hAnsi="Arial"/>
          <w:b w:val="false"/>
          <w:bCs w:val="false"/>
          <w:i w:val="false"/>
          <w:iCs w:val="false"/>
          <w:color w:val="0A0F1E"/>
          <w:sz w:val="22"/>
          <w:szCs w:val="22"/>
        </w:rPr>
        <w:t xml:space="preserve">CompliSync is a business-to-business service not directed at children under the age of 13. We do not knowingly collect personal information from children. If you believe we have inadvertently collected such information, please contact us immediately at hello@complisync.org.</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9. Changes to This Policy</w:t>
      </w:r>
    </w:p>
    <w:p>
      <w:pPr>
        <w:spacing w:after="60" w:before="60"/>
      </w:pPr>
      <w:r>
        <w:rPr>
          <w:rFonts w:ascii="Arial" w:cs="Arial" w:eastAsia="Arial" w:hAnsi="Arial"/>
          <w:b w:val="false"/>
          <w:bCs w:val="false"/>
          <w:i w:val="false"/>
          <w:iCs w:val="false"/>
          <w:color w:val="0A0F1E"/>
          <w:sz w:val="22"/>
          <w:szCs w:val="22"/>
        </w:rPr>
        <w:t xml:space="preserve">We may update this Privacy Policy from time to time. We will notify you of material changes by email and by posting the updated policy on our website with a new effective date. Your continued use of the Service after changes are posted constitutes acceptance of the updated policy.</w:t>
      </w:r>
    </w:p>
    <w:p>
      <w:pPr>
        <w:pBdr>
          <w:bottom w:val="single" w:color="CCCCCC" w:sz="1" w:space="4"/>
        </w:pBdr>
        <w:spacing w:after="160" w:before="160"/>
      </w:pPr>
    </w:p>
    <w:p>
      <w:pPr>
        <w:pStyle w:val="Heading1"/>
      </w:pPr>
      <w:r>
        <w:rPr>
          <w:rFonts w:ascii="Arial" w:cs="Arial" w:eastAsia="Arial" w:hAnsi="Arial"/>
          <w:b/>
          <w:bCs/>
          <w:color w:val="0A0F1E"/>
          <w:sz w:val="28"/>
          <w:szCs w:val="28"/>
        </w:rPr>
        <w:t xml:space="preserve">10. Contact Us</w:t>
      </w:r>
    </w:p>
    <w:p>
      <w:pPr>
        <w:spacing w:after="60" w:before="60"/>
      </w:pPr>
      <w:r>
        <w:rPr>
          <w:rFonts w:ascii="Arial" w:cs="Arial" w:eastAsia="Arial" w:hAnsi="Arial"/>
          <w:b w:val="false"/>
          <w:bCs w:val="false"/>
          <w:i w:val="false"/>
          <w:iCs w:val="false"/>
          <w:color w:val="0A0F1E"/>
          <w:sz w:val="22"/>
          <w:szCs w:val="22"/>
        </w:rPr>
        <w:t xml:space="preserve">If you have questions about this Privacy Policy or our data practices, please contact us:</w:t>
      </w:r>
    </w:p>
    <w:p>
      <w:pPr>
        <w:spacing w:after="80" w:before="80"/>
      </w:pPr>
    </w:p>
    <w:p>
      <w:pPr>
        <w:spacing w:after="60" w:before="60"/>
      </w:pPr>
      <w:r>
        <w:rPr>
          <w:rFonts w:ascii="Arial" w:cs="Arial" w:eastAsia="Arial" w:hAnsi="Arial"/>
          <w:b/>
          <w:bCs/>
          <w:i w:val="false"/>
          <w:iCs w:val="false"/>
          <w:color w:val="0A0F1E"/>
          <w:sz w:val="22"/>
          <w:szCs w:val="22"/>
        </w:rPr>
        <w:t xml:space="preserve">CompliSync</w:t>
      </w:r>
    </w:p>
    <w:p>
      <w:pPr>
        <w:spacing w:after="60" w:before="60"/>
      </w:pPr>
      <w:r>
        <w:rPr>
          <w:rFonts w:ascii="Arial" w:cs="Arial" w:eastAsia="Arial" w:hAnsi="Arial"/>
          <w:b w:val="false"/>
          <w:bCs w:val="false"/>
          <w:i w:val="false"/>
          <w:iCs w:val="false"/>
          <w:color w:val="0A0F1E"/>
          <w:sz w:val="22"/>
          <w:szCs w:val="22"/>
        </w:rPr>
        <w:t xml:space="preserve">Email: hello@complisync.org</w:t>
      </w:r>
    </w:p>
    <w:p>
      <w:pPr>
        <w:spacing w:after="60" w:before="60"/>
      </w:pPr>
      <w:r>
        <w:rPr>
          <w:rFonts w:ascii="Arial" w:cs="Arial" w:eastAsia="Arial" w:hAnsi="Arial"/>
          <w:b w:val="false"/>
          <w:bCs w:val="false"/>
          <w:i w:val="false"/>
          <w:iCs w:val="false"/>
          <w:color w:val="0A0F1E"/>
          <w:sz w:val="22"/>
          <w:szCs w:val="22"/>
        </w:rPr>
        <w:t xml:space="preserve">Website: complisync.org</w:t>
      </w:r>
    </w:p>
    <w:p>
      <w:pPr>
        <w:spacing w:after="80" w:before="80"/>
      </w:pPr>
    </w:p>
    <w:p>
      <w:pPr>
        <w:spacing w:after="60" w:before="60"/>
      </w:pPr>
      <w:r>
        <w:rPr>
          <w:rFonts w:ascii="Arial" w:cs="Arial" w:eastAsia="Arial" w:hAnsi="Arial"/>
          <w:b w:val="false"/>
          <w:bCs w:val="false"/>
          <w:i w:val="false"/>
          <w:iCs w:val="false"/>
          <w:color w:val="0A0F1E"/>
          <w:sz w:val="22"/>
          <w:szCs w:val="22"/>
        </w:rPr>
        <w:t xml:space="preserve">For HIPAA-related inquiries or to request a Business Associate Agreement, please include "BAA Request" in your email subject 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80"/>
    </w:pPr>
    <w:r>
      <w:rPr>
        <w:rFonts w:ascii="Arial" w:cs="Arial" w:eastAsia="Arial" w:hAnsi="Arial"/>
        <w:color w:val="666666"/>
        <w:sz w:val="16"/>
        <w:szCs w:val="16"/>
      </w:rPr>
      <w:t xml:space="preserve">CompliSync  |  complisync.org  |  hello@complisync.org</w:t>
    </w:r>
    <w:r>
      <w:rPr>
        <w:rFonts w:ascii="Arial" w:cs="Arial" w:eastAsia="Arial" w:hAnsi="Arial"/>
        <w:color w:val="666666"/>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F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0F1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2026-04-25T17:01:31.968Z</dcterms:created>
  <dcterms:modified xsi:type="dcterms:W3CDTF">2026-04-25T17:01:31.969Z</dcterms:modified>
</cp:coreProperties>
</file>

<file path=docProps/custom.xml><?xml version="1.0" encoding="utf-8"?>
<Properties xmlns="http://schemas.openxmlformats.org/officeDocument/2006/custom-properties" xmlns:vt="http://schemas.openxmlformats.org/officeDocument/2006/docPropsVTypes"/>
</file>