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rPr>
          <w:i w:val="1"/>
        </w:rPr>
      </w:pPr>
      <w:r w:rsidDel="00000000" w:rsidR="00000000" w:rsidRPr="00000000">
        <w:rPr>
          <w:i w:val="1"/>
          <w:rtl w:val="0"/>
        </w:rPr>
        <w:t xml:space="preserve">Note: refine and reduce the word count, and add the screenshot to overview the results</w:t>
      </w:r>
    </w:p>
    <w:p w:rsidR="00000000" w:rsidDel="00000000" w:rsidP="00000000" w:rsidRDefault="00000000" w:rsidRPr="00000000" w14:paraId="00000002">
      <w:pPr>
        <w:spacing w:after="0" w:before="0" w:line="480" w:lineRule="auto"/>
        <w:jc w:val="center"/>
        <w:rPr>
          <w:color w:val="0000ff"/>
          <w:sz w:val="30"/>
          <w:szCs w:val="30"/>
        </w:rPr>
      </w:pPr>
      <w:r w:rsidDel="00000000" w:rsidR="00000000" w:rsidRPr="00000000">
        <w:rPr>
          <w:rtl w:val="0"/>
        </w:rPr>
      </w:r>
    </w:p>
    <w:p w:rsidR="00000000" w:rsidDel="00000000" w:rsidP="00000000" w:rsidRDefault="00000000" w:rsidRPr="00000000" w14:paraId="00000003">
      <w:pPr>
        <w:spacing w:after="0" w:before="0" w:line="480" w:lineRule="auto"/>
        <w:jc w:val="center"/>
        <w:rPr>
          <w:b w:val="1"/>
          <w:color w:val="0000ff"/>
          <w:sz w:val="32"/>
          <w:szCs w:val="32"/>
        </w:rPr>
      </w:pPr>
      <w:r w:rsidDel="00000000" w:rsidR="00000000" w:rsidRPr="00000000">
        <w:rPr>
          <w:b w:val="1"/>
          <w:color w:val="0000ff"/>
          <w:sz w:val="32"/>
          <w:szCs w:val="32"/>
          <w:rtl w:val="0"/>
        </w:rPr>
        <w:t xml:space="preserve">Deakin University</w:t>
      </w:r>
    </w:p>
    <w:p w:rsidR="00000000" w:rsidDel="00000000" w:rsidP="00000000" w:rsidRDefault="00000000" w:rsidRPr="00000000" w14:paraId="00000004">
      <w:pPr>
        <w:rPr>
          <w:color w:val="0000ff"/>
          <w:sz w:val="30"/>
          <w:szCs w:val="30"/>
        </w:rPr>
      </w:pPr>
      <w:r w:rsidDel="00000000" w:rsidR="00000000" w:rsidRPr="00000000">
        <w:rPr>
          <w:rtl w:val="0"/>
        </w:rPr>
      </w:r>
    </w:p>
    <w:p w:rsidR="00000000" w:rsidDel="00000000" w:rsidP="00000000" w:rsidRDefault="00000000" w:rsidRPr="00000000" w14:paraId="00000005">
      <w:pPr>
        <w:spacing w:after="0" w:before="0" w:line="480" w:lineRule="auto"/>
        <w:jc w:val="center"/>
        <w:rPr>
          <w:color w:val="0000ff"/>
          <w:sz w:val="30"/>
          <w:szCs w:val="30"/>
        </w:rPr>
      </w:pPr>
      <w:r w:rsidDel="00000000" w:rsidR="00000000" w:rsidRPr="00000000">
        <w:rPr>
          <w:color w:val="0000ff"/>
          <w:sz w:val="30"/>
          <w:szCs w:val="30"/>
          <w:rtl w:val="0"/>
        </w:rPr>
        <w:t xml:space="preserve">Faculty of Business and Law</w:t>
      </w:r>
    </w:p>
    <w:p w:rsidR="00000000" w:rsidDel="00000000" w:rsidP="00000000" w:rsidRDefault="00000000" w:rsidRPr="00000000" w14:paraId="00000006">
      <w:pPr>
        <w:spacing w:after="0" w:before="0" w:line="480" w:lineRule="auto"/>
        <w:jc w:val="center"/>
        <w:rPr>
          <w:color w:val="0000ff"/>
          <w:sz w:val="30"/>
          <w:szCs w:val="30"/>
        </w:rPr>
      </w:pPr>
      <w:r w:rsidDel="00000000" w:rsidR="00000000" w:rsidRPr="00000000">
        <w:rPr>
          <w:color w:val="0000ff"/>
          <w:sz w:val="30"/>
          <w:szCs w:val="30"/>
          <w:rtl w:val="0"/>
        </w:rPr>
        <w:t xml:space="preserve">Deakin Business School</w:t>
      </w:r>
    </w:p>
    <w:p w:rsidR="00000000" w:rsidDel="00000000" w:rsidP="00000000" w:rsidRDefault="00000000" w:rsidRPr="00000000" w14:paraId="00000007">
      <w:pPr>
        <w:rPr>
          <w:color w:val="0000ff"/>
          <w:sz w:val="30"/>
          <w:szCs w:val="30"/>
        </w:rPr>
      </w:pPr>
      <w:r w:rsidDel="00000000" w:rsidR="00000000" w:rsidRPr="00000000">
        <w:rPr>
          <w:rtl w:val="0"/>
        </w:rPr>
      </w:r>
    </w:p>
    <w:p w:rsidR="00000000" w:rsidDel="00000000" w:rsidP="00000000" w:rsidRDefault="00000000" w:rsidRPr="00000000" w14:paraId="00000008">
      <w:pPr>
        <w:spacing w:after="0" w:before="0" w:line="480" w:lineRule="auto"/>
        <w:jc w:val="center"/>
        <w:rPr>
          <w:b w:val="1"/>
          <w:color w:val="0000ff"/>
          <w:sz w:val="34"/>
          <w:szCs w:val="34"/>
        </w:rPr>
      </w:pPr>
      <w:r w:rsidDel="00000000" w:rsidR="00000000" w:rsidRPr="00000000">
        <w:rPr>
          <w:b w:val="1"/>
          <w:color w:val="0000ff"/>
          <w:sz w:val="34"/>
          <w:szCs w:val="34"/>
          <w:rtl w:val="0"/>
        </w:rPr>
        <w:t xml:space="preserve">MAF900 Assessment 3</w:t>
      </w:r>
    </w:p>
    <w:p w:rsidR="00000000" w:rsidDel="00000000" w:rsidP="00000000" w:rsidRDefault="00000000" w:rsidRPr="00000000" w14:paraId="00000009">
      <w:pPr>
        <w:rPr>
          <w:color w:val="0000ff"/>
          <w:sz w:val="30"/>
          <w:szCs w:val="30"/>
        </w:rPr>
      </w:pPr>
      <w:r w:rsidDel="00000000" w:rsidR="00000000" w:rsidRPr="00000000">
        <w:rPr>
          <w:rtl w:val="0"/>
        </w:rPr>
      </w:r>
    </w:p>
    <w:p w:rsidR="00000000" w:rsidDel="00000000" w:rsidP="00000000" w:rsidRDefault="00000000" w:rsidRPr="00000000" w14:paraId="0000000A">
      <w:pPr>
        <w:spacing w:after="0" w:before="0" w:line="480" w:lineRule="auto"/>
        <w:jc w:val="center"/>
        <w:rPr>
          <w:color w:val="0000ff"/>
          <w:sz w:val="30"/>
          <w:szCs w:val="30"/>
        </w:rPr>
      </w:pPr>
      <w:r w:rsidDel="00000000" w:rsidR="00000000" w:rsidRPr="00000000">
        <w:rPr>
          <w:b w:val="1"/>
          <w:color w:val="0000ff"/>
          <w:sz w:val="30"/>
          <w:szCs w:val="30"/>
          <w:rtl w:val="0"/>
        </w:rPr>
        <w:t xml:space="preserve">Name: </w:t>
      </w:r>
      <w:r w:rsidDel="00000000" w:rsidR="00000000" w:rsidRPr="00000000">
        <w:rPr>
          <w:color w:val="0000ff"/>
          <w:sz w:val="30"/>
          <w:szCs w:val="30"/>
          <w:rtl w:val="0"/>
        </w:rPr>
        <w:t xml:space="preserve">Chenjia Kristina Li, Stephanie Tio</w:t>
      </w:r>
    </w:p>
    <w:p w:rsidR="00000000" w:rsidDel="00000000" w:rsidP="00000000" w:rsidRDefault="00000000" w:rsidRPr="00000000" w14:paraId="0000000B">
      <w:pPr>
        <w:spacing w:after="0" w:before="0" w:line="480" w:lineRule="auto"/>
        <w:jc w:val="center"/>
        <w:rPr>
          <w:color w:val="0000ff"/>
          <w:sz w:val="30"/>
          <w:szCs w:val="30"/>
        </w:rPr>
      </w:pPr>
      <w:r w:rsidDel="00000000" w:rsidR="00000000" w:rsidRPr="00000000">
        <w:rPr>
          <w:b w:val="1"/>
          <w:color w:val="0000ff"/>
          <w:sz w:val="30"/>
          <w:szCs w:val="30"/>
          <w:rtl w:val="0"/>
        </w:rPr>
        <w:t xml:space="preserve">Student ID: </w:t>
      </w:r>
      <w:r w:rsidDel="00000000" w:rsidR="00000000" w:rsidRPr="00000000">
        <w:rPr>
          <w:color w:val="0000ff"/>
          <w:sz w:val="30"/>
          <w:szCs w:val="30"/>
          <w:rtl w:val="0"/>
        </w:rPr>
        <w:t xml:space="preserve">224294027, 223925051</w:t>
      </w:r>
    </w:p>
    <w:p w:rsidR="00000000" w:rsidDel="00000000" w:rsidP="00000000" w:rsidRDefault="00000000" w:rsidRPr="00000000" w14:paraId="0000000C">
      <w:pPr>
        <w:spacing w:after="0" w:before="0" w:line="480" w:lineRule="auto"/>
        <w:jc w:val="center"/>
        <w:rPr>
          <w:color w:val="0000ff"/>
          <w:sz w:val="30"/>
          <w:szCs w:val="30"/>
        </w:rPr>
      </w:pPr>
      <w:r w:rsidDel="00000000" w:rsidR="00000000" w:rsidRPr="00000000">
        <w:rPr>
          <w:b w:val="1"/>
          <w:color w:val="0000ff"/>
          <w:sz w:val="30"/>
          <w:szCs w:val="30"/>
          <w:rtl w:val="0"/>
        </w:rPr>
        <w:t xml:space="preserve">Unit Chair: </w:t>
      </w:r>
      <w:r w:rsidDel="00000000" w:rsidR="00000000" w:rsidRPr="00000000">
        <w:rPr>
          <w:color w:val="0000ff"/>
          <w:sz w:val="30"/>
          <w:szCs w:val="30"/>
          <w:rtl w:val="0"/>
        </w:rPr>
        <w:t xml:space="preserve">Saikat Deb</w:t>
      </w:r>
    </w:p>
    <w:p w:rsidR="00000000" w:rsidDel="00000000" w:rsidP="00000000" w:rsidRDefault="00000000" w:rsidRPr="00000000" w14:paraId="0000000D">
      <w:pPr>
        <w:spacing w:after="0" w:before="0" w:line="480" w:lineRule="auto"/>
        <w:jc w:val="center"/>
        <w:rPr>
          <w:color w:val="0000ff"/>
          <w:sz w:val="30"/>
          <w:szCs w:val="30"/>
        </w:rPr>
      </w:pPr>
      <w:r w:rsidDel="00000000" w:rsidR="00000000" w:rsidRPr="00000000">
        <w:rPr>
          <w:rtl w:val="0"/>
        </w:rPr>
      </w:r>
    </w:p>
    <w:p w:rsidR="00000000" w:rsidDel="00000000" w:rsidP="00000000" w:rsidRDefault="00000000" w:rsidRPr="00000000" w14:paraId="0000000E">
      <w:pPr>
        <w:spacing w:after="0" w:before="0" w:line="480" w:lineRule="auto"/>
        <w:jc w:val="center"/>
        <w:rPr>
          <w:color w:val="0000ff"/>
          <w:sz w:val="30"/>
          <w:szCs w:val="30"/>
        </w:rPr>
      </w:pPr>
      <w:r w:rsidDel="00000000" w:rsidR="00000000" w:rsidRPr="00000000">
        <w:rPr>
          <w:color w:val="0000ff"/>
          <w:sz w:val="30"/>
          <w:szCs w:val="30"/>
          <w:rtl w:val="0"/>
        </w:rPr>
        <w:t xml:space="preserve">20</w:t>
      </w:r>
      <w:r w:rsidDel="00000000" w:rsidR="00000000" w:rsidRPr="00000000">
        <w:rPr>
          <w:color w:val="0000ff"/>
          <w:sz w:val="30"/>
          <w:szCs w:val="30"/>
          <w:vertAlign w:val="superscript"/>
          <w:rtl w:val="0"/>
        </w:rPr>
        <w:t xml:space="preserve">th</w:t>
      </w:r>
      <w:r w:rsidDel="00000000" w:rsidR="00000000" w:rsidRPr="00000000">
        <w:rPr>
          <w:color w:val="0000ff"/>
          <w:sz w:val="30"/>
          <w:szCs w:val="30"/>
          <w:rtl w:val="0"/>
        </w:rPr>
        <w:t xml:space="preserve"> Oct 2024</w:t>
      </w:r>
    </w:p>
    <w:p w:rsidR="00000000" w:rsidDel="00000000" w:rsidP="00000000" w:rsidRDefault="00000000" w:rsidRPr="00000000" w14:paraId="0000000F">
      <w:pPr>
        <w:pStyle w:val="Heading2"/>
        <w:spacing w:line="480" w:lineRule="auto"/>
        <w:rPr>
          <w:color w:val="0000ff"/>
        </w:rPr>
      </w:pPr>
      <w:bookmarkStart w:colFirst="0" w:colLast="0" w:name="_ac6d20ji01ky" w:id="0"/>
      <w:bookmarkEnd w:id="0"/>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spacing w:after="200" w:before="200" w:line="360" w:lineRule="auto"/>
        <w:rPr/>
      </w:pPr>
      <w:bookmarkStart w:colFirst="0" w:colLast="0" w:name="_hav2z4yd9vr7" w:id="1"/>
      <w:bookmarkEnd w:id="1"/>
      <w:r w:rsidDel="00000000" w:rsidR="00000000" w:rsidRPr="00000000">
        <w:rPr>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before="60" w:line="360" w:lineRule="auto"/>
            <w:ind w:left="36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av2z4yd9vr7">
            <w:r w:rsidDel="00000000" w:rsidR="00000000" w:rsidRPr="00000000">
              <w:rPr>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360" w:lineRule="auto"/>
            <w:ind w:left="360" w:firstLine="0"/>
            <w:rPr>
              <w:color w:val="000000"/>
              <w:u w:val="none"/>
            </w:rPr>
          </w:pPr>
          <w:hyperlink w:anchor="_k3a9iybbk5gp">
            <w:r w:rsidDel="00000000" w:rsidR="00000000" w:rsidRPr="00000000">
              <w:rPr>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360" w:lineRule="auto"/>
            <w:rPr>
              <w:color w:val="000000"/>
              <w:u w:val="none"/>
            </w:rPr>
          </w:pPr>
          <w:hyperlink w:anchor="_dr3b1usrgq7d">
            <w:r w:rsidDel="00000000" w:rsidR="00000000" w:rsidRPr="00000000">
              <w:rPr>
                <w:color w:val="000000"/>
                <w:u w:val="none"/>
                <w:rtl w:val="0"/>
              </w:rPr>
              <w:t xml:space="preserve">Results Analyses and Findings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360" w:lineRule="auto"/>
            <w:ind w:left="360" w:firstLine="0"/>
            <w:rPr>
              <w:color w:val="000000"/>
              <w:u w:val="none"/>
            </w:rPr>
          </w:pPr>
          <w:hyperlink w:anchor="_45eytq5jz7d">
            <w:r w:rsidDel="00000000" w:rsidR="00000000" w:rsidRPr="00000000">
              <w:rPr>
                <w:i w:val="0"/>
                <w:smallCaps w:val="0"/>
                <w:strike w:val="0"/>
                <w:color w:val="000000"/>
                <w:sz w:val="22"/>
                <w:szCs w:val="22"/>
                <w:u w:val="none"/>
                <w:shd w:fill="auto" w:val="clear"/>
                <w:vertAlign w:val="baseline"/>
                <w:rtl w:val="0"/>
              </w:rPr>
              <w:t xml:space="preserve">Table 1</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360" w:lineRule="auto"/>
            <w:ind w:left="360" w:firstLine="0"/>
            <w:rPr>
              <w:color w:val="000000"/>
              <w:u w:val="none"/>
            </w:rPr>
          </w:pPr>
          <w:hyperlink w:anchor="_15bzh68652k2">
            <w:r w:rsidDel="00000000" w:rsidR="00000000" w:rsidRPr="00000000">
              <w:rPr>
                <w:i w:val="0"/>
                <w:smallCaps w:val="0"/>
                <w:strike w:val="0"/>
                <w:color w:val="000000"/>
                <w:sz w:val="22"/>
                <w:szCs w:val="22"/>
                <w:u w:val="none"/>
                <w:shd w:fill="auto" w:val="clear"/>
                <w:vertAlign w:val="baseline"/>
                <w:rtl w:val="0"/>
              </w:rPr>
              <w:t xml:space="preserve">Table 2</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360" w:lineRule="auto"/>
            <w:ind w:left="360" w:firstLine="0"/>
            <w:rPr>
              <w:color w:val="000000"/>
              <w:u w:val="none"/>
            </w:rPr>
          </w:pPr>
          <w:hyperlink w:anchor="_bzmqu9n0r8nk">
            <w:r w:rsidDel="00000000" w:rsidR="00000000" w:rsidRPr="00000000">
              <w:rPr>
                <w:i w:val="0"/>
                <w:smallCaps w:val="0"/>
                <w:strike w:val="0"/>
                <w:color w:val="000000"/>
                <w:sz w:val="22"/>
                <w:szCs w:val="22"/>
                <w:u w:val="none"/>
                <w:shd w:fill="auto" w:val="clear"/>
                <w:vertAlign w:val="baseline"/>
                <w:rtl w:val="0"/>
              </w:rPr>
              <w:t xml:space="preserve">Table 3</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360" w:lineRule="auto"/>
            <w:ind w:left="360" w:firstLine="0"/>
            <w:rPr>
              <w:color w:val="000000"/>
              <w:u w:val="none"/>
            </w:rPr>
          </w:pPr>
          <w:hyperlink w:anchor="_ah71iq8vyxtv">
            <w:r w:rsidDel="00000000" w:rsidR="00000000" w:rsidRPr="00000000">
              <w:rPr>
                <w:i w:val="0"/>
                <w:smallCaps w:val="0"/>
                <w:strike w:val="0"/>
                <w:color w:val="000000"/>
                <w:sz w:val="22"/>
                <w:szCs w:val="22"/>
                <w:u w:val="none"/>
                <w:shd w:fill="auto" w:val="clear"/>
                <w:vertAlign w:val="baseline"/>
                <w:rtl w:val="0"/>
              </w:rPr>
              <w:t xml:space="preserve">Table 4</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360" w:lineRule="auto"/>
            <w:ind w:left="360" w:firstLine="0"/>
            <w:rPr>
              <w:color w:val="000000"/>
              <w:u w:val="none"/>
            </w:rPr>
          </w:pPr>
          <w:hyperlink w:anchor="_cjxwbekkomlq">
            <w:r w:rsidDel="00000000" w:rsidR="00000000" w:rsidRPr="00000000">
              <w:rPr>
                <w:i w:val="0"/>
                <w:smallCaps w:val="0"/>
                <w:strike w:val="0"/>
                <w:color w:val="000000"/>
                <w:sz w:val="22"/>
                <w:szCs w:val="22"/>
                <w:u w:val="none"/>
                <w:shd w:fill="auto" w:val="clear"/>
                <w:vertAlign w:val="baseline"/>
                <w:rtl w:val="0"/>
              </w:rPr>
              <w:t xml:space="preserve">Conclusion</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360" w:lineRule="auto"/>
            <w:ind w:left="360" w:firstLine="0"/>
            <w:rPr>
              <w:color w:val="000000"/>
              <w:u w:val="none"/>
            </w:rPr>
          </w:pPr>
          <w:hyperlink w:anchor="_vl5d3225f6j1">
            <w:r w:rsidDel="00000000" w:rsidR="00000000" w:rsidRPr="00000000">
              <w:rPr>
                <w:i w:val="0"/>
                <w:smallCaps w:val="0"/>
                <w:strike w:val="0"/>
                <w:color w:val="000000"/>
                <w:sz w:val="22"/>
                <w:szCs w:val="22"/>
                <w:u w:val="none"/>
                <w:shd w:fill="auto" w:val="clear"/>
                <w:vertAlign w:val="baseline"/>
                <w:rtl w:val="0"/>
              </w:rPr>
              <w:t xml:space="preserve">Appendix A</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360" w:lineRule="auto"/>
            <w:ind w:left="360" w:firstLine="0"/>
            <w:rPr>
              <w:color w:val="000000"/>
              <w:u w:val="none"/>
            </w:rPr>
          </w:pPr>
          <w:hyperlink w:anchor="_jbh5imgsok4h">
            <w:r w:rsidDel="00000000" w:rsidR="00000000" w:rsidRPr="00000000">
              <w:rPr>
                <w:i w:val="0"/>
                <w:smallCaps w:val="0"/>
                <w:strike w:val="0"/>
                <w:color w:val="000000"/>
                <w:sz w:val="22"/>
                <w:szCs w:val="22"/>
                <w:u w:val="none"/>
                <w:shd w:fill="auto" w:val="clear"/>
                <w:vertAlign w:val="baseline"/>
                <w:rtl w:val="0"/>
              </w:rPr>
              <w:t xml:space="preserve">Appendix B</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360" w:lineRule="auto"/>
            <w:ind w:left="360" w:firstLine="0"/>
            <w:rPr>
              <w:color w:val="000000"/>
              <w:u w:val="none"/>
            </w:rPr>
          </w:pPr>
          <w:hyperlink w:anchor="_7xdn7o88v92i">
            <w:r w:rsidDel="00000000" w:rsidR="00000000" w:rsidRPr="00000000">
              <w:rPr>
                <w:i w:val="0"/>
                <w:smallCaps w:val="0"/>
                <w:strike w:val="0"/>
                <w:color w:val="000000"/>
                <w:sz w:val="22"/>
                <w:szCs w:val="22"/>
                <w:u w:val="none"/>
                <w:shd w:fill="auto" w:val="clear"/>
                <w:vertAlign w:val="baseline"/>
                <w:rtl w:val="0"/>
              </w:rPr>
              <w:t xml:space="preserve">Appendix C</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360" w:lineRule="auto"/>
            <w:ind w:left="360" w:firstLine="0"/>
            <w:rPr>
              <w:color w:val="000000"/>
              <w:u w:val="none"/>
            </w:rPr>
          </w:pPr>
          <w:hyperlink w:anchor="_uiwxtpazp2jy">
            <w:r w:rsidDel="00000000" w:rsidR="00000000" w:rsidRPr="00000000">
              <w:rPr>
                <w:i w:val="0"/>
                <w:smallCaps w:val="0"/>
                <w:strike w:val="0"/>
                <w:color w:val="000000"/>
                <w:sz w:val="22"/>
                <w:szCs w:val="22"/>
                <w:u w:val="none"/>
                <w:shd w:fill="auto" w:val="clear"/>
                <w:vertAlign w:val="baseline"/>
                <w:rtl w:val="0"/>
              </w:rPr>
              <w:t xml:space="preserve">Appendix D</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after="200" w:before="200" w:line="360" w:lineRule="auto"/>
        <w:rPr/>
      </w:pPr>
      <w:r w:rsidDel="00000000" w:rsidR="00000000" w:rsidRPr="00000000">
        <w:rPr>
          <w:rtl w:val="0"/>
        </w:rPr>
      </w:r>
    </w:p>
    <w:p w:rsidR="00000000" w:rsidDel="00000000" w:rsidP="00000000" w:rsidRDefault="00000000" w:rsidRPr="00000000" w14:paraId="0000001E">
      <w:pPr>
        <w:pStyle w:val="Heading2"/>
        <w:spacing w:line="480" w:lineRule="auto"/>
        <w:rPr>
          <w:color w:val="0000ff"/>
        </w:rPr>
      </w:pPr>
      <w:bookmarkStart w:colFirst="0" w:colLast="0" w:name="_1i4jvtbwj6r1" w:id="2"/>
      <w:bookmarkEnd w:id="2"/>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spacing w:after="200" w:before="200" w:line="360" w:lineRule="auto"/>
        <w:rPr>
          <w:color w:val="0000ff"/>
        </w:rPr>
      </w:pPr>
      <w:bookmarkStart w:colFirst="0" w:colLast="0" w:name="_k3a9iybbk5gp" w:id="3"/>
      <w:bookmarkEnd w:id="3"/>
      <w:r w:rsidDel="00000000" w:rsidR="00000000" w:rsidRPr="00000000">
        <w:rPr>
          <w:color w:val="0000ff"/>
          <w:rtl w:val="0"/>
        </w:rPr>
        <w:t xml:space="preserve">Introduction</w:t>
      </w:r>
    </w:p>
    <w:p w:rsidR="00000000" w:rsidDel="00000000" w:rsidP="00000000" w:rsidRDefault="00000000" w:rsidRPr="00000000" w14:paraId="00000020">
      <w:pPr>
        <w:spacing w:after="200" w:before="200" w:line="360" w:lineRule="auto"/>
        <w:rPr>
          <w:color w:val="0000ff"/>
        </w:rPr>
      </w:pPr>
      <w:r w:rsidDel="00000000" w:rsidR="00000000" w:rsidRPr="00000000">
        <w:rPr>
          <w:color w:val="0000ff"/>
          <w:rtl w:val="0"/>
        </w:rPr>
        <w:t xml:space="preserve">Based on MAF900 Assignment 3, we elaborate on the replicated results and the differences from the article “</w:t>
      </w:r>
      <w:r w:rsidDel="00000000" w:rsidR="00000000" w:rsidRPr="00000000">
        <w:rPr>
          <w:i w:val="1"/>
          <w:color w:val="0000ff"/>
          <w:rtl w:val="0"/>
        </w:rPr>
        <w:t xml:space="preserve">Risk, Return, and Equilibrium: Empirical Tests</w:t>
      </w:r>
      <w:r w:rsidDel="00000000" w:rsidR="00000000" w:rsidRPr="00000000">
        <w:rPr>
          <w:color w:val="0000ff"/>
          <w:rtl w:val="0"/>
        </w:rPr>
        <w:t xml:space="preserve">” in this report, providing analysis and insights.</w:t>
      </w:r>
    </w:p>
    <w:p w:rsidR="00000000" w:rsidDel="00000000" w:rsidP="00000000" w:rsidRDefault="00000000" w:rsidRPr="00000000" w14:paraId="00000021">
      <w:pPr>
        <w:spacing w:after="200" w:before="200" w:line="360" w:lineRule="auto"/>
        <w:rPr>
          <w:color w:val="0000ff"/>
        </w:rPr>
      </w:pPr>
      <w:r w:rsidDel="00000000" w:rsidR="00000000" w:rsidRPr="00000000">
        <w:rPr>
          <w:rtl w:val="0"/>
        </w:rPr>
      </w:r>
    </w:p>
    <w:p w:rsidR="00000000" w:rsidDel="00000000" w:rsidP="00000000" w:rsidRDefault="00000000" w:rsidRPr="00000000" w14:paraId="00000022">
      <w:pPr>
        <w:pStyle w:val="Heading1"/>
        <w:spacing w:after="200" w:before="200" w:line="360" w:lineRule="auto"/>
        <w:rPr>
          <w:sz w:val="32"/>
          <w:szCs w:val="32"/>
        </w:rPr>
      </w:pPr>
      <w:bookmarkStart w:colFirst="0" w:colLast="0" w:name="_dr3b1usrgq7d" w:id="4"/>
      <w:bookmarkEnd w:id="4"/>
      <w:r w:rsidDel="00000000" w:rsidR="00000000" w:rsidRPr="00000000">
        <w:rPr>
          <w:sz w:val="32"/>
          <w:szCs w:val="32"/>
          <w:rtl w:val="0"/>
        </w:rPr>
        <w:t xml:space="preserve">Results Analyses and Findings</w:t>
      </w:r>
    </w:p>
    <w:p w:rsidR="00000000" w:rsidDel="00000000" w:rsidP="00000000" w:rsidRDefault="00000000" w:rsidRPr="00000000" w14:paraId="00000023">
      <w:pPr>
        <w:pStyle w:val="Heading2"/>
        <w:spacing w:after="200" w:before="200" w:line="360" w:lineRule="auto"/>
        <w:rPr>
          <w:sz w:val="28"/>
          <w:szCs w:val="28"/>
        </w:rPr>
      </w:pPr>
      <w:bookmarkStart w:colFirst="0" w:colLast="0" w:name="_45eytq5jz7d" w:id="5"/>
      <w:bookmarkEnd w:id="5"/>
      <w:r w:rsidDel="00000000" w:rsidR="00000000" w:rsidRPr="00000000">
        <w:rPr>
          <w:sz w:val="28"/>
          <w:szCs w:val="28"/>
          <w:rtl w:val="0"/>
        </w:rPr>
        <w:t xml:space="preserve">Table 1</w:t>
      </w:r>
    </w:p>
    <w:p w:rsidR="00000000" w:rsidDel="00000000" w:rsidP="00000000" w:rsidRDefault="00000000" w:rsidRPr="00000000" w14:paraId="00000024">
      <w:pPr>
        <w:spacing w:after="200" w:before="200" w:line="360" w:lineRule="auto"/>
        <w:rPr>
          <w:color w:val="0000ff"/>
        </w:rPr>
      </w:pPr>
      <w:r w:rsidDel="00000000" w:rsidR="00000000" w:rsidRPr="00000000">
        <w:rPr>
          <w:color w:val="0000ff"/>
          <w:rtl w:val="0"/>
        </w:rPr>
        <w:t xml:space="preserve">Fama and Macbeth used a sample of all common stocks traded on the New York Stock Exchange from January 1926 to June 1968 and defined a total of nine periods. Table 1 shows how the nine periods are constructed, including the portfolio formation period, initial estimation period, and testing period. In addition, the authors include the number of available securities and the number of securities that meet the data requirements. Securities are required to have data available in the first month of the testing period and complete data for the five-year estimation period and at least four years of the formation period.</w:t>
      </w:r>
    </w:p>
    <w:p w:rsidR="00000000" w:rsidDel="00000000" w:rsidP="00000000" w:rsidRDefault="00000000" w:rsidRPr="00000000" w14:paraId="00000025">
      <w:pPr>
        <w:spacing w:after="200" w:before="200" w:line="360" w:lineRule="auto"/>
        <w:rPr>
          <w:color w:val="0000ff"/>
        </w:rPr>
      </w:pPr>
      <w:r w:rsidDel="00000000" w:rsidR="00000000" w:rsidRPr="00000000">
        <w:rPr>
          <w:rtl w:val="0"/>
        </w:rPr>
      </w:r>
    </w:p>
    <w:p w:rsidR="00000000" w:rsidDel="00000000" w:rsidP="00000000" w:rsidRDefault="00000000" w:rsidRPr="00000000" w14:paraId="00000026">
      <w:pPr>
        <w:spacing w:after="200" w:before="200" w:line="360" w:lineRule="auto"/>
        <w:rPr>
          <w:color w:val="0000ff"/>
        </w:rPr>
      </w:pPr>
      <w:r w:rsidDel="00000000" w:rsidR="00000000" w:rsidRPr="00000000">
        <w:rPr>
          <w:color w:val="0000ff"/>
          <w:rtl w:val="0"/>
        </w:rPr>
        <w:t xml:space="preserve">Following the requirement of Fama and Macbeth's paper, we calculate the number of securities and create Table 1. We extend the sample period to December 2022, which helps us use more data to test the model. The selection of the three periods is consistent with the article. From period 1 to period 7, we get a similar number of securities available. For period 8 and period 9, the number of securities we can obtain is greater (Fama and Macbeth: 1,162 in period 8; 1,261 in period 9. Kristina and Stephanie: 1,351 in period 8; 1,480 in period 9). This may be due to an update of the data in the CRSP. However, the number of securities meeting data requirements has some discrepancies. On average, Fama and Macbeth get more data than us. Especially in period 1, we only have 277 securities meeting their rules compared to 435 securities of the paper. Interestingly, the results of period 6 we constructed are almost consistent with those in the article. This may indicate that our method is accurate to some extent. The reason for the discrepancies probably is due to the use of different computer programs. </w:t>
      </w:r>
    </w:p>
    <w:p w:rsidR="00000000" w:rsidDel="00000000" w:rsidP="00000000" w:rsidRDefault="00000000" w:rsidRPr="00000000" w14:paraId="00000027">
      <w:pPr>
        <w:spacing w:after="200" w:before="200" w:line="360" w:lineRule="auto"/>
        <w:rPr>
          <w:color w:val="0000ff"/>
        </w:rPr>
      </w:pPr>
      <w:r w:rsidDel="00000000" w:rsidR="00000000" w:rsidRPr="00000000">
        <w:rPr>
          <w:rtl w:val="0"/>
        </w:rPr>
      </w:r>
    </w:p>
    <w:p w:rsidR="00000000" w:rsidDel="00000000" w:rsidP="00000000" w:rsidRDefault="00000000" w:rsidRPr="00000000" w14:paraId="00000028">
      <w:pPr>
        <w:spacing w:after="200" w:before="200" w:line="360" w:lineRule="auto"/>
        <w:rPr>
          <w:color w:val="0000ff"/>
        </w:rPr>
      </w:pPr>
      <w:r w:rsidDel="00000000" w:rsidR="00000000" w:rsidRPr="00000000">
        <w:rPr>
          <w:color w:val="0000ff"/>
          <w:rtl w:val="0"/>
        </w:rPr>
        <w:t xml:space="preserve">Moreover, we have a total of 22 periods. The number of available securities has remained above 2,000 since 1963, and the number of securities that meet the requirements also exceeds 1,000. This is consistent with the trading situation in the securities market.</w:t>
      </w:r>
    </w:p>
    <w:p w:rsidR="00000000" w:rsidDel="00000000" w:rsidP="00000000" w:rsidRDefault="00000000" w:rsidRPr="00000000" w14:paraId="00000029">
      <w:pPr>
        <w:spacing w:after="200" w:before="200" w:line="360" w:lineRule="auto"/>
        <w:rPr>
          <w:color w:val="0000ff"/>
        </w:rPr>
      </w:pPr>
      <w:r w:rsidDel="00000000" w:rsidR="00000000" w:rsidRPr="00000000">
        <w:rPr>
          <w:rtl w:val="0"/>
        </w:rPr>
      </w:r>
    </w:p>
    <w:p w:rsidR="00000000" w:rsidDel="00000000" w:rsidP="00000000" w:rsidRDefault="00000000" w:rsidRPr="00000000" w14:paraId="0000002A">
      <w:pPr>
        <w:pStyle w:val="Heading2"/>
        <w:spacing w:after="200" w:before="200" w:line="360" w:lineRule="auto"/>
        <w:rPr>
          <w:sz w:val="28"/>
          <w:szCs w:val="28"/>
        </w:rPr>
      </w:pPr>
      <w:bookmarkStart w:colFirst="0" w:colLast="0" w:name="_15bzh68652k2" w:id="6"/>
      <w:bookmarkEnd w:id="6"/>
      <w:r w:rsidDel="00000000" w:rsidR="00000000" w:rsidRPr="00000000">
        <w:rPr>
          <w:sz w:val="28"/>
          <w:szCs w:val="28"/>
          <w:rtl w:val="0"/>
        </w:rPr>
        <w:t xml:space="preserve">Table 2 </w:t>
      </w:r>
    </w:p>
    <w:p w:rsidR="00000000" w:rsidDel="00000000" w:rsidP="00000000" w:rsidRDefault="00000000" w:rsidRPr="00000000" w14:paraId="0000002B">
      <w:pPr>
        <w:spacing w:after="200" w:before="200" w:line="360" w:lineRule="auto"/>
        <w:rPr/>
      </w:pPr>
      <w:r w:rsidDel="00000000" w:rsidR="00000000" w:rsidRPr="00000000">
        <w:rPr>
          <w:rtl w:val="0"/>
        </w:rPr>
        <w:t xml:space="preserve">The objective of Table 2 is to present the key statistics of the portfolios formed by ranking stocks based on their beta estimates from prior periods, showing how portfolio risk is related to returns and how will betas explain this relationship. </w:t>
      </w:r>
    </w:p>
    <w:p w:rsidR="00000000" w:rsidDel="00000000" w:rsidP="00000000" w:rsidRDefault="00000000" w:rsidRPr="00000000" w14:paraId="0000002C">
      <w:pPr>
        <w:spacing w:after="200" w:before="200" w:line="360" w:lineRule="auto"/>
        <w:rPr/>
      </w:pPr>
      <w:r w:rsidDel="00000000" w:rsidR="00000000" w:rsidRPr="00000000">
        <w:rPr>
          <w:rtl w:val="0"/>
        </w:rPr>
      </w:r>
    </w:p>
    <w:p w:rsidR="00000000" w:rsidDel="00000000" w:rsidP="00000000" w:rsidRDefault="00000000" w:rsidRPr="00000000" w14:paraId="0000002D">
      <w:pPr>
        <w:spacing w:after="200" w:before="200" w:line="360" w:lineRule="auto"/>
        <w:rPr/>
      </w:pPr>
      <w:r w:rsidDel="00000000" w:rsidR="00000000" w:rsidRPr="00000000">
        <w:rPr>
          <w:rtl w:val="0"/>
        </w:rPr>
        <w:t xml:space="preserve">We follow the same approach outlined in their paper, using CRSP monthly stock return data by calculating betas using regression of individual stock returns against the market return (Fisher Index). Securities are then ranked by their betas and allocated into 20 portfolios of approximately equal size. </w:t>
      </w:r>
      <w:r w:rsidDel="00000000" w:rsidR="00000000" w:rsidRPr="00000000">
        <w:rPr>
          <w:color w:val="0000ff"/>
          <w:rtl w:val="0"/>
        </w:rPr>
        <w:t xml:space="preserve">We recalculate statistics such as beta, standard deviation, and residual for each portfolio over the second period (initial estimation period, updated annually).</w:t>
      </w:r>
      <w:r w:rsidDel="00000000" w:rsidR="00000000" w:rsidRPr="00000000">
        <w:rPr>
          <w:rtl w:val="0"/>
        </w:rPr>
        <w:t xml:space="preserve"> Portfolio returns are regressed against market returns during the testing period to generate the final statistics (R-squared, and standard deviation of residuals) replicating the methodology in the paper.</w:t>
      </w:r>
    </w:p>
    <w:p w:rsidR="00000000" w:rsidDel="00000000" w:rsidP="00000000" w:rsidRDefault="00000000" w:rsidRPr="00000000" w14:paraId="0000002E">
      <w:pPr>
        <w:spacing w:after="200" w:before="200" w:line="360" w:lineRule="auto"/>
        <w:rPr/>
      </w:pPr>
      <w:r w:rsidDel="00000000" w:rsidR="00000000" w:rsidRPr="00000000">
        <w:rPr>
          <w:rtl w:val="0"/>
        </w:rPr>
      </w:r>
    </w:p>
    <w:p w:rsidR="00000000" w:rsidDel="00000000" w:rsidP="00000000" w:rsidRDefault="00000000" w:rsidRPr="00000000" w14:paraId="0000002F">
      <w:pPr>
        <w:spacing w:after="200" w:before="200" w:line="360" w:lineRule="auto"/>
        <w:rPr/>
      </w:pPr>
      <w:r w:rsidDel="00000000" w:rsidR="00000000" w:rsidRPr="00000000">
        <w:rPr>
          <w:color w:val="0000ff"/>
          <w:rtl w:val="0"/>
        </w:rPr>
        <w:t xml:space="preserve">According to our results, the values of betas ​​we obtain are slightly different from those in the article due to </w:t>
      </w:r>
      <w:r w:rsidDel="00000000" w:rsidR="00000000" w:rsidRPr="00000000">
        <w:rPr>
          <w:rtl w:val="0"/>
        </w:rPr>
        <w:t xml:space="preserve">the extended dataset, which includes more recent market data</w:t>
      </w:r>
      <w:r w:rsidDel="00000000" w:rsidR="00000000" w:rsidRPr="00000000">
        <w:rPr>
          <w:color w:val="0000ff"/>
          <w:rtl w:val="0"/>
        </w:rPr>
        <w:t xml:space="preserve">. Some trends </w:t>
      </w:r>
      <w:r w:rsidDel="00000000" w:rsidR="00000000" w:rsidRPr="00000000">
        <w:rPr>
          <w:rtl w:val="0"/>
        </w:rPr>
        <w:t xml:space="preserve">are consistent with the original results. Beta values increase from Portfolio 1 to 20 in our results and Fama’s paper shows the risk-return relationship. The </w:t>
      </w:r>
      <w:commentRangeStart w:id="0"/>
      <w:r w:rsidDel="00000000" w:rsidR="00000000" w:rsidRPr="00000000">
        <w:rPr>
          <w:rtl w:val="0"/>
        </w:rPr>
        <w:t xml:space="preserve">standard errors of betas (s(Beta_p,t-1))</w:t>
      </w:r>
      <w:commentRangeEnd w:id="0"/>
      <w:r w:rsidDel="00000000" w:rsidR="00000000" w:rsidRPr="00000000">
        <w:commentReference w:id="0"/>
      </w:r>
      <w:r w:rsidDel="00000000" w:rsidR="00000000" w:rsidRPr="00000000">
        <w:rPr>
          <w:rtl w:val="0"/>
        </w:rPr>
        <w:t xml:space="preserve"> and R-squared values (r(Rp, Rm)^2) are similar with a slight increase in the replication, showing higher market volatility in modern times. The standard deviation of portfolio return (s(Rp)) in the replicated table is marginally higher, due to the inclusions of recent periods marked by significant market fluctuations (such as the 2008 financial crisis). </w:t>
      </w:r>
    </w:p>
    <w:p w:rsidR="00000000" w:rsidDel="00000000" w:rsidP="00000000" w:rsidRDefault="00000000" w:rsidRPr="00000000" w14:paraId="00000030">
      <w:pPr>
        <w:spacing w:after="200" w:before="200" w:line="360" w:lineRule="auto"/>
        <w:rPr/>
      </w:pPr>
      <w:r w:rsidDel="00000000" w:rsidR="00000000" w:rsidRPr="00000000">
        <w:rPr>
          <w:rtl w:val="0"/>
        </w:rPr>
        <w:t xml:space="preserve"> </w:t>
      </w:r>
    </w:p>
    <w:p w:rsidR="00000000" w:rsidDel="00000000" w:rsidP="00000000" w:rsidRDefault="00000000" w:rsidRPr="00000000" w14:paraId="00000031">
      <w:pPr>
        <w:pStyle w:val="Heading2"/>
        <w:spacing w:after="200" w:before="200" w:line="360" w:lineRule="auto"/>
        <w:rPr>
          <w:sz w:val="28"/>
          <w:szCs w:val="28"/>
        </w:rPr>
      </w:pPr>
      <w:bookmarkStart w:colFirst="0" w:colLast="0" w:name="_bzmqu9n0r8nk" w:id="7"/>
      <w:bookmarkEnd w:id="7"/>
      <w:r w:rsidDel="00000000" w:rsidR="00000000" w:rsidRPr="00000000">
        <w:rPr>
          <w:sz w:val="28"/>
          <w:szCs w:val="28"/>
          <w:rtl w:val="0"/>
        </w:rPr>
        <w:t xml:space="preserve">Table 3 </w:t>
      </w:r>
    </w:p>
    <w:p w:rsidR="00000000" w:rsidDel="00000000" w:rsidP="00000000" w:rsidRDefault="00000000" w:rsidRPr="00000000" w14:paraId="00000032">
      <w:pPr>
        <w:spacing w:after="200" w:before="200" w:line="360" w:lineRule="auto"/>
        <w:rPr/>
      </w:pPr>
      <w:r w:rsidDel="00000000" w:rsidR="00000000" w:rsidRPr="00000000">
        <w:rPr>
          <w:rtl w:val="0"/>
        </w:rPr>
        <w:t xml:space="preserve">Table 3 estimates the relationship between portfolio returns and systematic risk through cross-sectional regressions, reports the coefficients from the regressions of portfolio returns on beta.</w:t>
      </w:r>
    </w:p>
    <w:p w:rsidR="00000000" w:rsidDel="00000000" w:rsidP="00000000" w:rsidRDefault="00000000" w:rsidRPr="00000000" w14:paraId="00000033">
      <w:pPr>
        <w:spacing w:after="200" w:before="200" w:line="360" w:lineRule="auto"/>
        <w:rPr/>
      </w:pPr>
      <w:r w:rsidDel="00000000" w:rsidR="00000000" w:rsidRPr="00000000">
        <w:rPr>
          <w:rtl w:val="0"/>
        </w:rPr>
        <w:t xml:space="preserve">We conducted cross-sectional regressions for each period, with portfolio returns as the dependent variable and portfolio betas as the independent variable. The gamma coefficients (γ0, γ1, etc.) represent the intercept, risk premium, and potential other risk factors. We used a stepwise approach across multiple periods to capture the time-varying nature of these relationships. For each period, we calculated the t-statistics and R-squared values to assess the goodness of fit, aligned with the original paper.</w:t>
      </w:r>
    </w:p>
    <w:p w:rsidR="00000000" w:rsidDel="00000000" w:rsidP="00000000" w:rsidRDefault="00000000" w:rsidRPr="00000000" w14:paraId="00000034">
      <w:pPr>
        <w:spacing w:after="200" w:before="200" w:line="360" w:lineRule="auto"/>
        <w:rPr/>
      </w:pPr>
      <w:r w:rsidDel="00000000" w:rsidR="00000000" w:rsidRPr="00000000">
        <w:rPr>
          <w:rtl w:val="0"/>
        </w:rPr>
        <w:t xml:space="preserve">Comparing findings, we find that both show consistent trends, with some differences due to the extended dataset. The gamma coefficients (γ0 and γ1) follow a similar pattern, showing the positive risk-return relationship, our γ1 values (risk premium) are slightly lower in some periods, indicating modern market dynamics. T-statistics for γ1 in our replication are generally significant and slightly lower than in the original paper, which means more uncertainty in the recent data. R-squared values are comparable, showing that beta explains a substantial portion of return variation in both studies. The standard errors of the coefficients in our replication are slightly higher, showing increased market volatility in recent decades.</w:t>
      </w:r>
    </w:p>
    <w:p w:rsidR="00000000" w:rsidDel="00000000" w:rsidP="00000000" w:rsidRDefault="00000000" w:rsidRPr="00000000" w14:paraId="00000035">
      <w:pPr>
        <w:spacing w:after="200" w:before="200" w:line="360" w:lineRule="auto"/>
        <w:rPr/>
      </w:pPr>
      <w:r w:rsidDel="00000000" w:rsidR="00000000" w:rsidRPr="00000000">
        <w:rPr>
          <w:rtl w:val="0"/>
        </w:rPr>
      </w:r>
    </w:p>
    <w:p w:rsidR="00000000" w:rsidDel="00000000" w:rsidP="00000000" w:rsidRDefault="00000000" w:rsidRPr="00000000" w14:paraId="00000036">
      <w:pPr>
        <w:pStyle w:val="Heading2"/>
        <w:spacing w:after="200" w:before="200" w:line="360" w:lineRule="auto"/>
        <w:rPr>
          <w:sz w:val="28"/>
          <w:szCs w:val="28"/>
        </w:rPr>
      </w:pPr>
      <w:bookmarkStart w:colFirst="0" w:colLast="0" w:name="_ah71iq8vyxtv" w:id="8"/>
      <w:bookmarkEnd w:id="8"/>
      <w:r w:rsidDel="00000000" w:rsidR="00000000" w:rsidRPr="00000000">
        <w:rPr>
          <w:sz w:val="28"/>
          <w:szCs w:val="28"/>
          <w:rtl w:val="0"/>
        </w:rPr>
        <w:t xml:space="preserve">Table 4 </w:t>
      </w:r>
    </w:p>
    <w:p w:rsidR="00000000" w:rsidDel="00000000" w:rsidP="00000000" w:rsidRDefault="00000000" w:rsidRPr="00000000" w14:paraId="00000037">
      <w:pPr>
        <w:spacing w:after="200" w:before="200" w:line="360" w:lineRule="auto"/>
        <w:rPr/>
      </w:pPr>
      <w:r w:rsidDel="00000000" w:rsidR="00000000" w:rsidRPr="00000000">
        <w:rPr>
          <w:rtl w:val="0"/>
        </w:rPr>
        <w:t xml:space="preserve">Table 4 analyses the behaviour of the market and evaluates the risk-return tradeoff over different periods, compares the average market returns, the risk-free rate, and various coefficients related to portfolio returns, showing the dynamics of returns and risk premia over different markets. </w:t>
      </w:r>
    </w:p>
    <w:p w:rsidR="00000000" w:rsidDel="00000000" w:rsidP="00000000" w:rsidRDefault="00000000" w:rsidRPr="00000000" w14:paraId="00000038">
      <w:pPr>
        <w:spacing w:after="200" w:before="200" w:line="360" w:lineRule="auto"/>
        <w:rPr/>
      </w:pPr>
      <w:r w:rsidDel="00000000" w:rsidR="00000000" w:rsidRPr="00000000">
        <w:rPr>
          <w:rtl w:val="0"/>
        </w:rPr>
        <w:t xml:space="preserve">Similar to the paper, we used cross-sectional regression for each period, estimating key coefficients (</w:t>
      </w:r>
      <w:r w:rsidDel="00000000" w:rsidR="00000000" w:rsidRPr="00000000">
        <w:rPr>
          <w:i w:val="1"/>
          <w:rtl w:val="0"/>
        </w:rPr>
        <w:t xml:space="preserve">intercept (γ0), risk premium (γ1), portfolio betas</w:t>
      </w:r>
      <w:r w:rsidDel="00000000" w:rsidR="00000000" w:rsidRPr="00000000">
        <w:rPr>
          <w:rtl w:val="0"/>
        </w:rPr>
        <w:t xml:space="preserve">), computed monthly and averaged over the different periods, capturing the relationship between returns and risk.</w:t>
      </w:r>
    </w:p>
    <w:p w:rsidR="00000000" w:rsidDel="00000000" w:rsidP="00000000" w:rsidRDefault="00000000" w:rsidRPr="00000000" w14:paraId="00000039">
      <w:pPr>
        <w:spacing w:after="200" w:before="200" w:line="360" w:lineRule="auto"/>
        <w:rPr/>
      </w:pPr>
      <w:r w:rsidDel="00000000" w:rsidR="00000000" w:rsidRPr="00000000">
        <w:rPr>
          <w:rtl w:val="0"/>
        </w:rPr>
        <w:t xml:space="preserve">Our approach replicates the process of estimating monthly risk premia and market returns for each portfolio over time. The methodology of calculating and updating portfolio betas, performing regressions for each period, summarising key coefficients is directly aligned with the paper’s methodology. </w:t>
      </w:r>
    </w:p>
    <w:p w:rsidR="00000000" w:rsidDel="00000000" w:rsidP="00000000" w:rsidRDefault="00000000" w:rsidRPr="00000000" w14:paraId="0000003A">
      <w:pPr>
        <w:spacing w:after="200" w:before="200" w:line="360" w:lineRule="auto"/>
        <w:rPr/>
      </w:pPr>
      <w:r w:rsidDel="00000000" w:rsidR="00000000" w:rsidRPr="00000000">
        <w:rPr>
          <w:rtl w:val="0"/>
        </w:rPr>
        <w:t xml:space="preserve">(Value and Result Analysis) </w:t>
      </w:r>
    </w:p>
    <w:p w:rsidR="00000000" w:rsidDel="00000000" w:rsidP="00000000" w:rsidRDefault="00000000" w:rsidRPr="00000000" w14:paraId="0000003B">
      <w:pPr>
        <w:spacing w:after="200" w:before="200" w:line="360" w:lineRule="auto"/>
        <w:rPr/>
      </w:pPr>
      <w:r w:rsidDel="00000000" w:rsidR="00000000" w:rsidRPr="00000000">
        <w:rPr>
          <w:rtl w:val="0"/>
        </w:rPr>
        <w:t xml:space="preserve">In Fama’s paper, market return was notably high in 1935-1945, reflecting recovery from the Great Depression. In our replication, market return follows the same general trend, during financial crises and pandemics, market returns are significantly lower, showing market downturns. In a stable period, the returns align more closely with those seen in Fama’s study. </w:t>
      </w:r>
    </w:p>
    <w:p w:rsidR="00000000" w:rsidDel="00000000" w:rsidP="00000000" w:rsidRDefault="00000000" w:rsidRPr="00000000" w14:paraId="0000003C">
      <w:pPr>
        <w:spacing w:after="200" w:before="200" w:line="360" w:lineRule="auto"/>
        <w:rPr/>
      </w:pPr>
      <w:r w:rsidDel="00000000" w:rsidR="00000000" w:rsidRPr="00000000">
        <w:rPr>
          <w:rtl w:val="0"/>
        </w:rPr>
        <w:t xml:space="preserve">The risk-free rate in Fama and MacBeth’s study was relatively stable, especially during the earlier periods (1930–1960), where it remained low due to more controlled economic policies post-Depression. </w:t>
      </w:r>
    </w:p>
    <w:p w:rsidR="00000000" w:rsidDel="00000000" w:rsidP="00000000" w:rsidRDefault="00000000" w:rsidRPr="00000000" w14:paraId="0000003D">
      <w:pPr>
        <w:spacing w:after="200" w:before="200" w:line="360" w:lineRule="auto"/>
        <w:rPr/>
      </w:pPr>
      <w:r w:rsidDel="00000000" w:rsidR="00000000" w:rsidRPr="00000000">
        <w:rPr>
          <w:rtl w:val="0"/>
        </w:rPr>
        <w:t xml:space="preserve">In our replication, after 2000, risk-free rate declined further, particularly post-2008 when central banks implemented policies (e.g. quantitative easing and near-zero interest rates). These differences between the original study and the replication reflect the significant policy changes in recent decades, which were not part of the historical periods in Fama and MacBeth's original analysis.</w:t>
      </w:r>
    </w:p>
    <w:p w:rsidR="00000000" w:rsidDel="00000000" w:rsidP="00000000" w:rsidRDefault="00000000" w:rsidRPr="00000000" w14:paraId="0000003E">
      <w:pPr>
        <w:spacing w:after="200" w:before="200" w:line="360" w:lineRule="auto"/>
        <w:rPr/>
      </w:pPr>
      <w:r w:rsidDel="00000000" w:rsidR="00000000" w:rsidRPr="00000000">
        <w:rPr>
          <w:rtl w:val="0"/>
        </w:rPr>
      </w:r>
    </w:p>
    <w:p w:rsidR="00000000" w:rsidDel="00000000" w:rsidP="00000000" w:rsidRDefault="00000000" w:rsidRPr="00000000" w14:paraId="0000003F">
      <w:pPr>
        <w:spacing w:after="200" w:before="200" w:line="360" w:lineRule="auto"/>
        <w:rPr/>
      </w:pPr>
      <w:r w:rsidDel="00000000" w:rsidR="00000000" w:rsidRPr="00000000">
        <w:rPr>
          <w:rtl w:val="0"/>
        </w:rPr>
        <w:t xml:space="preserve">The risk premia in the original paper tended to be higher during earlier periods, with values showing that higher risk was compensated with greater returns in volatile, post-recovery markets.</w:t>
      </w:r>
    </w:p>
    <w:p w:rsidR="00000000" w:rsidDel="00000000" w:rsidP="00000000" w:rsidRDefault="00000000" w:rsidRPr="00000000" w14:paraId="00000040">
      <w:pPr>
        <w:spacing w:after="200" w:before="200" w:line="360" w:lineRule="auto"/>
        <w:rPr/>
      </w:pPr>
      <w:r w:rsidDel="00000000" w:rsidR="00000000" w:rsidRPr="00000000">
        <w:rPr>
          <w:rtl w:val="0"/>
        </w:rPr>
        <w:t xml:space="preserve">Similarly in our replication, risk premia show a similar pattern, with higher premia in periods of market recovery (e.g. post-2000 dot-com bubble recovery). </w:t>
      </w:r>
    </w:p>
    <w:p w:rsidR="00000000" w:rsidDel="00000000" w:rsidP="00000000" w:rsidRDefault="00000000" w:rsidRPr="00000000" w14:paraId="00000041">
      <w:pPr>
        <w:spacing w:after="200" w:before="200" w:line="360" w:lineRule="auto"/>
        <w:rPr/>
      </w:pPr>
      <w:r w:rsidDel="00000000" w:rsidR="00000000" w:rsidRPr="00000000">
        <w:rPr>
          <w:rtl w:val="0"/>
        </w:rPr>
        <w:t xml:space="preserve">However, during periods like 2008–2010 and 2020, the risk premia are lower, reflecting increased market uncertainty and flight to safer assets during crises. This lower risk premium in recent decades highlights the greater volatility and more risk-averse behaviour in modern markets compared to the historical data in Fama and MacBeth’s study.</w:t>
      </w:r>
    </w:p>
    <w:p w:rsidR="00000000" w:rsidDel="00000000" w:rsidP="00000000" w:rsidRDefault="00000000" w:rsidRPr="00000000" w14:paraId="00000042">
      <w:pPr>
        <w:spacing w:after="200" w:before="200" w:line="360" w:lineRule="auto"/>
        <w:rPr/>
      </w:pPr>
      <w:r w:rsidDel="00000000" w:rsidR="00000000" w:rsidRPr="00000000">
        <w:rPr>
          <w:rtl w:val="0"/>
        </w:rPr>
      </w:r>
    </w:p>
    <w:p w:rsidR="00000000" w:rsidDel="00000000" w:rsidP="00000000" w:rsidRDefault="00000000" w:rsidRPr="00000000" w14:paraId="00000043">
      <w:pPr>
        <w:spacing w:after="200" w:before="200" w:line="360" w:lineRule="auto"/>
        <w:rPr/>
      </w:pPr>
      <w:r w:rsidDel="00000000" w:rsidR="00000000" w:rsidRPr="00000000">
        <w:rPr>
          <w:rtl w:val="0"/>
        </w:rPr>
        <w:t xml:space="preserve">In Fama’s analysis, the standard deviations of returns were moderate, with periods of volatility during market downturns (e.g. 1930s).</w:t>
      </w:r>
    </w:p>
    <w:p w:rsidR="00000000" w:rsidDel="00000000" w:rsidP="00000000" w:rsidRDefault="00000000" w:rsidRPr="00000000" w14:paraId="00000044">
      <w:pPr>
        <w:spacing w:after="200" w:before="200" w:line="360" w:lineRule="auto"/>
        <w:rPr/>
      </w:pPr>
      <w:r w:rsidDel="00000000" w:rsidR="00000000" w:rsidRPr="00000000">
        <w:rPr>
          <w:rtl w:val="0"/>
        </w:rPr>
        <w:t xml:space="preserve">Standard deviations in our replication are generally higher in recent decades. Periods around 2008 and 2020 show volatility compared to the more stable post-war periods reflected in the paper. This higher volatility in modern data introduces more noise and uncertainty into the relationship between risk and return, seen in the wider range of values for market returns and risk premia.</w:t>
      </w:r>
    </w:p>
    <w:p w:rsidR="00000000" w:rsidDel="00000000" w:rsidP="00000000" w:rsidRDefault="00000000" w:rsidRPr="00000000" w14:paraId="00000045">
      <w:pPr>
        <w:spacing w:after="200" w:before="200" w:line="360" w:lineRule="auto"/>
        <w:rPr/>
      </w:pPr>
      <w:r w:rsidDel="00000000" w:rsidR="00000000" w:rsidRPr="00000000">
        <w:rPr>
          <w:rtl w:val="0"/>
        </w:rPr>
      </w:r>
    </w:p>
    <w:p w:rsidR="00000000" w:rsidDel="00000000" w:rsidP="00000000" w:rsidRDefault="00000000" w:rsidRPr="00000000" w14:paraId="00000046">
      <w:pPr>
        <w:spacing w:after="200" w:before="200" w:line="360" w:lineRule="auto"/>
        <w:rPr/>
      </w:pPr>
      <w:r w:rsidDel="00000000" w:rsidR="00000000" w:rsidRPr="00000000">
        <w:rPr>
          <w:rtl w:val="0"/>
        </w:rPr>
      </w:r>
    </w:p>
    <w:p w:rsidR="00000000" w:rsidDel="00000000" w:rsidP="00000000" w:rsidRDefault="00000000" w:rsidRPr="00000000" w14:paraId="00000047">
      <w:pPr>
        <w:pStyle w:val="Heading2"/>
        <w:spacing w:after="200" w:before="200" w:line="360" w:lineRule="auto"/>
        <w:rPr>
          <w:color w:val="0000ff"/>
        </w:rPr>
      </w:pPr>
      <w:bookmarkStart w:colFirst="0" w:colLast="0" w:name="_cjxwbekkomlq" w:id="9"/>
      <w:bookmarkEnd w:id="9"/>
      <w:r w:rsidDel="00000000" w:rsidR="00000000" w:rsidRPr="00000000">
        <w:rPr>
          <w:color w:val="0000ff"/>
          <w:rtl w:val="0"/>
        </w:rPr>
        <w:t xml:space="preserve">Conclusion</w:t>
      </w:r>
    </w:p>
    <w:p w:rsidR="00000000" w:rsidDel="00000000" w:rsidP="00000000" w:rsidRDefault="00000000" w:rsidRPr="00000000" w14:paraId="00000048">
      <w:pPr>
        <w:spacing w:after="200" w:before="200" w:line="360" w:lineRule="auto"/>
        <w:rPr/>
      </w:pPr>
      <w:r w:rsidDel="00000000" w:rsidR="00000000" w:rsidRPr="00000000">
        <w:rPr>
          <w:rtl w:val="0"/>
        </w:rPr>
        <w:t xml:space="preserve">In conclusion, we replicated the tables from Fama’s paper using an extended dataset up to 2022, closely following their methodology for portfolio formation, beta estimation, and cross-sectional regression. Our findings confirm the core relationships identified in Fama’s paper, such as the positive relationship between risk and return and the significance of beta in explaining portfolio returns. </w:t>
      </w:r>
    </w:p>
    <w:p w:rsidR="00000000" w:rsidDel="00000000" w:rsidP="00000000" w:rsidRDefault="00000000" w:rsidRPr="00000000" w14:paraId="00000049">
      <w:pPr>
        <w:spacing w:after="200" w:before="200" w:line="360" w:lineRule="auto"/>
        <w:rPr/>
      </w:pPr>
      <w:r w:rsidDel="00000000" w:rsidR="00000000" w:rsidRPr="00000000">
        <w:rPr>
          <w:rtl w:val="0"/>
        </w:rPr>
        <w:t xml:space="preserve">The differences in the results, particularly higher market volatility, lower risk premia, and declining risk-free rates in recent periods, reflect the impact of modern financial situations and policy changes. </w:t>
      </w:r>
    </w:p>
    <w:p w:rsidR="00000000" w:rsidDel="00000000" w:rsidP="00000000" w:rsidRDefault="00000000" w:rsidRPr="00000000" w14:paraId="0000004A">
      <w:pPr>
        <w:spacing w:after="200" w:before="200" w:line="360" w:lineRule="auto"/>
        <w:rPr/>
      </w:pPr>
      <w:r w:rsidDel="00000000" w:rsidR="00000000" w:rsidRPr="00000000">
        <w:rPr>
          <w:rtl w:val="0"/>
        </w:rPr>
        <w:t xml:space="preserve">These variations highlight the evolving market dynamics while affirming Fama’s approach remains relevant, understanding risk-return relationships for various periods. </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spacing w:after="200" w:before="200" w:line="360" w:lineRule="auto"/>
        <w:rPr/>
      </w:pPr>
      <w:bookmarkStart w:colFirst="0" w:colLast="0" w:name="_vl5d3225f6j1" w:id="10"/>
      <w:bookmarkEnd w:id="10"/>
      <w:r w:rsidDel="00000000" w:rsidR="00000000" w:rsidRPr="00000000">
        <w:rPr>
          <w:rtl w:val="0"/>
        </w:rPr>
        <w:t xml:space="preserve">Appendix A</w:t>
      </w:r>
    </w:p>
    <w:p w:rsidR="00000000" w:rsidDel="00000000" w:rsidP="00000000" w:rsidRDefault="00000000" w:rsidRPr="00000000" w14:paraId="0000004C">
      <w:pPr>
        <w:rPr/>
      </w:pPr>
      <w:r w:rsidDel="00000000" w:rsidR="00000000" w:rsidRPr="00000000">
        <w:rPr/>
        <w:drawing>
          <wp:inline distB="114300" distT="114300" distL="114300" distR="114300">
            <wp:extent cx="5731200" cy="673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Figure 1. Overview results of Table 1</w:t>
      </w:r>
    </w:p>
    <w:p w:rsidR="00000000" w:rsidDel="00000000" w:rsidP="00000000" w:rsidRDefault="00000000" w:rsidRPr="00000000" w14:paraId="0000004E">
      <w:pPr>
        <w:pStyle w:val="Heading2"/>
        <w:rPr/>
      </w:pPr>
      <w:bookmarkStart w:colFirst="0" w:colLast="0" w:name="_jbh5imgsok4h" w:id="11"/>
      <w:bookmarkEnd w:id="11"/>
      <w:r w:rsidDel="00000000" w:rsidR="00000000" w:rsidRPr="00000000">
        <w:rPr>
          <w:rtl w:val="0"/>
        </w:rPr>
        <w:t xml:space="preserve">Appendix B</w:t>
      </w:r>
    </w:p>
    <w:p w:rsidR="00000000" w:rsidDel="00000000" w:rsidP="00000000" w:rsidRDefault="00000000" w:rsidRPr="00000000" w14:paraId="0000004F">
      <w:pPr>
        <w:rPr/>
      </w:pPr>
      <w:r w:rsidDel="00000000" w:rsidR="00000000" w:rsidRPr="00000000">
        <w:rPr>
          <w:rtl w:val="0"/>
        </w:rPr>
        <w:t xml:space="preserve">Figure 2. Overview results of Table 2</w:t>
      </w:r>
    </w:p>
    <w:p w:rsidR="00000000" w:rsidDel="00000000" w:rsidP="00000000" w:rsidRDefault="00000000" w:rsidRPr="00000000" w14:paraId="00000050">
      <w:pPr>
        <w:pStyle w:val="Heading2"/>
        <w:rPr/>
      </w:pPr>
      <w:bookmarkStart w:colFirst="0" w:colLast="0" w:name="_7xdn7o88v92i" w:id="12"/>
      <w:bookmarkEnd w:id="12"/>
      <w:r w:rsidDel="00000000" w:rsidR="00000000" w:rsidRPr="00000000">
        <w:rPr>
          <w:rtl w:val="0"/>
        </w:rPr>
        <w:t xml:space="preserve">Appendix C</w:t>
      </w:r>
    </w:p>
    <w:p w:rsidR="00000000" w:rsidDel="00000000" w:rsidP="00000000" w:rsidRDefault="00000000" w:rsidRPr="00000000" w14:paraId="00000051">
      <w:pPr>
        <w:rPr/>
      </w:pPr>
      <w:r w:rsidDel="00000000" w:rsidR="00000000" w:rsidRPr="00000000">
        <w:rPr>
          <w:rtl w:val="0"/>
        </w:rPr>
        <w:t xml:space="preserve">Figure 3. Overview results of Table 3</w:t>
      </w:r>
    </w:p>
    <w:p w:rsidR="00000000" w:rsidDel="00000000" w:rsidP="00000000" w:rsidRDefault="00000000" w:rsidRPr="00000000" w14:paraId="00000052">
      <w:pPr>
        <w:pStyle w:val="Heading2"/>
        <w:rPr/>
      </w:pPr>
      <w:bookmarkStart w:colFirst="0" w:colLast="0" w:name="_uiwxtpazp2jy" w:id="13"/>
      <w:bookmarkEnd w:id="13"/>
      <w:r w:rsidDel="00000000" w:rsidR="00000000" w:rsidRPr="00000000">
        <w:rPr>
          <w:rtl w:val="0"/>
        </w:rPr>
        <w:t xml:space="preserve">Appendix D</w:t>
      </w:r>
    </w:p>
    <w:p w:rsidR="00000000" w:rsidDel="00000000" w:rsidP="00000000" w:rsidRDefault="00000000" w:rsidRPr="00000000" w14:paraId="00000053">
      <w:pPr>
        <w:rPr/>
      </w:pPr>
      <w:r w:rsidDel="00000000" w:rsidR="00000000" w:rsidRPr="00000000">
        <w:rPr>
          <w:rtl w:val="0"/>
        </w:rPr>
        <w:t xml:space="preserve">Figure 4. Overview results of Table 4</w:t>
      </w:r>
    </w:p>
    <w:sectPr>
      <w:footerReference r:id="rId8" w:type="default"/>
      <w:footerReference r:id="rId9"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ristina Lee" w:id="0" w:date="2024-10-19T09:30:36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this is not consistent with the paper, 10 times larger than the paper.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total reaction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Stephanie Tio reacted with 👍 at 2024-10-19 04:17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