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Nikole Hannah-Jones, NYT Mag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Ron Nixon, NYT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Ida B. Wells Society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bit.ly/nicar-terms-2017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Download data that is disappearing and save it to git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megan@ire.org</w:t>
        </w:r>
      </w:hyperlink>
      <w:r w:rsidDel="00000000" w:rsidR="00000000" w:rsidRPr="00000000">
        <w:rPr>
          <w:rtl w:val="0"/>
        </w:rPr>
        <w:t xml:space="preserve"> for help getting this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http://ire.org/events-and-training/event/2702/3020/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Lots of times the orgs tasked with upholding civil rights law are the ones violating civil rights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Racial disparities come from real people who make real 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federal agencies have a civil rights division; many states do too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Know these laws: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Civil Rights 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Fair Housing 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Mortgage Disclosure 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Equal Credit Opportunity 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Housing and Community Development 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Equal Opportunity Employment Act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one of these acts requires data collection that you can foia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Disparate Impact Theory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-practices may be illegally discriminatory if they have an adverse impact on racial/ethnic minorities. Focuses on impact, not motivation.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 legal standard upheld in Justice Dept., Dept. of Edu., employment and fair housing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-can’t prove intentional discrimination usually, but can prove disparate impact.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Census, censusscope.org, brown university US2010 Project, US Dept of Edu Office of Civil Rights, HUD, Office of Juvenile Justice and Delinquency Prevention, National institutes of health, local school board/housing authorities.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 quality: tenure, experienced, degrees, board certifications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Curriculum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Extracurricular offerings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 turnover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Art, music, field trips, dance,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why these are different among schools with diff demographics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 Segregation After Brown-ProPublica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“Racism gets reduced to intent, as if intent is all that matters,”- David J. Leonard, Washington State Uni professor of critical culture, gender and race studies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cities say they are allocating dollars to diversify by class, check that and check to see if black/brown families who have the money to move to affluent areas are still shut out of good schools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Don’t buy the argument that school systems suffer because of poverty and it is difficult to overcome that. (see Tampa Bay Times Failure Factories story)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ProPublica Machine Bias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unsecured personal loans (payday loans)- set up in black communities to prey on low-income communities who cannot pay back these loans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Banks pull out of communities and instead these payday loan companies come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Foreclosures: map out where people are paying &gt;30 percent of income (or foreclosures or subprime loans) on living expenses and map over minority communities.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Farm Aid-Food Stamps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Funding to rebuild in disaster areas comes from Disaster Loan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 That Page tracks when something changes on a webpage; lots of civil rights Act-compliant data is being removed from the internet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egan@ire.org" TargetMode="External"/><Relationship Id="rId6" Type="http://schemas.openxmlformats.org/officeDocument/2006/relationships/hyperlink" Target="http://ire.org/events-and-training/event/2702/3020/" TargetMode="External"/></Relationships>
</file>