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Jeff Ostrowski, Palm Beach Post </w:t>
      </w:r>
    </w:p>
    <w:p w:rsidR="00000000" w:rsidDel="00000000" w:rsidP="00000000" w:rsidRDefault="00000000" w:rsidRPr="00000000">
      <w:pPr>
        <w:contextualSpacing w:val="0"/>
      </w:pPr>
      <w:hyperlink r:id="rId5">
        <w:r w:rsidDel="00000000" w:rsidR="00000000" w:rsidRPr="00000000">
          <w:rPr>
            <w:rFonts w:ascii="Georgia" w:cs="Georgia" w:eastAsia="Georgia" w:hAnsi="Georgia"/>
            <w:color w:val="1155cc"/>
            <w:sz w:val="23"/>
            <w:szCs w:val="23"/>
            <w:highlight w:val="white"/>
            <w:u w:val="single"/>
            <w:rtl w:val="0"/>
          </w:rPr>
          <w:t xml:space="preserve">http://ire.org/events-and-training/event/2702/2945/</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Review of Proxy Statements (14A)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This was mostly review for ppl who have read through financial statements. A lot of it was showing people how to work the SEC site. Some people asked about web scraping and our conclusion was it wasn’t worth the effort unless you were undertaking a very specific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Tips:</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See what companies are listed under “comparable companies” in proxy statements. This can give you an idea if the company is over-valuing itself, where it is heading, etc. </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Be careful when adding Class A and Class B stock. One of these might come with more voting rights and they might have differing prices. </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Insiders will file a Schedule 4 every time they buy or sell.</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“Security ownership” portion of 14A shows how many shares execs own in their own company. </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Long term compensation can mean stock awards. Not all exercisable. </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An S1 will show exec. compensation at private companies for 2 years prior.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re.org/events-and-training/event/2702/2945/" TargetMode="External"/></Relationships>
</file>