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1E9D" w14:textId="77777777" w:rsidR="00CA6DCC" w:rsidRDefault="00000000">
      <w:pPr>
        <w:spacing w:before="60"/>
        <w:jc w:val="center"/>
      </w:pPr>
      <w:proofErr w:type="spellStart"/>
      <w:r>
        <w:rPr>
          <w:color w:val="9E9E9E"/>
          <w:sz w:val="17"/>
          <w:szCs w:val="17"/>
        </w:rPr>
        <w:t>End</w:t>
      </w:r>
      <w:proofErr w:type="spellEnd"/>
      <w:r>
        <w:rPr>
          <w:color w:val="9E9E9E"/>
          <w:sz w:val="17"/>
          <w:szCs w:val="17"/>
        </w:rPr>
        <w:t xml:space="preserve"> </w:t>
      </w:r>
      <w:proofErr w:type="spellStart"/>
      <w:r>
        <w:rPr>
          <w:color w:val="9E9E9E"/>
          <w:sz w:val="17"/>
          <w:szCs w:val="17"/>
        </w:rPr>
        <w:t>to</w:t>
      </w:r>
      <w:proofErr w:type="spellEnd"/>
      <w:r>
        <w:rPr>
          <w:color w:val="9E9E9E"/>
          <w:sz w:val="17"/>
          <w:szCs w:val="17"/>
        </w:rPr>
        <w:t xml:space="preserve"> </w:t>
      </w:r>
      <w:proofErr w:type="spellStart"/>
      <w:r>
        <w:rPr>
          <w:color w:val="9E9E9E"/>
          <w:sz w:val="17"/>
          <w:szCs w:val="17"/>
        </w:rPr>
        <w:t>End</w:t>
      </w:r>
      <w:proofErr w:type="spellEnd"/>
      <w:r>
        <w:rPr>
          <w:color w:val="9E9E9E"/>
          <w:sz w:val="17"/>
          <w:szCs w:val="17"/>
        </w:rPr>
        <w:t xml:space="preserve"> — Agência de Marketing Esportivo</w:t>
      </w:r>
    </w:p>
    <w:p w14:paraId="7DF44872" w14:textId="77777777" w:rsidR="00CA6DCC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SKILL FAN PRICING — ORÇAMENTO 360</w:t>
      </w:r>
    </w:p>
    <w:p w14:paraId="1F8C2E55" w14:textId="77777777" w:rsidR="00CA6DCC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Metodologia de Precificação e Estrutura de Proposta Comercial</w:t>
      </w:r>
    </w:p>
    <w:p w14:paraId="5FDA4287" w14:textId="77777777" w:rsidR="00CA6DCC" w:rsidRDefault="00000000">
      <w:pPr>
        <w:spacing w:before="60"/>
        <w:jc w:val="center"/>
      </w:pPr>
      <w:r>
        <w:rPr>
          <w:color w:val="9E9E9E"/>
          <w:sz w:val="18"/>
          <w:szCs w:val="18"/>
        </w:rPr>
        <w:t>10 de julho de 2026</w:t>
      </w:r>
    </w:p>
    <w:p w14:paraId="5337121A" w14:textId="77777777" w:rsidR="00CA6DCC" w:rsidRDefault="00CA6DCC">
      <w:pPr>
        <w:pBdr>
          <w:bottom w:val="single" w:sz="6" w:space="0" w:color="CCCCCC"/>
        </w:pBdr>
        <w:spacing w:before="200" w:after="200"/>
      </w:pPr>
    </w:p>
    <w:p w14:paraId="02BE6037" w14:textId="77777777" w:rsidR="00CA6DCC" w:rsidRDefault="00000000">
      <w:pPr>
        <w:pStyle w:val="Ttulo3"/>
      </w:pPr>
      <w:r>
        <w:t>1. OBJETIVO</w:t>
      </w:r>
    </w:p>
    <w:p w14:paraId="5C7DDF9E" w14:textId="77777777" w:rsidR="00CA6DCC" w:rsidRDefault="00000000">
      <w:pPr>
        <w:spacing w:before="60"/>
        <w:jc w:val="both"/>
      </w:pPr>
      <w:r>
        <w:t xml:space="preserve">Este documento estabelece as diretrizes operacionais para a </w:t>
      </w:r>
      <w:r>
        <w:rPr>
          <w:b/>
          <w:bCs/>
        </w:rPr>
        <w:t xml:space="preserve">Skill Fan </w:t>
      </w:r>
      <w:proofErr w:type="spellStart"/>
      <w:r>
        <w:rPr>
          <w:b/>
          <w:bCs/>
        </w:rPr>
        <w:t>Pricing</w:t>
      </w:r>
      <w:proofErr w:type="spellEnd"/>
      <w:r>
        <w:rPr>
          <w:b/>
          <w:bCs/>
        </w:rPr>
        <w:t xml:space="preserve"> — Orçamento 360</w:t>
      </w:r>
      <w:r>
        <w:t xml:space="preserve">. O objetivo central é a padronização da montagem de propostas comerciais no formato 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End</w:t>
      </w:r>
      <w:proofErr w:type="spellEnd"/>
      <w:r>
        <w:t>, garantindo agilidade na precificação e profissionalismo na apresentação ao cliente. A estrutura visa proteger a inteligência comercial da agência, omitindo dados sensíveis como margens líquidas, markups e custos individuais de mão de obra.</w:t>
      </w:r>
    </w:p>
    <w:p w14:paraId="63F88EBC" w14:textId="77777777" w:rsidR="00CA6DCC" w:rsidRDefault="00000000">
      <w:pPr>
        <w:pStyle w:val="Ttulo3"/>
      </w:pPr>
      <w:r>
        <w:t>2. MODOS DE OPERAÇÃO DA SKILL</w:t>
      </w:r>
    </w:p>
    <w:p w14:paraId="5188A713" w14:textId="77777777" w:rsidR="00CA6DCC" w:rsidRDefault="00000000">
      <w:pPr>
        <w:spacing w:before="60"/>
        <w:jc w:val="both"/>
      </w:pPr>
      <w:r>
        <w:t>A Skill opera sob dois fluxos distintos, dependendo do nível de informação fornecido pelo usuário no início do processo:</w:t>
      </w:r>
    </w:p>
    <w:p w14:paraId="027E6982" w14:textId="77777777" w:rsidR="00CA6DCC" w:rsidRDefault="00000000">
      <w:r>
        <w:t>2.1. 🅰️ MODO BRIEFING → SUGERE SQUAD</w:t>
      </w:r>
    </w:p>
    <w:p w14:paraId="46A25F64" w14:textId="77777777" w:rsidR="00CA6DCC" w:rsidRDefault="00000000">
      <w:pPr>
        <w:spacing w:before="60"/>
        <w:jc w:val="both"/>
      </w:pPr>
      <w:r>
        <w:t>Acionado quando o usuário fornece apenas o briefing ou escopo simplificado, sem definição de equipe ou custos.</w:t>
      </w:r>
    </w:p>
    <w:p w14:paraId="5E325DE3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Identificação:</w:t>
      </w:r>
      <w:r>
        <w:t xml:space="preserve"> Classificação do tipo de projeto (Audiovisual, Tráfego, Conteúdo, Patrocínio ou Outros).</w:t>
      </w:r>
    </w:p>
    <w:p w14:paraId="4D48C726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Dimensionamento:</w:t>
      </w:r>
      <w:r>
        <w:t xml:space="preserve"> Solicitação do nível de complexidade (Baixa, </w:t>
      </w:r>
      <w:proofErr w:type="gramStart"/>
      <w:r>
        <w:t>Média</w:t>
      </w:r>
      <w:proofErr w:type="gramEnd"/>
      <w:r>
        <w:t xml:space="preserve"> ou Alta).</w:t>
      </w:r>
    </w:p>
    <w:p w14:paraId="7C0CD60A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Consulta Oficial:</w:t>
      </w:r>
      <w:r>
        <w:t xml:space="preserve"> Acesso à planilha de cargos e salários (Igor) para extração de funções e salários por senioridade.</w:t>
      </w:r>
    </w:p>
    <w:p w14:paraId="137C4AA7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Proposição:</w:t>
      </w:r>
      <w:r>
        <w:t xml:space="preserve"> Apresentação do </w:t>
      </w:r>
      <w:proofErr w:type="spellStart"/>
      <w:r>
        <w:t>squad</w:t>
      </w:r>
      <w:proofErr w:type="spellEnd"/>
      <w:r>
        <w:t xml:space="preserve"> sugerido para validação do usuário.</w:t>
      </w:r>
    </w:p>
    <w:p w14:paraId="22489674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Conversão:</w:t>
      </w:r>
      <w:r>
        <w:t xml:space="preserve"> Após aprovação do </w:t>
      </w:r>
      <w:proofErr w:type="spellStart"/>
      <w:r>
        <w:t>squad</w:t>
      </w:r>
      <w:proofErr w:type="spellEnd"/>
      <w:r>
        <w:t>, o sistema migra automaticamente para o Modo B.</w:t>
      </w:r>
    </w:p>
    <w:p w14:paraId="55C092F1" w14:textId="77777777" w:rsidR="00CA6DCC" w:rsidRDefault="00000000">
      <w:r>
        <w:t>2.2. 🅱️ MODO SQUAD PRONTO → BREAKDOWN E2E</w:t>
      </w:r>
    </w:p>
    <w:p w14:paraId="57D2073C" w14:textId="77777777" w:rsidR="00CA6DCC" w:rsidRDefault="00000000">
      <w:pPr>
        <w:spacing w:before="60"/>
        <w:jc w:val="both"/>
      </w:pPr>
      <w:r>
        <w:t xml:space="preserve">Acionado quando o usuário já possui a </w:t>
      </w:r>
      <w:r>
        <w:rPr>
          <w:b/>
          <w:bCs/>
        </w:rPr>
        <w:t>MOD (Mão de Obra Direta)</w:t>
      </w:r>
      <w:r>
        <w:t xml:space="preserve"> definida ou valores de terceiros prontos.</w:t>
      </w:r>
    </w:p>
    <w:p w14:paraId="2F6C60EA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Validação:</w:t>
      </w:r>
      <w:r>
        <w:t xml:space="preserve"> Conferência dos valores de custo informados.</w:t>
      </w:r>
    </w:p>
    <w:p w14:paraId="6BCEBBDC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Cálculo Interno:</w:t>
      </w:r>
      <w:r>
        <w:t xml:space="preserve"> Aplicação da metodologia de Markup Divisor para chegar ao Preço de Venda (PV).</w:t>
      </w:r>
    </w:p>
    <w:p w14:paraId="7509D25E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Formatação:</w:t>
      </w:r>
      <w:r>
        <w:t xml:space="preserve"> Geração da proposta comercial limpa, focada em entregáveis e valor total.</w:t>
      </w:r>
    </w:p>
    <w:p w14:paraId="14D84C46" w14:textId="77777777" w:rsidR="00CA6DC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Finalização:</w:t>
      </w:r>
      <w:r>
        <w:t xml:space="preserve"> Oferta de exportação do documento em formato PDF/DOCX.</w:t>
      </w:r>
    </w:p>
    <w:p w14:paraId="48F2D11A" w14:textId="77777777" w:rsidR="00CA6DCC" w:rsidRDefault="00000000">
      <w:pPr>
        <w:pStyle w:val="Ttulo3"/>
      </w:pPr>
      <w:r>
        <w:t>3. METODOLOGIA DE CÁLCULO (BREAKDOWN E2E)</w:t>
      </w:r>
    </w:p>
    <w:p w14:paraId="264CAAB6" w14:textId="77777777" w:rsidR="00CA6DCC" w:rsidRDefault="00000000">
      <w:pPr>
        <w:spacing w:before="60"/>
        <w:jc w:val="both"/>
      </w:pPr>
      <w:r>
        <w:t xml:space="preserve">O cálculo do Preço de Venda utiliza o </w:t>
      </w:r>
      <w:r>
        <w:rPr>
          <w:b/>
          <w:bCs/>
        </w:rPr>
        <w:t>Markup Divisor</w:t>
      </w:r>
      <w:r>
        <w:t>, garantindo que a margem líquida de 32% seja aplicada sobre o valor final faturado, e não apenas sobre o custo.</w:t>
      </w:r>
    </w:p>
    <w:p w14:paraId="663DE0E8" w14:textId="77777777" w:rsidR="00CA6DCC" w:rsidRDefault="00000000">
      <w:pPr>
        <w:spacing w:before="60"/>
        <w:jc w:val="both"/>
      </w:pPr>
      <w:r>
        <w:rPr>
          <w:b/>
          <w:bCs/>
        </w:rPr>
        <w:t>Fórmula:</w:t>
      </w:r>
    </w:p>
    <w:p w14:paraId="6EEA077C" w14:textId="77777777" w:rsidR="00CA6DCC" w:rsidRDefault="00000000">
      <w:pPr>
        <w:spacing w:before="60"/>
      </w:pPr>
      <w:r>
        <w:t>$$PV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MOD + (MOD \times 10%</w:t>
      </w:r>
      <w:proofErr w:type="gramStart"/>
      <w:r>
        <w:t>)}{</w:t>
      </w:r>
      <w:proofErr w:type="gramEnd"/>
      <w:r>
        <w:t>1 - (0,1755 + 0,32)}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 xml:space="preserve">Custo\ </w:t>
      </w:r>
      <w:proofErr w:type="gramStart"/>
      <w:r>
        <w:t>Total}{</w:t>
      </w:r>
      <w:proofErr w:type="gramEnd"/>
      <w:r>
        <w:t>0,</w:t>
      </w:r>
      <w:proofErr w:type="gramStart"/>
      <w:r>
        <w:t>5045}$</w:t>
      </w:r>
      <w:proofErr w:type="gramEnd"/>
      <w:r>
        <w:t>$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CA6DCC" w14:paraId="38CAD2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2E0CC5" w14:textId="77777777" w:rsidR="00CA6DC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ACAA9F" w14:textId="77777777" w:rsidR="00CA6DC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Base de Cálculo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1A736C" w14:textId="77777777" w:rsidR="00CA6DCC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% do PV (Aprox.)</w:t>
            </w:r>
          </w:p>
        </w:tc>
      </w:tr>
      <w:tr w:rsidR="00CA6DCC" w14:paraId="17D5B2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E7F736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MOD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03B3F2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Custo Direto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1B493F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45,86%</w:t>
            </w:r>
          </w:p>
        </w:tc>
      </w:tr>
      <w:tr w:rsidR="00CA6DCC" w14:paraId="6F768D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3F15E6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OVH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3821E7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10% sobre MOD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794C72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4,59%</w:t>
            </w:r>
          </w:p>
        </w:tc>
      </w:tr>
      <w:tr w:rsidR="00CA6DCC" w14:paraId="3BC552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27EA05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Impostos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498660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Faturamento Bruto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B4F26E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17,55%</w:t>
            </w:r>
          </w:p>
        </w:tc>
      </w:tr>
      <w:tr w:rsidR="00CA6DCC" w14:paraId="74BE8F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078C4C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Margem Líquida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9E0E0F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Lucro Desejado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8E361C" w14:textId="77777777" w:rsidR="00CA6DCC" w:rsidRDefault="00000000">
            <w:pPr>
              <w:spacing w:before="60" w:after="60"/>
            </w:pPr>
            <w:r>
              <w:rPr>
                <w:sz w:val="20"/>
                <w:szCs w:val="20"/>
              </w:rPr>
              <w:t>32,00%</w:t>
            </w:r>
          </w:p>
        </w:tc>
      </w:tr>
      <w:tr w:rsidR="00CA6DCC" w14:paraId="205DDD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9EF406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Preço de Venda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047A7F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Cliente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DC3EB1" w14:textId="77777777" w:rsidR="00CA6DCC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100,00%</w:t>
            </w:r>
          </w:p>
        </w:tc>
      </w:tr>
    </w:tbl>
    <w:p w14:paraId="4BF41487" w14:textId="77777777" w:rsidR="00CA6DCC" w:rsidRDefault="00000000">
      <w:pPr>
        <w:pStyle w:val="Ttulo3"/>
      </w:pPr>
      <w:r>
        <w:t>4. DIRETRIZES DE CONTEÚDO PADRÃO</w:t>
      </w:r>
    </w:p>
    <w:p w14:paraId="6DC45C7A" w14:textId="77777777" w:rsidR="00CA6DCC" w:rsidRDefault="00000000">
      <w:r>
        <w:t>4.1. Textos de Apresentação ("O Projeto")</w:t>
      </w:r>
    </w:p>
    <w:p w14:paraId="211CA191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Audiovisual:</w:t>
      </w:r>
      <w:r>
        <w:t xml:space="preserve"> Produção contemplando pré-produção, captação e pós-produção (</w:t>
      </w:r>
      <w:proofErr w:type="spellStart"/>
      <w:r>
        <w:t>Muevo</w:t>
      </w:r>
      <w:proofErr w:type="spellEnd"/>
      <w:r>
        <w:t>), com entrega de máster e versões adaptadas.</w:t>
      </w:r>
    </w:p>
    <w:p w14:paraId="626F0B38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Tráfego Pago:</w:t>
      </w:r>
      <w:r>
        <w:t xml:space="preserve"> Gestão estratégica de mídia, definição de canais, otimização contínua e relatórios de performance.</w:t>
      </w:r>
    </w:p>
    <w:p w14:paraId="590E517D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Conteúdo Redes:</w:t>
      </w:r>
      <w:r>
        <w:t xml:space="preserve"> Planejamento editorial, criação de peças multimídia e gestão de métricas mensais.</w:t>
      </w:r>
    </w:p>
    <w:p w14:paraId="155902B4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Patrocínio/Captação:</w:t>
      </w:r>
      <w:r>
        <w:t xml:space="preserve"> Estruturação de programas de incentivo, diagnóstico de ativos e gestão de relacionamento com doadores.</w:t>
      </w:r>
    </w:p>
    <w:p w14:paraId="12C96226" w14:textId="77777777" w:rsidR="00CA6DCC" w:rsidRDefault="00000000">
      <w:r>
        <w:t>4.2. Escopo de Entregas</w:t>
      </w:r>
    </w:p>
    <w:p w14:paraId="52C70C78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Audiovisual:</w:t>
      </w:r>
      <w:r>
        <w:t xml:space="preserve"> 🔵 Pré-Produção → 🎬 Produção → 🟢 Pós-Produção.</w:t>
      </w:r>
    </w:p>
    <w:p w14:paraId="39362811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Tráfego:</w:t>
      </w:r>
      <w:r>
        <w:t xml:space="preserve"> 🔵 Estratégia → 🎯 Execução → 📊 Gestão.</w:t>
      </w:r>
    </w:p>
    <w:p w14:paraId="6DABF129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Conteúdo:</w:t>
      </w:r>
      <w:r>
        <w:t xml:space="preserve"> 🔵 Planejamento → ✍️ Criação → 📈 Acompanhamento.</w:t>
      </w:r>
    </w:p>
    <w:p w14:paraId="784F9BB1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Patrocínio:</w:t>
      </w:r>
      <w:r>
        <w:t xml:space="preserve"> 🔵 Diagnóstico → 📋 Estruturação → 🚀 Lançamento → 🔄 Gestão.</w:t>
      </w:r>
    </w:p>
    <w:p w14:paraId="2114C16D" w14:textId="77777777" w:rsidR="00CA6DCC" w:rsidRDefault="00000000">
      <w:pPr>
        <w:pStyle w:val="Ttulo3"/>
      </w:pPr>
      <w:r>
        <w:t>5. REGRAS DE SIGILO E EXPOSIÇÃO</w:t>
      </w:r>
    </w:p>
    <w:p w14:paraId="344D2A45" w14:textId="77777777" w:rsidR="00CA6DCC" w:rsidRDefault="00000000">
      <w:pPr>
        <w:spacing w:before="60"/>
        <w:jc w:val="both"/>
      </w:pPr>
      <w:r>
        <w:t xml:space="preserve">Para manter a integridade comercial da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os seguintes itens </w:t>
      </w:r>
      <w:r>
        <w:rPr>
          <w:b/>
          <w:bCs/>
        </w:rPr>
        <w:t>JAMAIS</w:t>
      </w:r>
      <w:r>
        <w:t xml:space="preserve"> devem constar no documento enviado ao cliente:</w:t>
      </w:r>
    </w:p>
    <w:p w14:paraId="0F5B7156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❌ </w:t>
      </w:r>
      <w:r>
        <w:rPr>
          <w:b/>
          <w:bCs/>
        </w:rPr>
        <w:t>Senioridade:</w:t>
      </w:r>
      <w:r>
        <w:t xml:space="preserve"> Não listar perfis como "Júnior", "Pleno" ou "Sênior".</w:t>
      </w:r>
    </w:p>
    <w:p w14:paraId="4217A2AB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❌ </w:t>
      </w:r>
      <w:r>
        <w:rPr>
          <w:b/>
          <w:bCs/>
        </w:rPr>
        <w:t>Custos Unitários:</w:t>
      </w:r>
      <w:r>
        <w:t xml:space="preserve"> Não abrir o valor individual de cada profissional ou serviço.</w:t>
      </w:r>
    </w:p>
    <w:p w14:paraId="1FC85D54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❌ </w:t>
      </w:r>
      <w:r>
        <w:rPr>
          <w:b/>
          <w:bCs/>
        </w:rPr>
        <w:t>Margens e Markups:</w:t>
      </w:r>
      <w:r>
        <w:t xml:space="preserve"> Não citar os 32% de margem ou o multiplicador de 2,18x.</w:t>
      </w:r>
    </w:p>
    <w:p w14:paraId="64B125DF" w14:textId="77777777" w:rsidR="00CA6DCC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❌ </w:t>
      </w:r>
      <w:r>
        <w:rPr>
          <w:b/>
          <w:bCs/>
        </w:rPr>
        <w:t>Impostos:</w:t>
      </w:r>
      <w:r>
        <w:t xml:space="preserve"> Não detalhar a alíquota de 17,55%, utilizando apenas a nota "Impostos inclusos".</w:t>
      </w:r>
    </w:p>
    <w:p w14:paraId="7B06CB5A" w14:textId="77777777" w:rsidR="00CA6DCC" w:rsidRDefault="00000000">
      <w:pPr>
        <w:pStyle w:val="Ttulo3"/>
      </w:pPr>
      <w:r>
        <w:t>6. PRÓXIMOS PASSOS E GERAÇÃO</w:t>
      </w:r>
    </w:p>
    <w:p w14:paraId="4EB438C0" w14:textId="1503289C" w:rsidR="00CA6DCC" w:rsidRDefault="00000000">
      <w:pPr>
        <w:spacing w:before="60"/>
        <w:jc w:val="both"/>
      </w:pPr>
      <w:r>
        <w:t xml:space="preserve">Após a validação do Preço de Venda no chat, a Skill deve obrigatoriamente questionar o usuário sobre a geração do PDF. O documento final deve seguir a identidade visual da agência, apresentando as condições de pagamento padrão de </w:t>
      </w:r>
      <w:r>
        <w:rPr>
          <w:b/>
          <w:bCs/>
        </w:rPr>
        <w:t>50% na assinatura do contrato e 50% na entrega final</w:t>
      </w:r>
      <w:r>
        <w:t>.</w:t>
      </w:r>
      <w:r w:rsidR="00475ECA">
        <w:br/>
        <w:t xml:space="preserve">Ou ainda para projetos Always </w:t>
      </w:r>
      <w:proofErr w:type="spellStart"/>
      <w:r w:rsidR="00475ECA">
        <w:t>on</w:t>
      </w:r>
      <w:proofErr w:type="spellEnd"/>
      <w:r w:rsidR="00475ECA">
        <w:t xml:space="preserve"> deve se usar a regra de pagamento todo o dia 05 após o mês subsequente da </w:t>
      </w:r>
      <w:proofErr w:type="spellStart"/>
      <w:r w:rsidR="00475ECA">
        <w:t>prestaão</w:t>
      </w:r>
      <w:proofErr w:type="spellEnd"/>
      <w:r w:rsidR="00475ECA">
        <w:t xml:space="preserve"> de serviços.</w:t>
      </w:r>
    </w:p>
    <w:p w14:paraId="72F1FDBB" w14:textId="77777777" w:rsidR="00CA6DCC" w:rsidRDefault="00CA6DCC">
      <w:pPr>
        <w:pBdr>
          <w:bottom w:val="single" w:sz="6" w:space="0" w:color="CCCCCC"/>
        </w:pBdr>
        <w:spacing w:before="200" w:after="200"/>
      </w:pPr>
    </w:p>
    <w:p w14:paraId="489FE2EC" w14:textId="77777777" w:rsidR="00CA6DCC" w:rsidRDefault="00000000">
      <w:pPr>
        <w:spacing w:before="60"/>
        <w:jc w:val="center"/>
      </w:pPr>
      <w:r>
        <w:rPr>
          <w:color w:val="757575"/>
          <w:sz w:val="18"/>
          <w:szCs w:val="18"/>
        </w:rPr>
        <w:t xml:space="preserve">Documento elaborado em 10 de julho de 2026. As informações contidas são de uso exclusivo da </w:t>
      </w:r>
      <w:proofErr w:type="spellStart"/>
      <w:r>
        <w:rPr>
          <w:color w:val="757575"/>
          <w:sz w:val="18"/>
          <w:szCs w:val="18"/>
        </w:rPr>
        <w:t>End</w:t>
      </w:r>
      <w:proofErr w:type="spellEnd"/>
      <w:r>
        <w:rPr>
          <w:color w:val="757575"/>
          <w:sz w:val="18"/>
          <w:szCs w:val="18"/>
        </w:rPr>
        <w:t xml:space="preserve"> </w:t>
      </w:r>
      <w:proofErr w:type="spellStart"/>
      <w:r>
        <w:rPr>
          <w:color w:val="757575"/>
          <w:sz w:val="18"/>
          <w:szCs w:val="18"/>
        </w:rPr>
        <w:t>to</w:t>
      </w:r>
      <w:proofErr w:type="spellEnd"/>
      <w:r>
        <w:rPr>
          <w:color w:val="757575"/>
          <w:sz w:val="18"/>
          <w:szCs w:val="18"/>
        </w:rPr>
        <w:t xml:space="preserve"> End.</w:t>
      </w:r>
    </w:p>
    <w:sectPr w:rsidR="00CA6DC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27EBF"/>
    <w:multiLevelType w:val="hybridMultilevel"/>
    <w:tmpl w:val="66902CFE"/>
    <w:lvl w:ilvl="0" w:tplc="87D6869E">
      <w:start w:val="1"/>
      <w:numFmt w:val="decimal"/>
      <w:lvlText w:val="%1."/>
      <w:lvlJc w:val="left"/>
      <w:pPr>
        <w:ind w:left="720" w:hanging="360"/>
      </w:pPr>
    </w:lvl>
    <w:lvl w:ilvl="1" w:tplc="047A340C">
      <w:numFmt w:val="decimal"/>
      <w:lvlText w:val=""/>
      <w:lvlJc w:val="left"/>
    </w:lvl>
    <w:lvl w:ilvl="2" w:tplc="FC96B000">
      <w:numFmt w:val="decimal"/>
      <w:lvlText w:val=""/>
      <w:lvlJc w:val="left"/>
    </w:lvl>
    <w:lvl w:ilvl="3" w:tplc="96523C1E">
      <w:numFmt w:val="decimal"/>
      <w:lvlText w:val=""/>
      <w:lvlJc w:val="left"/>
    </w:lvl>
    <w:lvl w:ilvl="4" w:tplc="CEF630EA">
      <w:numFmt w:val="decimal"/>
      <w:lvlText w:val=""/>
      <w:lvlJc w:val="left"/>
    </w:lvl>
    <w:lvl w:ilvl="5" w:tplc="07886B80">
      <w:numFmt w:val="decimal"/>
      <w:lvlText w:val=""/>
      <w:lvlJc w:val="left"/>
    </w:lvl>
    <w:lvl w:ilvl="6" w:tplc="9612AC54">
      <w:numFmt w:val="decimal"/>
      <w:lvlText w:val=""/>
      <w:lvlJc w:val="left"/>
    </w:lvl>
    <w:lvl w:ilvl="7" w:tplc="7D70D4D2">
      <w:numFmt w:val="decimal"/>
      <w:lvlText w:val=""/>
      <w:lvlJc w:val="left"/>
    </w:lvl>
    <w:lvl w:ilvl="8" w:tplc="354025A2">
      <w:numFmt w:val="decimal"/>
      <w:lvlText w:val=""/>
      <w:lvlJc w:val="left"/>
    </w:lvl>
  </w:abstractNum>
  <w:abstractNum w:abstractNumId="1" w15:restartNumberingAfterBreak="0">
    <w:nsid w:val="54E6486B"/>
    <w:multiLevelType w:val="hybridMultilevel"/>
    <w:tmpl w:val="7A14E7F4"/>
    <w:lvl w:ilvl="0" w:tplc="1F905366">
      <w:start w:val="1"/>
      <w:numFmt w:val="bullet"/>
      <w:lvlText w:val="●"/>
      <w:lvlJc w:val="left"/>
      <w:pPr>
        <w:ind w:left="720" w:hanging="360"/>
      </w:pPr>
    </w:lvl>
    <w:lvl w:ilvl="1" w:tplc="D3FAA988">
      <w:start w:val="1"/>
      <w:numFmt w:val="bullet"/>
      <w:lvlText w:val="○"/>
      <w:lvlJc w:val="left"/>
      <w:pPr>
        <w:ind w:left="1440" w:hanging="360"/>
      </w:pPr>
    </w:lvl>
    <w:lvl w:ilvl="2" w:tplc="6408E94A">
      <w:start w:val="1"/>
      <w:numFmt w:val="bullet"/>
      <w:lvlText w:val="■"/>
      <w:lvlJc w:val="left"/>
      <w:pPr>
        <w:ind w:left="2160" w:hanging="360"/>
      </w:pPr>
    </w:lvl>
    <w:lvl w:ilvl="3" w:tplc="7E32C84C">
      <w:start w:val="1"/>
      <w:numFmt w:val="bullet"/>
      <w:lvlText w:val="●"/>
      <w:lvlJc w:val="left"/>
      <w:pPr>
        <w:ind w:left="2880" w:hanging="360"/>
      </w:pPr>
    </w:lvl>
    <w:lvl w:ilvl="4" w:tplc="B83C8EB8">
      <w:start w:val="1"/>
      <w:numFmt w:val="bullet"/>
      <w:lvlText w:val="○"/>
      <w:lvlJc w:val="left"/>
      <w:pPr>
        <w:ind w:left="3600" w:hanging="360"/>
      </w:pPr>
    </w:lvl>
    <w:lvl w:ilvl="5" w:tplc="BC8853F8">
      <w:start w:val="1"/>
      <w:numFmt w:val="bullet"/>
      <w:lvlText w:val="■"/>
      <w:lvlJc w:val="left"/>
      <w:pPr>
        <w:ind w:left="4320" w:hanging="360"/>
      </w:pPr>
    </w:lvl>
    <w:lvl w:ilvl="6" w:tplc="C180D5E0">
      <w:start w:val="1"/>
      <w:numFmt w:val="bullet"/>
      <w:lvlText w:val="●"/>
      <w:lvlJc w:val="left"/>
      <w:pPr>
        <w:ind w:left="5040" w:hanging="360"/>
      </w:pPr>
    </w:lvl>
    <w:lvl w:ilvl="7" w:tplc="ADE0176C">
      <w:start w:val="1"/>
      <w:numFmt w:val="bullet"/>
      <w:lvlText w:val="●"/>
      <w:lvlJc w:val="left"/>
      <w:pPr>
        <w:ind w:left="5760" w:hanging="360"/>
      </w:pPr>
    </w:lvl>
    <w:lvl w:ilvl="8" w:tplc="E23E132C">
      <w:start w:val="1"/>
      <w:numFmt w:val="bullet"/>
      <w:lvlText w:val="●"/>
      <w:lvlJc w:val="left"/>
      <w:pPr>
        <w:ind w:left="6480" w:hanging="360"/>
      </w:pPr>
    </w:lvl>
  </w:abstractNum>
  <w:num w:numId="1" w16cid:durableId="2017030530">
    <w:abstractNumId w:val="1"/>
    <w:lvlOverride w:ilvl="0">
      <w:startOverride w:val="1"/>
    </w:lvlOverride>
  </w:num>
  <w:num w:numId="2" w16cid:durableId="1152796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CC"/>
    <w:rsid w:val="00475ECA"/>
    <w:rsid w:val="00BD4945"/>
    <w:rsid w:val="00CA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7E20"/>
  <w15:docId w15:val="{88CFD700-8178-48C0-B98A-423BE9DD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648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Ferreira Ferreira</cp:lastModifiedBy>
  <cp:revision>2</cp:revision>
  <dcterms:created xsi:type="dcterms:W3CDTF">2026-07-10T16:35:00Z</dcterms:created>
  <dcterms:modified xsi:type="dcterms:W3CDTF">2026-07-10T16:35:00Z</dcterms:modified>
</cp:coreProperties>
</file>