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C16A6" w14:textId="7DC7C9B7" w:rsidR="00C00CC9" w:rsidRPr="001B481B" w:rsidRDefault="00286D72" w:rsidP="001B481B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1B481B">
        <w:rPr>
          <w:rFonts w:ascii="Times New Roman" w:hAnsi="Times New Roman" w:cs="Times New Roman"/>
          <w:b/>
          <w:bCs/>
          <w:sz w:val="20"/>
          <w:szCs w:val="20"/>
          <w:lang w:val="es-ES"/>
        </w:rPr>
        <w:t>Cuadro de priorización:</w:t>
      </w:r>
    </w:p>
    <w:tbl>
      <w:tblPr>
        <w:tblW w:w="15664" w:type="dxa"/>
        <w:tblInd w:w="-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1495"/>
        <w:gridCol w:w="1094"/>
        <w:gridCol w:w="1147"/>
        <w:gridCol w:w="1367"/>
        <w:gridCol w:w="2268"/>
        <w:gridCol w:w="2542"/>
        <w:gridCol w:w="1901"/>
        <w:gridCol w:w="2644"/>
      </w:tblGrid>
      <w:tr w:rsidR="00276B4B" w:rsidRPr="001B481B" w14:paraId="0BC3A77A" w14:textId="7AB03088" w:rsidTr="001B481B">
        <w:trPr>
          <w:tblHeader/>
        </w:trPr>
        <w:tc>
          <w:tcPr>
            <w:tcW w:w="120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644B" w14:textId="79EECA8E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495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66D1" w14:textId="472FA584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Nombre de la Iniciativa</w:t>
            </w:r>
          </w:p>
        </w:tc>
        <w:tc>
          <w:tcPr>
            <w:tcW w:w="1094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2409" w14:textId="7787858C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 (1-5)</w:t>
            </w:r>
          </w:p>
        </w:tc>
        <w:tc>
          <w:tcPr>
            <w:tcW w:w="1147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4B61" w14:textId="235BB253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Esfuerzo (1-5)</w:t>
            </w:r>
          </w:p>
        </w:tc>
        <w:tc>
          <w:tcPr>
            <w:tcW w:w="1367" w:type="dxa"/>
            <w:shd w:val="clear" w:color="auto" w:fill="F4B083" w:themeFill="accent2" w:themeFillTint="99"/>
            <w:vAlign w:val="center"/>
          </w:tcPr>
          <w:p w14:paraId="3340A9C1" w14:textId="720109BC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2268" w:type="dxa"/>
            <w:shd w:val="clear" w:color="auto" w:fill="F4B083" w:themeFill="accent2" w:themeFillTint="99"/>
            <w:vAlign w:val="center"/>
          </w:tcPr>
          <w:p w14:paraId="0BCBE664" w14:textId="11F579FA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Planificación (</w:t>
            </w:r>
            <w:proofErr w:type="spellStart"/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Roadmap</w:t>
            </w:r>
            <w:proofErr w:type="spellEnd"/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42" w:type="dxa"/>
            <w:shd w:val="clear" w:color="auto" w:fill="F4B083" w:themeFill="accent2" w:themeFillTint="99"/>
            <w:vAlign w:val="center"/>
          </w:tcPr>
          <w:p w14:paraId="69A5FC2B" w14:textId="0D336F08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Brecha que Resuelve (Gap)</w:t>
            </w:r>
          </w:p>
        </w:tc>
        <w:tc>
          <w:tcPr>
            <w:tcW w:w="1901" w:type="dxa"/>
            <w:shd w:val="clear" w:color="auto" w:fill="F4B083" w:themeFill="accent2" w:themeFillTint="99"/>
            <w:vAlign w:val="center"/>
          </w:tcPr>
          <w:p w14:paraId="40663080" w14:textId="250628C5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Meta </w:t>
            </w:r>
            <w:proofErr w:type="spellStart"/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Alineada</w:t>
            </w:r>
            <w:proofErr w:type="spellEnd"/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(TO-BE Goal)</w:t>
            </w:r>
          </w:p>
        </w:tc>
        <w:tc>
          <w:tcPr>
            <w:tcW w:w="2644" w:type="dxa"/>
            <w:shd w:val="clear" w:color="auto" w:fill="F4B083" w:themeFill="accent2" w:themeFillTint="99"/>
            <w:vAlign w:val="center"/>
          </w:tcPr>
          <w:p w14:paraId="5442C9D1" w14:textId="353B1D85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Riesgo Asociado por Inacción</w:t>
            </w:r>
          </w:p>
        </w:tc>
      </w:tr>
      <w:tr w:rsidR="00276B4B" w:rsidRPr="001B481B" w14:paraId="6A082DEF" w14:textId="21452CDF" w:rsidTr="001B481B">
        <w:tc>
          <w:tcPr>
            <w:tcW w:w="1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A1B3" w14:textId="651F8CFB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PROY-01</w:t>
            </w:r>
          </w:p>
        </w:tc>
        <w:tc>
          <w:tcPr>
            <w:tcW w:w="14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3A93" w14:textId="1EB7D8A5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Portal de Pacientes &amp; App Móvil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FEA1" w14:textId="0B7C9474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4F89" w14:textId="5791C511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67" w:type="dxa"/>
            <w:shd w:val="clear" w:color="auto" w:fill="FFFFFF"/>
            <w:vAlign w:val="center"/>
          </w:tcPr>
          <w:p w14:paraId="3DAA09E0" w14:textId="16B64336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7F9E3E8" w14:textId="693AC56C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Ola 1</w:t>
            </w: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 xml:space="preserve"> (0 a 12 meses)</w:t>
            </w:r>
          </w:p>
        </w:tc>
        <w:tc>
          <w:tcPr>
            <w:tcW w:w="2542" w:type="dxa"/>
            <w:shd w:val="clear" w:color="auto" w:fill="FFFFFF"/>
            <w:vAlign w:val="center"/>
          </w:tcPr>
          <w:p w14:paraId="549E0DA1" w14:textId="46672472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Sin canal digital de autoatención para reservas.</w:t>
            </w:r>
          </w:p>
        </w:tc>
        <w:tc>
          <w:tcPr>
            <w:tcW w:w="1901" w:type="dxa"/>
            <w:shd w:val="clear" w:color="auto" w:fill="FFFFFF"/>
            <w:vAlign w:val="center"/>
          </w:tcPr>
          <w:p w14:paraId="0A811D4C" w14:textId="311C0DF9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Atención 100% digital y autogestionada al 2027.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75D72799" w14:textId="6501B9BB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Pérdida progresiva de cuota de mercado frente a competidores digitales.</w:t>
            </w:r>
          </w:p>
        </w:tc>
      </w:tr>
      <w:tr w:rsidR="00276B4B" w:rsidRPr="001B481B" w14:paraId="31A6C72C" w14:textId="5A170873" w:rsidTr="001B481B">
        <w:tc>
          <w:tcPr>
            <w:tcW w:w="1206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0AB5" w14:textId="25F87700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PROY-05</w:t>
            </w:r>
          </w:p>
        </w:tc>
        <w:tc>
          <w:tcPr>
            <w:tcW w:w="1495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9647" w14:textId="5B470418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Plataforma de Telemedicina</w:t>
            </w:r>
          </w:p>
        </w:tc>
        <w:tc>
          <w:tcPr>
            <w:tcW w:w="1094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D112" w14:textId="765906A2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47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90FB" w14:textId="208B5F6B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67" w:type="dxa"/>
            <w:shd w:val="clear" w:color="auto" w:fill="FBE4D5" w:themeFill="accent2" w:themeFillTint="33"/>
            <w:vAlign w:val="center"/>
          </w:tcPr>
          <w:p w14:paraId="06B839A7" w14:textId="10F0F23C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1FA3B27D" w14:textId="671C895A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Ola 1</w:t>
            </w: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 xml:space="preserve"> (0 a 12 meses)</w:t>
            </w:r>
          </w:p>
        </w:tc>
        <w:tc>
          <w:tcPr>
            <w:tcW w:w="2542" w:type="dxa"/>
            <w:shd w:val="clear" w:color="auto" w:fill="FBE4D5" w:themeFill="accent2" w:themeFillTint="33"/>
            <w:vAlign w:val="center"/>
          </w:tcPr>
          <w:p w14:paraId="467DD8E3" w14:textId="1BEEB254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Inexistencia de consultas médicas remotas y virtuales.</w:t>
            </w:r>
          </w:p>
        </w:tc>
        <w:tc>
          <w:tcPr>
            <w:tcW w:w="1901" w:type="dxa"/>
            <w:shd w:val="clear" w:color="auto" w:fill="FBE4D5" w:themeFill="accent2" w:themeFillTint="33"/>
            <w:vAlign w:val="center"/>
          </w:tcPr>
          <w:p w14:paraId="3970CFC5" w14:textId="2D9B5FF3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 xml:space="preserve">Cobertura </w:t>
            </w:r>
            <w:proofErr w:type="spellStart"/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omnicanal</w:t>
            </w:r>
            <w:proofErr w:type="spellEnd"/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, accesible y descentralizada.</w:t>
            </w:r>
          </w:p>
        </w:tc>
        <w:tc>
          <w:tcPr>
            <w:tcW w:w="2644" w:type="dxa"/>
            <w:shd w:val="clear" w:color="auto" w:fill="FBE4D5" w:themeFill="accent2" w:themeFillTint="33"/>
            <w:vAlign w:val="center"/>
          </w:tcPr>
          <w:p w14:paraId="40AC04F6" w14:textId="30D0BFD7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Saturación del servicio de urgencias físicas y consultorios.</w:t>
            </w:r>
          </w:p>
        </w:tc>
      </w:tr>
      <w:tr w:rsidR="00276B4B" w:rsidRPr="001B481B" w14:paraId="2BCB2373" w14:textId="22471B66" w:rsidTr="001B481B">
        <w:tc>
          <w:tcPr>
            <w:tcW w:w="1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C297" w14:textId="1A50387F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PROY-02</w:t>
            </w:r>
          </w:p>
        </w:tc>
        <w:tc>
          <w:tcPr>
            <w:tcW w:w="14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125D" w14:textId="598FB3DD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Plataforma de Integración (APIs)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6F1F" w14:textId="46D97A67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E356" w14:textId="5FFCE281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67" w:type="dxa"/>
            <w:shd w:val="clear" w:color="auto" w:fill="FFFFFF"/>
            <w:vAlign w:val="center"/>
          </w:tcPr>
          <w:p w14:paraId="5EB2ABEB" w14:textId="6EB1896B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19C1A18" w14:textId="7306287B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Ola 2</w:t>
            </w: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 xml:space="preserve"> (12 a 24 meses)</w:t>
            </w:r>
          </w:p>
        </w:tc>
        <w:tc>
          <w:tcPr>
            <w:tcW w:w="2542" w:type="dxa"/>
            <w:shd w:val="clear" w:color="auto" w:fill="FFFFFF"/>
            <w:vAlign w:val="center"/>
          </w:tcPr>
          <w:p w14:paraId="599BDD08" w14:textId="4F04058F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Sistemas de información médicos y administrativos aislados.</w:t>
            </w:r>
          </w:p>
        </w:tc>
        <w:tc>
          <w:tcPr>
            <w:tcW w:w="1901" w:type="dxa"/>
            <w:shd w:val="clear" w:color="auto" w:fill="FFFFFF"/>
            <w:vAlign w:val="center"/>
          </w:tcPr>
          <w:p w14:paraId="1728AFA5" w14:textId="4B9CDC90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Interoperabilidad técnica e integración institucional.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CF2DD37" w14:textId="6158548A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Inconsistencia de datos clínicos e ineficiencia operativa.</w:t>
            </w:r>
          </w:p>
        </w:tc>
      </w:tr>
      <w:tr w:rsidR="00276B4B" w:rsidRPr="001B481B" w14:paraId="1552934B" w14:textId="2C1D538F" w:rsidTr="001B481B">
        <w:tc>
          <w:tcPr>
            <w:tcW w:w="1206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B803" w14:textId="43B09FA2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PROY-03</w:t>
            </w:r>
          </w:p>
        </w:tc>
        <w:tc>
          <w:tcPr>
            <w:tcW w:w="1495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1EA2" w14:textId="276823FB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Historia Clínica Electrónica (HCE)</w:t>
            </w:r>
          </w:p>
        </w:tc>
        <w:tc>
          <w:tcPr>
            <w:tcW w:w="1094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1AFE" w14:textId="68D5974A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47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82EC" w14:textId="2E6EF2EB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67" w:type="dxa"/>
            <w:shd w:val="clear" w:color="auto" w:fill="FBE4D5" w:themeFill="accent2" w:themeFillTint="33"/>
            <w:vAlign w:val="center"/>
          </w:tcPr>
          <w:p w14:paraId="7613F3BA" w14:textId="0602E465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65FB9F76" w14:textId="0A5F5E63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Ola 2</w:t>
            </w: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 xml:space="preserve"> (12 a 24 meses)</w:t>
            </w:r>
          </w:p>
        </w:tc>
        <w:tc>
          <w:tcPr>
            <w:tcW w:w="2542" w:type="dxa"/>
            <w:shd w:val="clear" w:color="auto" w:fill="FBE4D5" w:themeFill="accent2" w:themeFillTint="33"/>
            <w:vAlign w:val="center"/>
          </w:tcPr>
          <w:p w14:paraId="588F0FC9" w14:textId="38BE5F1B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Registro e historias clínicas físicas en soporte de papel.</w:t>
            </w:r>
          </w:p>
        </w:tc>
        <w:tc>
          <w:tcPr>
            <w:tcW w:w="1901" w:type="dxa"/>
            <w:shd w:val="clear" w:color="auto" w:fill="FBE4D5" w:themeFill="accent2" w:themeFillTint="33"/>
            <w:vAlign w:val="center"/>
          </w:tcPr>
          <w:p w14:paraId="51D0BA78" w14:textId="69AC5EF6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Digitalización, legibilidad y seguridad de registros de salud.</w:t>
            </w:r>
          </w:p>
        </w:tc>
        <w:tc>
          <w:tcPr>
            <w:tcW w:w="2644" w:type="dxa"/>
            <w:shd w:val="clear" w:color="auto" w:fill="FBE4D5" w:themeFill="accent2" w:themeFillTint="33"/>
            <w:vAlign w:val="center"/>
          </w:tcPr>
          <w:p w14:paraId="7C1B60D9" w14:textId="3D205CDA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Pérdida o deterioro de información médica y sanciones regulatorias.</w:t>
            </w:r>
          </w:p>
        </w:tc>
      </w:tr>
      <w:tr w:rsidR="00276B4B" w:rsidRPr="001B481B" w14:paraId="6EC2AA11" w14:textId="415F651C" w:rsidTr="001B481B">
        <w:tc>
          <w:tcPr>
            <w:tcW w:w="1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6BE1" w14:textId="4202FF71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PROY-04</w:t>
            </w:r>
          </w:p>
        </w:tc>
        <w:tc>
          <w:tcPr>
            <w:tcW w:w="14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6317" w14:textId="2D8FCD04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Migración Cloud (Azure/AKS)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46B7" w14:textId="510E8DC3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C0C3" w14:textId="4FA69811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67" w:type="dxa"/>
            <w:shd w:val="clear" w:color="auto" w:fill="FFFFFF"/>
            <w:vAlign w:val="center"/>
          </w:tcPr>
          <w:p w14:paraId="438DD560" w14:textId="2B5B53C5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7B81586" w14:textId="254E8FB5" w:rsidR="00276B4B" w:rsidRPr="001B481B" w:rsidRDefault="00276B4B" w:rsidP="001B481B">
            <w:pPr>
              <w:jc w:val="center"/>
              <w:rPr>
                <w:rFonts w:ascii="Times New Roman" w:hAnsi="Times New Roman" w:cs="Times New Roman"/>
                <w:color w:val="1F2D3D"/>
                <w:sz w:val="20"/>
                <w:szCs w:val="20"/>
              </w:rPr>
            </w:pPr>
            <w:r w:rsidRPr="001B481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Ola 3</w:t>
            </w: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 xml:space="preserve"> (24 a 36 meses)</w:t>
            </w:r>
          </w:p>
        </w:tc>
        <w:tc>
          <w:tcPr>
            <w:tcW w:w="2542" w:type="dxa"/>
            <w:shd w:val="clear" w:color="auto" w:fill="FFFFFF"/>
            <w:vAlign w:val="center"/>
          </w:tcPr>
          <w:p w14:paraId="34FF2611" w14:textId="51EBE4BA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Servidores físicos locales sin escalabilidad ni elasticidad.</w:t>
            </w:r>
          </w:p>
        </w:tc>
        <w:tc>
          <w:tcPr>
            <w:tcW w:w="1901" w:type="dxa"/>
            <w:shd w:val="clear" w:color="auto" w:fill="FFFFFF"/>
            <w:vAlign w:val="center"/>
          </w:tcPr>
          <w:p w14:paraId="272287FA" w14:textId="61B28278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Infraestructura elástica, altamente disponible y redundante.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03B6BBD1" w14:textId="184419B3" w:rsidR="00276B4B" w:rsidRPr="001B481B" w:rsidRDefault="00276B4B" w:rsidP="001B481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481B">
              <w:rPr>
                <w:rFonts w:ascii="Times New Roman" w:hAnsi="Times New Roman" w:cs="Times New Roman"/>
                <w:sz w:val="20"/>
                <w:szCs w:val="20"/>
              </w:rPr>
              <w:t>Caídas del sistema en horas pico y altos costos de mantenimiento.</w:t>
            </w:r>
          </w:p>
        </w:tc>
      </w:tr>
    </w:tbl>
    <w:p w14:paraId="04A19590" w14:textId="77777777" w:rsidR="00286D72" w:rsidRPr="00286D72" w:rsidRDefault="00286D72">
      <w:pPr>
        <w:rPr>
          <w:lang w:val="es-ES"/>
        </w:rPr>
      </w:pPr>
    </w:p>
    <w:sectPr w:rsidR="00286D72" w:rsidRPr="00286D72" w:rsidSect="008F436A">
      <w:pgSz w:w="16838" w:h="11906" w:orient="landscape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72"/>
    <w:rsid w:val="001B481B"/>
    <w:rsid w:val="00276B4B"/>
    <w:rsid w:val="00286D72"/>
    <w:rsid w:val="0034425E"/>
    <w:rsid w:val="00370273"/>
    <w:rsid w:val="00385E20"/>
    <w:rsid w:val="0050362A"/>
    <w:rsid w:val="005E2DFE"/>
    <w:rsid w:val="006B2AB9"/>
    <w:rsid w:val="007205DB"/>
    <w:rsid w:val="008F436A"/>
    <w:rsid w:val="00AE6767"/>
    <w:rsid w:val="00C00CC9"/>
    <w:rsid w:val="00DA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FFB67"/>
  <w15:chartTrackingRefBased/>
  <w15:docId w15:val="{02EFB0A3-B36D-4F43-8289-887D654A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D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D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D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D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D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D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D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D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D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D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D72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86D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31</dc:creator>
  <cp:keywords/>
  <dc:description/>
  <cp:lastModifiedBy>Karel Stephanie</cp:lastModifiedBy>
  <cp:revision>3</cp:revision>
  <dcterms:created xsi:type="dcterms:W3CDTF">2026-05-30T05:02:00Z</dcterms:created>
  <dcterms:modified xsi:type="dcterms:W3CDTF">2026-05-30T05:05:00Z</dcterms:modified>
</cp:coreProperties>
</file>