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DD4EB" w14:textId="77777777" w:rsidR="00D77F10" w:rsidRDefault="00D77F10" w:rsidP="00552AF3">
      <w:pPr>
        <w:pStyle w:val="Heading1"/>
      </w:pPr>
      <w:r w:rsidRPr="00931D35">
        <w:t>Purpose</w:t>
      </w:r>
    </w:p>
    <w:p w14:paraId="7B7DF86F" w14:textId="194393CB" w:rsidR="00B42D16" w:rsidRDefault="00B42D16" w:rsidP="00B42D16">
      <w:r>
        <w:t xml:space="preserve">The purpose of this </w:t>
      </w:r>
      <w:r w:rsidR="002325FE">
        <w:t xml:space="preserve">evaluation </w:t>
      </w:r>
      <w:r>
        <w:t xml:space="preserve">is to </w:t>
      </w:r>
      <w:r w:rsidR="00B239AF">
        <w:t>assess database (D</w:t>
      </w:r>
      <w:r w:rsidR="00C21ABC">
        <w:t>B</w:t>
      </w:r>
      <w:r w:rsidR="00B239AF">
        <w:t xml:space="preserve">) </w:t>
      </w:r>
      <w:r w:rsidR="00B72F25">
        <w:t>upgrade</w:t>
      </w:r>
      <w:r w:rsidR="00B239AF">
        <w:t xml:space="preserve"> options for our Point of Sale (POS) and Reporting systems.</w:t>
      </w:r>
      <w:r>
        <w:t xml:space="preserve"> </w:t>
      </w:r>
    </w:p>
    <w:p w14:paraId="2AB0BBF4" w14:textId="77777777" w:rsidR="00B42D16" w:rsidRDefault="00B42D16" w:rsidP="00B42D16">
      <w:pPr>
        <w:pStyle w:val="Heading2"/>
      </w:pPr>
      <w:r>
        <w:t>Reason for Change</w:t>
      </w:r>
    </w:p>
    <w:p w14:paraId="72C06D16" w14:textId="7A9D8D05" w:rsidR="00AC2D1F" w:rsidRPr="00740FF5" w:rsidRDefault="003643F5" w:rsidP="00B42D16">
      <w:r>
        <w:t>O</w:t>
      </w:r>
      <w:r w:rsidR="00B239AF">
        <w:t xml:space="preserve">ur POS </w:t>
      </w:r>
      <w:r w:rsidR="00C21ABC">
        <w:t>DB</w:t>
      </w:r>
      <w:r w:rsidR="00B239AF">
        <w:t xml:space="preserve"> will not be supported point forward by the software provider.  This materially affects stability</w:t>
      </w:r>
      <w:r w:rsidR="00C21ABC">
        <w:t xml:space="preserve"> and </w:t>
      </w:r>
      <w:r w:rsidR="00B239AF">
        <w:t>security</w:t>
      </w:r>
      <w:r w:rsidR="00C21ABC">
        <w:t>.  Our Reporting DB is outdated, on version 5.7 vs 8.0.  This materially affects features</w:t>
      </w:r>
      <w:r>
        <w:t xml:space="preserve"> available</w:t>
      </w:r>
      <w:r w:rsidRPr="003643F5">
        <w:rPr>
          <w:vertAlign w:val="superscript"/>
        </w:rPr>
        <w:t>1</w:t>
      </w:r>
      <w:r w:rsidRPr="003643F5">
        <w:t>.</w:t>
      </w:r>
      <w:r w:rsidR="00AC2D1F">
        <w:t xml:space="preserve">  Regarding both, there are significant performance improvements</w:t>
      </w:r>
      <w:r w:rsidR="00AC2D1F" w:rsidRPr="00AC2D1F">
        <w:rPr>
          <w:vertAlign w:val="superscript"/>
        </w:rPr>
        <w:t>2</w:t>
      </w:r>
    </w:p>
    <w:p w14:paraId="51454788" w14:textId="77777777" w:rsidR="00B42D16" w:rsidRDefault="00B42D16" w:rsidP="00B42D16">
      <w:pPr>
        <w:pStyle w:val="Heading2"/>
      </w:pPr>
      <w:r>
        <w:t>Business Requirements</w:t>
      </w:r>
    </w:p>
    <w:p w14:paraId="69D61FDE" w14:textId="0EB20235" w:rsidR="00B42D16" w:rsidRDefault="009B366E" w:rsidP="00B42D16">
      <w:r>
        <w:t xml:space="preserve">Successful upgrade of our </w:t>
      </w:r>
      <w:r w:rsidR="002325FE">
        <w:t>[</w:t>
      </w:r>
      <w:r w:rsidR="00B42D16">
        <w:t>Describe what the users need and their expectations regarding this task.  Describe the current user experience, if applicable.</w:t>
      </w:r>
      <w:r w:rsidR="002325FE">
        <w:t>]</w:t>
      </w:r>
    </w:p>
    <w:p w14:paraId="56918454" w14:textId="77777777" w:rsidR="00B42D16" w:rsidRDefault="00B42D16" w:rsidP="00B42D16">
      <w:pPr>
        <w:pStyle w:val="Heading1"/>
      </w:pPr>
      <w:r>
        <w:t>Solutions</w:t>
      </w:r>
    </w:p>
    <w:p w14:paraId="278E6DF3" w14:textId="1DEA8D3F" w:rsidR="00B42D16" w:rsidRDefault="003643F5" w:rsidP="00B42D16">
      <w:r>
        <w:t>We can perform this migration in house</w:t>
      </w:r>
      <w:r w:rsidR="00B72F25">
        <w:t>, hire a contract employee,</w:t>
      </w:r>
      <w:r>
        <w:t xml:space="preserve"> or have a 3</w:t>
      </w:r>
      <w:r w:rsidRPr="003643F5">
        <w:rPr>
          <w:vertAlign w:val="superscript"/>
        </w:rPr>
        <w:t>rd</w:t>
      </w:r>
      <w:r>
        <w:t xml:space="preserve"> party perform this service for us.  </w:t>
      </w:r>
    </w:p>
    <w:p w14:paraId="1E1CB82E" w14:textId="77777777" w:rsidR="00B42D16" w:rsidRDefault="00B42D16" w:rsidP="00B42D16">
      <w:pPr>
        <w:pStyle w:val="Heading1"/>
      </w:pPr>
      <w:r>
        <w:t>Recommendation</w:t>
      </w:r>
    </w:p>
    <w:p w14:paraId="7B856354" w14:textId="3AA56A3F" w:rsidR="00B72F25" w:rsidRDefault="003643F5" w:rsidP="00B42D16">
      <w:r>
        <w:t>After performing analysis, we recommend having the 3</w:t>
      </w:r>
      <w:r w:rsidRPr="003643F5">
        <w:rPr>
          <w:vertAlign w:val="superscript"/>
        </w:rPr>
        <w:t>rd</w:t>
      </w:r>
      <w:r>
        <w:t xml:space="preserve"> party Pythian perform this migration.  The costs and benefits of this are enumerated in the addendum.  </w:t>
      </w:r>
    </w:p>
    <w:p w14:paraId="76E9BE90" w14:textId="77777777" w:rsidR="00B72F25" w:rsidRDefault="00B72F2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798"/>
        <w:gridCol w:w="1798"/>
        <w:gridCol w:w="1799"/>
        <w:gridCol w:w="1799"/>
        <w:gridCol w:w="1799"/>
      </w:tblGrid>
      <w:tr w:rsidR="00B72F25" w14:paraId="5385FAFD" w14:textId="77777777" w:rsidTr="009B366E">
        <w:tc>
          <w:tcPr>
            <w:tcW w:w="3596" w:type="dxa"/>
            <w:gridSpan w:val="2"/>
            <w:tcBorders>
              <w:bottom w:val="nil"/>
            </w:tcBorders>
            <w:shd w:val="clear" w:color="auto" w:fill="E2EFD9" w:themeFill="accent6" w:themeFillTint="33"/>
          </w:tcPr>
          <w:p w14:paraId="24176677" w14:textId="3CCF4179" w:rsidR="00B72F25" w:rsidRPr="00B72F25" w:rsidRDefault="00B72F25" w:rsidP="00B72F25">
            <w:pPr>
              <w:jc w:val="center"/>
              <w:rPr>
                <w:b/>
                <w:bCs/>
              </w:rPr>
            </w:pPr>
            <w:r w:rsidRPr="00B72F25">
              <w:rPr>
                <w:b/>
                <w:bCs/>
              </w:rPr>
              <w:lastRenderedPageBreak/>
              <w:t>In House</w:t>
            </w:r>
          </w:p>
        </w:tc>
        <w:tc>
          <w:tcPr>
            <w:tcW w:w="3597" w:type="dxa"/>
            <w:gridSpan w:val="2"/>
            <w:tcBorders>
              <w:bottom w:val="nil"/>
            </w:tcBorders>
            <w:shd w:val="clear" w:color="auto" w:fill="E2EFD9" w:themeFill="accent6" w:themeFillTint="33"/>
          </w:tcPr>
          <w:p w14:paraId="30C29B81" w14:textId="349352A9" w:rsidR="00B72F25" w:rsidRPr="00B72F25" w:rsidRDefault="00B72F25" w:rsidP="00B72F25">
            <w:pPr>
              <w:jc w:val="center"/>
              <w:rPr>
                <w:b/>
                <w:bCs/>
              </w:rPr>
            </w:pPr>
            <w:r w:rsidRPr="00B72F25">
              <w:rPr>
                <w:b/>
                <w:bCs/>
              </w:rPr>
              <w:t>Contract Employee</w:t>
            </w:r>
          </w:p>
        </w:tc>
        <w:tc>
          <w:tcPr>
            <w:tcW w:w="3597" w:type="dxa"/>
            <w:gridSpan w:val="2"/>
            <w:tcBorders>
              <w:bottom w:val="nil"/>
            </w:tcBorders>
            <w:shd w:val="clear" w:color="auto" w:fill="E2EFD9" w:themeFill="accent6" w:themeFillTint="33"/>
          </w:tcPr>
          <w:p w14:paraId="34D46726" w14:textId="67697BF0" w:rsidR="00B72F25" w:rsidRPr="00B72F25" w:rsidRDefault="00B72F25" w:rsidP="00B72F25">
            <w:pPr>
              <w:jc w:val="center"/>
              <w:rPr>
                <w:b/>
                <w:bCs/>
              </w:rPr>
            </w:pPr>
            <w:r w:rsidRPr="00B72F25">
              <w:rPr>
                <w:b/>
                <w:bCs/>
              </w:rPr>
              <w:t>3</w:t>
            </w:r>
            <w:r w:rsidRPr="00B72F25">
              <w:rPr>
                <w:b/>
                <w:bCs/>
                <w:vertAlign w:val="superscript"/>
              </w:rPr>
              <w:t>rd</w:t>
            </w:r>
            <w:r w:rsidRPr="00B72F25">
              <w:rPr>
                <w:b/>
                <w:bCs/>
              </w:rPr>
              <w:t xml:space="preserve"> Party</w:t>
            </w:r>
          </w:p>
        </w:tc>
      </w:tr>
      <w:tr w:rsidR="00B72F25" w14:paraId="18915E3B" w14:textId="77777777" w:rsidTr="009B366E">
        <w:tc>
          <w:tcPr>
            <w:tcW w:w="1798" w:type="dxa"/>
            <w:tcBorders>
              <w:top w:val="nil"/>
            </w:tcBorders>
            <w:shd w:val="clear" w:color="auto" w:fill="E2EFD9" w:themeFill="accent6" w:themeFillTint="33"/>
          </w:tcPr>
          <w:p w14:paraId="51AE7FE5" w14:textId="2392FAB6" w:rsidR="00B72F25" w:rsidRPr="00B72F25" w:rsidRDefault="00B72F25" w:rsidP="00B72F25">
            <w:pPr>
              <w:jc w:val="center"/>
              <w:rPr>
                <w:b/>
                <w:bCs/>
              </w:rPr>
            </w:pPr>
            <w:r w:rsidRPr="00B72F25">
              <w:rPr>
                <w:b/>
                <w:bCs/>
              </w:rPr>
              <w:t>Pros</w:t>
            </w:r>
          </w:p>
        </w:tc>
        <w:tc>
          <w:tcPr>
            <w:tcW w:w="1798" w:type="dxa"/>
            <w:tcBorders>
              <w:top w:val="nil"/>
            </w:tcBorders>
            <w:shd w:val="clear" w:color="auto" w:fill="E2EFD9" w:themeFill="accent6" w:themeFillTint="33"/>
          </w:tcPr>
          <w:p w14:paraId="2E6D4544" w14:textId="6E821602" w:rsidR="00B72F25" w:rsidRPr="00B72F25" w:rsidRDefault="00B72F25" w:rsidP="00B72F25">
            <w:pPr>
              <w:jc w:val="center"/>
              <w:rPr>
                <w:b/>
                <w:bCs/>
              </w:rPr>
            </w:pPr>
            <w:r w:rsidRPr="00B72F25">
              <w:rPr>
                <w:b/>
                <w:bCs/>
              </w:rPr>
              <w:t>Cons</w:t>
            </w:r>
          </w:p>
        </w:tc>
        <w:tc>
          <w:tcPr>
            <w:tcW w:w="1798" w:type="dxa"/>
            <w:tcBorders>
              <w:top w:val="nil"/>
            </w:tcBorders>
            <w:shd w:val="clear" w:color="auto" w:fill="E2EFD9" w:themeFill="accent6" w:themeFillTint="33"/>
          </w:tcPr>
          <w:p w14:paraId="310709B6" w14:textId="32AF4677" w:rsidR="00B72F25" w:rsidRPr="00B72F25" w:rsidRDefault="00B72F25" w:rsidP="00B72F25">
            <w:pPr>
              <w:jc w:val="center"/>
              <w:rPr>
                <w:b/>
                <w:bCs/>
              </w:rPr>
            </w:pPr>
            <w:r w:rsidRPr="00B72F25">
              <w:rPr>
                <w:b/>
                <w:bCs/>
              </w:rPr>
              <w:t>Pros</w:t>
            </w:r>
          </w:p>
        </w:tc>
        <w:tc>
          <w:tcPr>
            <w:tcW w:w="1798" w:type="dxa"/>
            <w:tcBorders>
              <w:top w:val="nil"/>
            </w:tcBorders>
            <w:shd w:val="clear" w:color="auto" w:fill="E2EFD9" w:themeFill="accent6" w:themeFillTint="33"/>
          </w:tcPr>
          <w:p w14:paraId="760C53F2" w14:textId="6F829B62" w:rsidR="00B72F25" w:rsidRPr="00B72F25" w:rsidRDefault="00B72F25" w:rsidP="00B72F25">
            <w:pPr>
              <w:jc w:val="center"/>
              <w:rPr>
                <w:b/>
                <w:bCs/>
              </w:rPr>
            </w:pPr>
            <w:r w:rsidRPr="00B72F25">
              <w:rPr>
                <w:b/>
                <w:bCs/>
              </w:rPr>
              <w:t>Cons</w:t>
            </w:r>
          </w:p>
        </w:tc>
        <w:tc>
          <w:tcPr>
            <w:tcW w:w="1799" w:type="dxa"/>
            <w:tcBorders>
              <w:top w:val="nil"/>
            </w:tcBorders>
            <w:shd w:val="clear" w:color="auto" w:fill="E2EFD9" w:themeFill="accent6" w:themeFillTint="33"/>
          </w:tcPr>
          <w:p w14:paraId="51FD5A08" w14:textId="4FE773E4" w:rsidR="00B72F25" w:rsidRPr="00B72F25" w:rsidRDefault="00B72F25" w:rsidP="00B72F25">
            <w:pPr>
              <w:jc w:val="center"/>
              <w:rPr>
                <w:b/>
                <w:bCs/>
              </w:rPr>
            </w:pPr>
            <w:r w:rsidRPr="00B72F25">
              <w:rPr>
                <w:b/>
                <w:bCs/>
              </w:rPr>
              <w:t>Pros</w:t>
            </w:r>
          </w:p>
        </w:tc>
        <w:tc>
          <w:tcPr>
            <w:tcW w:w="1799" w:type="dxa"/>
            <w:tcBorders>
              <w:top w:val="nil"/>
            </w:tcBorders>
            <w:shd w:val="clear" w:color="auto" w:fill="E2EFD9" w:themeFill="accent6" w:themeFillTint="33"/>
          </w:tcPr>
          <w:p w14:paraId="7F73CD21" w14:textId="7B8AB431" w:rsidR="00B72F25" w:rsidRPr="00B72F25" w:rsidRDefault="00B72F25" w:rsidP="00B72F25">
            <w:pPr>
              <w:jc w:val="center"/>
              <w:rPr>
                <w:b/>
                <w:bCs/>
              </w:rPr>
            </w:pPr>
            <w:r w:rsidRPr="00B72F25">
              <w:rPr>
                <w:b/>
                <w:bCs/>
              </w:rPr>
              <w:t>Cons</w:t>
            </w:r>
          </w:p>
        </w:tc>
      </w:tr>
      <w:tr w:rsidR="00B72F25" w14:paraId="6C03BC09" w14:textId="77777777" w:rsidTr="00B72F25">
        <w:tc>
          <w:tcPr>
            <w:tcW w:w="1798" w:type="dxa"/>
          </w:tcPr>
          <w:p w14:paraId="1BD8BF00" w14:textId="099BD804" w:rsidR="00B72F25" w:rsidRDefault="00C00F9D" w:rsidP="00B42D16">
            <w:r>
              <w:t xml:space="preserve">Least </w:t>
            </w:r>
            <w:r w:rsidR="00AC2D1F">
              <w:t>e</w:t>
            </w:r>
            <w:r>
              <w:t xml:space="preserve">xpensive </w:t>
            </w:r>
          </w:p>
        </w:tc>
        <w:tc>
          <w:tcPr>
            <w:tcW w:w="1798" w:type="dxa"/>
          </w:tcPr>
          <w:p w14:paraId="65241400" w14:textId="591F0B91" w:rsidR="00B72F25" w:rsidRDefault="00C00F9D" w:rsidP="00B42D16">
            <w:r>
              <w:t xml:space="preserve">High </w:t>
            </w:r>
            <w:r w:rsidR="00AC2D1F">
              <w:t>f</w:t>
            </w:r>
            <w:r>
              <w:t xml:space="preserve">ailure </w:t>
            </w:r>
            <w:r w:rsidR="00AC2D1F">
              <w:t>r</w:t>
            </w:r>
            <w:r>
              <w:t>isk</w:t>
            </w:r>
          </w:p>
        </w:tc>
        <w:tc>
          <w:tcPr>
            <w:tcW w:w="1798" w:type="dxa"/>
          </w:tcPr>
          <w:p w14:paraId="34203C43" w14:textId="4B1AEA77" w:rsidR="00B72F25" w:rsidRDefault="00C00F9D" w:rsidP="00B42D16">
            <w:r>
              <w:t xml:space="preserve">Medium </w:t>
            </w:r>
            <w:r w:rsidR="00AC2D1F">
              <w:t>f</w:t>
            </w:r>
            <w:r>
              <w:t xml:space="preserve">ailure </w:t>
            </w:r>
            <w:r w:rsidR="00AC2D1F">
              <w:t>r</w:t>
            </w:r>
            <w:r>
              <w:t>isk</w:t>
            </w:r>
          </w:p>
        </w:tc>
        <w:tc>
          <w:tcPr>
            <w:tcW w:w="1798" w:type="dxa"/>
          </w:tcPr>
          <w:p w14:paraId="53B49E45" w14:textId="2EA80C1D" w:rsidR="00B72F25" w:rsidRDefault="00C00F9D" w:rsidP="00B42D16">
            <w:r>
              <w:t>Security</w:t>
            </w:r>
          </w:p>
        </w:tc>
        <w:tc>
          <w:tcPr>
            <w:tcW w:w="1799" w:type="dxa"/>
          </w:tcPr>
          <w:p w14:paraId="5328A54A" w14:textId="6B9C2A34" w:rsidR="00B72F25" w:rsidRDefault="00C00F9D" w:rsidP="00B42D16">
            <w:r>
              <w:t xml:space="preserve">Lowest </w:t>
            </w:r>
            <w:r w:rsidR="00AC2D1F">
              <w:t>f</w:t>
            </w:r>
            <w:r>
              <w:t xml:space="preserve">ailure </w:t>
            </w:r>
            <w:r w:rsidR="00AC2D1F">
              <w:t>r</w:t>
            </w:r>
            <w:r>
              <w:t>isk</w:t>
            </w:r>
          </w:p>
        </w:tc>
        <w:tc>
          <w:tcPr>
            <w:tcW w:w="1799" w:type="dxa"/>
          </w:tcPr>
          <w:p w14:paraId="5959FB1F" w14:textId="2370E54C" w:rsidR="00B72F25" w:rsidRDefault="00C00F9D" w:rsidP="00B42D16">
            <w:r>
              <w:t xml:space="preserve">Most </w:t>
            </w:r>
            <w:r w:rsidR="00AC2D1F">
              <w:t>e</w:t>
            </w:r>
            <w:r>
              <w:t>xpensive</w:t>
            </w:r>
          </w:p>
        </w:tc>
      </w:tr>
      <w:tr w:rsidR="00C00F9D" w14:paraId="702296FD" w14:textId="77777777" w:rsidTr="00B72F25">
        <w:tc>
          <w:tcPr>
            <w:tcW w:w="1798" w:type="dxa"/>
          </w:tcPr>
          <w:p w14:paraId="7C536C60" w14:textId="7BB01860" w:rsidR="00C00F9D" w:rsidRDefault="00C00F9D" w:rsidP="00B42D16">
            <w:r>
              <w:t xml:space="preserve">Gain </w:t>
            </w:r>
            <w:r w:rsidR="00AC2D1F">
              <w:t>v</w:t>
            </w:r>
            <w:r>
              <w:t xml:space="preserve">aluable </w:t>
            </w:r>
            <w:r w:rsidR="00AC2D1F">
              <w:t>e</w:t>
            </w:r>
            <w:r>
              <w:t>xperience</w:t>
            </w:r>
          </w:p>
        </w:tc>
        <w:tc>
          <w:tcPr>
            <w:tcW w:w="1798" w:type="dxa"/>
          </w:tcPr>
          <w:p w14:paraId="2771877A" w14:textId="3299FB74" w:rsidR="00C00F9D" w:rsidRDefault="00C00F9D" w:rsidP="00B42D16">
            <w:r>
              <w:t xml:space="preserve">Time </w:t>
            </w:r>
            <w:r w:rsidR="00AC2D1F">
              <w:t>c</w:t>
            </w:r>
            <w:r>
              <w:t>onsuming: Rob and I finding time amidst other priorities</w:t>
            </w:r>
          </w:p>
        </w:tc>
        <w:tc>
          <w:tcPr>
            <w:tcW w:w="1798" w:type="dxa"/>
          </w:tcPr>
          <w:p w14:paraId="49671CAD" w14:textId="118ED003" w:rsidR="00C00F9D" w:rsidRDefault="00C00F9D" w:rsidP="00B42D16">
            <w:r>
              <w:t xml:space="preserve">Good </w:t>
            </w:r>
            <w:r w:rsidR="00AC2D1F">
              <w:t>b</w:t>
            </w:r>
            <w:r>
              <w:t xml:space="preserve">alance of </w:t>
            </w:r>
            <w:r w:rsidR="00AC2D1F">
              <w:t>c</w:t>
            </w:r>
            <w:r>
              <w:t xml:space="preserve">ost to </w:t>
            </w:r>
            <w:r w:rsidR="00AC2D1F">
              <w:t>v</w:t>
            </w:r>
            <w:r>
              <w:t>alue</w:t>
            </w:r>
          </w:p>
        </w:tc>
        <w:tc>
          <w:tcPr>
            <w:tcW w:w="1798" w:type="dxa"/>
          </w:tcPr>
          <w:p w14:paraId="13C3EC05" w14:textId="6395B373" w:rsidR="00C00F9D" w:rsidRDefault="00C00F9D" w:rsidP="00C00F9D">
            <w:r>
              <w:t>Warranty: accountability if failure</w:t>
            </w:r>
          </w:p>
        </w:tc>
        <w:tc>
          <w:tcPr>
            <w:tcW w:w="1799" w:type="dxa"/>
          </w:tcPr>
          <w:p w14:paraId="5E42471E" w14:textId="6B680E94" w:rsidR="00C00F9D" w:rsidRDefault="00C00F9D" w:rsidP="00B42D16">
            <w:r>
              <w:t>Warranty, Most Accountable if Failure</w:t>
            </w:r>
          </w:p>
        </w:tc>
        <w:tc>
          <w:tcPr>
            <w:tcW w:w="1799" w:type="dxa"/>
          </w:tcPr>
          <w:p w14:paraId="2FAF38CB" w14:textId="77777777" w:rsidR="00C00F9D" w:rsidRDefault="00C00F9D" w:rsidP="00B42D16"/>
        </w:tc>
      </w:tr>
      <w:tr w:rsidR="00C00F9D" w14:paraId="150C574A" w14:textId="77777777" w:rsidTr="00B72F25">
        <w:tc>
          <w:tcPr>
            <w:tcW w:w="1798" w:type="dxa"/>
          </w:tcPr>
          <w:p w14:paraId="6BF6AB12" w14:textId="77777777" w:rsidR="00C00F9D" w:rsidRDefault="00C00F9D" w:rsidP="00B42D16"/>
        </w:tc>
        <w:tc>
          <w:tcPr>
            <w:tcW w:w="1798" w:type="dxa"/>
          </w:tcPr>
          <w:p w14:paraId="710DD1E3" w14:textId="77777777" w:rsidR="00C00F9D" w:rsidRDefault="00C00F9D" w:rsidP="00B42D16"/>
        </w:tc>
        <w:tc>
          <w:tcPr>
            <w:tcW w:w="1798" w:type="dxa"/>
          </w:tcPr>
          <w:p w14:paraId="3A39F783" w14:textId="0CA923E7" w:rsidR="00C00F9D" w:rsidRDefault="009B366E" w:rsidP="00B42D16">
            <w:r>
              <w:t xml:space="preserve">Expertise In </w:t>
            </w:r>
            <w:r w:rsidR="00AC2D1F">
              <w:t>d</w:t>
            </w:r>
            <w:r>
              <w:t xml:space="preserve">eploying and </w:t>
            </w:r>
            <w:r w:rsidR="00AC2D1F">
              <w:t>c</w:t>
            </w:r>
            <w:r>
              <w:t>onfiguration</w:t>
            </w:r>
          </w:p>
        </w:tc>
        <w:tc>
          <w:tcPr>
            <w:tcW w:w="1798" w:type="dxa"/>
          </w:tcPr>
          <w:p w14:paraId="5FF7F6DB" w14:textId="1277925E" w:rsidR="00C00F9D" w:rsidRDefault="00C00F9D" w:rsidP="00C00F9D">
            <w:r>
              <w:t xml:space="preserve">Hiring Process: time consuming, HR </w:t>
            </w:r>
            <w:proofErr w:type="gramStart"/>
            <w:r>
              <w:t>has to</w:t>
            </w:r>
            <w:proofErr w:type="gramEnd"/>
            <w:r>
              <w:t xml:space="preserve"> be involved</w:t>
            </w:r>
          </w:p>
          <w:p w14:paraId="5CD934C7" w14:textId="56DC6412" w:rsidR="00C00F9D" w:rsidRDefault="00C00F9D" w:rsidP="00C00F9D"/>
        </w:tc>
        <w:tc>
          <w:tcPr>
            <w:tcW w:w="1799" w:type="dxa"/>
          </w:tcPr>
          <w:p w14:paraId="13CAAE7B" w14:textId="102B4BEE" w:rsidR="00C00F9D" w:rsidRDefault="00C00F9D" w:rsidP="00B42D16">
            <w:r>
              <w:t xml:space="preserve">Determinate </w:t>
            </w:r>
            <w:r w:rsidR="00AC2D1F">
              <w:t>c</w:t>
            </w:r>
            <w:r>
              <w:t>ost: estimated cost is the cost</w:t>
            </w:r>
          </w:p>
        </w:tc>
        <w:tc>
          <w:tcPr>
            <w:tcW w:w="1799" w:type="dxa"/>
          </w:tcPr>
          <w:p w14:paraId="7779E140" w14:textId="77777777" w:rsidR="00C00F9D" w:rsidRDefault="00C00F9D" w:rsidP="00B42D16"/>
          <w:p w14:paraId="749D228B" w14:textId="77777777" w:rsidR="00C00F9D" w:rsidRDefault="00C00F9D" w:rsidP="00B42D16"/>
          <w:p w14:paraId="619465A5" w14:textId="19C34E3C" w:rsidR="00C00F9D" w:rsidRDefault="00C00F9D" w:rsidP="00B42D16"/>
        </w:tc>
      </w:tr>
      <w:tr w:rsidR="00C00F9D" w14:paraId="3C0E6FD9" w14:textId="77777777" w:rsidTr="00B72F25">
        <w:tc>
          <w:tcPr>
            <w:tcW w:w="1798" w:type="dxa"/>
          </w:tcPr>
          <w:p w14:paraId="0ABF6661" w14:textId="77777777" w:rsidR="00C00F9D" w:rsidRDefault="00C00F9D" w:rsidP="00B42D16"/>
        </w:tc>
        <w:tc>
          <w:tcPr>
            <w:tcW w:w="1798" w:type="dxa"/>
          </w:tcPr>
          <w:p w14:paraId="6BC754E7" w14:textId="77777777" w:rsidR="00C00F9D" w:rsidRDefault="00C00F9D" w:rsidP="00B42D16"/>
        </w:tc>
        <w:tc>
          <w:tcPr>
            <w:tcW w:w="1798" w:type="dxa"/>
          </w:tcPr>
          <w:p w14:paraId="59110E90" w14:textId="3D909A95" w:rsidR="00C00F9D" w:rsidRDefault="00AC2D1F" w:rsidP="00B42D16">
            <w:r>
              <w:t>Establishes relationship for future consulting and support</w:t>
            </w:r>
          </w:p>
        </w:tc>
        <w:tc>
          <w:tcPr>
            <w:tcW w:w="1798" w:type="dxa"/>
          </w:tcPr>
          <w:p w14:paraId="7E6892D5" w14:textId="07B86611" w:rsidR="00C00F9D" w:rsidRDefault="00C00F9D" w:rsidP="00C00F9D">
            <w:r>
              <w:t xml:space="preserve">Indeterminate </w:t>
            </w:r>
            <w:r w:rsidR="00AC2D1F">
              <w:t>c</w:t>
            </w:r>
            <w:r>
              <w:t xml:space="preserve">ost: what happens if contract period </w:t>
            </w:r>
            <w:proofErr w:type="gramStart"/>
            <w:r>
              <w:t>has to</w:t>
            </w:r>
            <w:proofErr w:type="gramEnd"/>
            <w:r>
              <w:t xml:space="preserve"> be extended</w:t>
            </w:r>
          </w:p>
        </w:tc>
        <w:tc>
          <w:tcPr>
            <w:tcW w:w="1799" w:type="dxa"/>
          </w:tcPr>
          <w:p w14:paraId="0CD6047F" w14:textId="42E65362" w:rsidR="00C00F9D" w:rsidRDefault="00AC2D1F" w:rsidP="00B42D16">
            <w:r>
              <w:t>Expertise In deploying and configuration</w:t>
            </w:r>
          </w:p>
        </w:tc>
        <w:tc>
          <w:tcPr>
            <w:tcW w:w="1799" w:type="dxa"/>
          </w:tcPr>
          <w:p w14:paraId="062E5290" w14:textId="77777777" w:rsidR="00C00F9D" w:rsidRDefault="00C00F9D" w:rsidP="00B42D16"/>
          <w:p w14:paraId="09772D38" w14:textId="76E9E620" w:rsidR="00AC2D1F" w:rsidRDefault="00AC2D1F" w:rsidP="00B42D16"/>
        </w:tc>
      </w:tr>
      <w:tr w:rsidR="00AC2D1F" w14:paraId="1703748C" w14:textId="77777777" w:rsidTr="00B72F25">
        <w:tc>
          <w:tcPr>
            <w:tcW w:w="1798" w:type="dxa"/>
          </w:tcPr>
          <w:p w14:paraId="0CAEF291" w14:textId="77777777" w:rsidR="00AC2D1F" w:rsidRDefault="00AC2D1F" w:rsidP="00B42D16"/>
        </w:tc>
        <w:tc>
          <w:tcPr>
            <w:tcW w:w="1798" w:type="dxa"/>
          </w:tcPr>
          <w:p w14:paraId="2E9C6A49" w14:textId="77777777" w:rsidR="00AC2D1F" w:rsidRDefault="00AC2D1F" w:rsidP="00B42D16"/>
        </w:tc>
        <w:tc>
          <w:tcPr>
            <w:tcW w:w="1798" w:type="dxa"/>
          </w:tcPr>
          <w:p w14:paraId="41A6428B" w14:textId="77777777" w:rsidR="00AC2D1F" w:rsidRDefault="00AC2D1F" w:rsidP="00B42D16"/>
        </w:tc>
        <w:tc>
          <w:tcPr>
            <w:tcW w:w="1798" w:type="dxa"/>
          </w:tcPr>
          <w:p w14:paraId="2253A80A" w14:textId="77777777" w:rsidR="00AC2D1F" w:rsidRDefault="00AC2D1F" w:rsidP="00C00F9D"/>
        </w:tc>
        <w:tc>
          <w:tcPr>
            <w:tcW w:w="1799" w:type="dxa"/>
          </w:tcPr>
          <w:p w14:paraId="7E623D6E" w14:textId="218F52E4" w:rsidR="00AC2D1F" w:rsidRDefault="00AC2D1F" w:rsidP="00B42D16">
            <w:r>
              <w:t>Establishes relationship for future consulting and support</w:t>
            </w:r>
          </w:p>
        </w:tc>
        <w:tc>
          <w:tcPr>
            <w:tcW w:w="1799" w:type="dxa"/>
          </w:tcPr>
          <w:p w14:paraId="19DB8ED6" w14:textId="126BA84F" w:rsidR="00AC2D1F" w:rsidRDefault="00AC2D1F" w:rsidP="00B42D16"/>
        </w:tc>
      </w:tr>
    </w:tbl>
    <w:p w14:paraId="17F8B0DA" w14:textId="054A953E" w:rsidR="00B42D16" w:rsidRDefault="00B42D16" w:rsidP="00B42D16"/>
    <w:p w14:paraId="3888EC71" w14:textId="232CE71B" w:rsidR="009B366E" w:rsidRDefault="009B366E" w:rsidP="009B366E">
      <w:pPr>
        <w:pStyle w:val="ListParagraph"/>
        <w:numPr>
          <w:ilvl w:val="0"/>
          <w:numId w:val="26"/>
        </w:numPr>
      </w:pPr>
      <w:r>
        <w:t>Features of MySQL 8.x</w:t>
      </w:r>
    </w:p>
    <w:p w14:paraId="54E4384D" w14:textId="77777777" w:rsidR="009B366E" w:rsidRDefault="009B366E" w:rsidP="009B366E">
      <w:pPr>
        <w:pStyle w:val="ListParagraph"/>
        <w:numPr>
          <w:ilvl w:val="1"/>
          <w:numId w:val="26"/>
        </w:numPr>
      </w:pPr>
      <w:r>
        <w:t>Enhanced JSON support (data formatting commonly used for exchange of information on Web) included better functions, storage, search, and editability</w:t>
      </w:r>
    </w:p>
    <w:p w14:paraId="6F128D36" w14:textId="0937E983" w:rsidR="009B366E" w:rsidRDefault="009B366E" w:rsidP="009B366E">
      <w:pPr>
        <w:pStyle w:val="ListParagraph"/>
        <w:numPr>
          <w:ilvl w:val="1"/>
          <w:numId w:val="26"/>
        </w:numPr>
      </w:pPr>
      <w:r>
        <w:t>Common Table Expressions (allows ranking); EG a report that shows the top 10 SKUs by every location</w:t>
      </w:r>
      <w:r w:rsidR="00AC2D1F">
        <w:t>; can be done currently but is arduous</w:t>
      </w:r>
    </w:p>
    <w:p w14:paraId="7CC310FF" w14:textId="6D144418" w:rsidR="00AC2D1F" w:rsidRPr="00B42D16" w:rsidRDefault="00AC2D1F" w:rsidP="00F24A58">
      <w:pPr>
        <w:pStyle w:val="ListParagraph"/>
        <w:numPr>
          <w:ilvl w:val="0"/>
          <w:numId w:val="26"/>
        </w:numPr>
      </w:pPr>
      <w:hyperlink r:id="rId9" w:history="1">
        <w:r w:rsidRPr="006F7F35">
          <w:rPr>
            <w:rStyle w:val="Hyperlink"/>
          </w:rPr>
          <w:t>https://severalnines.com/database-blog/mysql-performance-benchmarking-mysql-57-vs-mysql-80</w:t>
        </w:r>
      </w:hyperlink>
    </w:p>
    <w:sectPr w:rsidR="00AC2D1F" w:rsidRPr="00B42D16" w:rsidSect="0003037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E5133" w14:textId="77777777" w:rsidR="00B239AF" w:rsidRDefault="00B239AF" w:rsidP="0003037B">
      <w:pPr>
        <w:spacing w:after="0" w:line="240" w:lineRule="auto"/>
      </w:pPr>
      <w:r>
        <w:separator/>
      </w:r>
    </w:p>
  </w:endnote>
  <w:endnote w:type="continuationSeparator" w:id="0">
    <w:p w14:paraId="58AC1E78" w14:textId="77777777" w:rsidR="00B239AF" w:rsidRDefault="00B239AF" w:rsidP="0003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B94C5" w14:textId="77777777" w:rsidR="008A613E" w:rsidRDefault="008A613E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45"/>
      <w:gridCol w:w="3285"/>
      <w:gridCol w:w="3285"/>
      <w:gridCol w:w="1075"/>
    </w:tblGrid>
    <w:tr w:rsidR="00B42D16" w14:paraId="369192D0" w14:textId="77777777" w:rsidTr="004B3495">
      <w:tc>
        <w:tcPr>
          <w:tcW w:w="314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65F6FDDD" w14:textId="77777777" w:rsidR="00B42D16" w:rsidRDefault="00B42D16" w:rsidP="00B42D16">
          <w:pPr>
            <w:pStyle w:val="Footer"/>
            <w:tabs>
              <w:tab w:val="clear" w:pos="4680"/>
              <w:tab w:val="clear" w:pos="9360"/>
              <w:tab w:val="left" w:pos="1058"/>
            </w:tabs>
          </w:pPr>
          <w:r>
            <w:t>Prepared by:</w:t>
          </w:r>
        </w:p>
      </w:tc>
      <w:tc>
        <w:tcPr>
          <w:tcW w:w="328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4F75FF3F" w14:textId="77777777" w:rsidR="00B42D16" w:rsidRDefault="00B42D16" w:rsidP="00B42D16">
          <w:pPr>
            <w:pStyle w:val="Footer"/>
          </w:pPr>
          <w:r>
            <w:t>Prepared for:</w:t>
          </w:r>
        </w:p>
      </w:tc>
      <w:tc>
        <w:tcPr>
          <w:tcW w:w="3285" w:type="dxa"/>
        </w:tcPr>
        <w:p w14:paraId="7CCDE64E" w14:textId="77777777" w:rsidR="00B42D16" w:rsidRDefault="00B42D16" w:rsidP="00B42D16">
          <w:pPr>
            <w:pStyle w:val="Footer"/>
            <w:jc w:val="right"/>
          </w:pPr>
          <w:r>
            <w:t xml:space="preserve">Version Date:  </w:t>
          </w:r>
          <w:sdt>
            <w:sdtPr>
              <w:rPr>
                <w:color w:val="000000" w:themeColor="text1"/>
                <w:szCs w:val="18"/>
              </w:rPr>
              <w:alias w:val="Date"/>
              <w:tag w:val=""/>
              <w:id w:val="-307710895"/>
              <w:dataBinding w:prefixMappings="xmlns:ns0='http://schemas.microsoft.com/office/2006/coverPageProps' " w:xpath="/ns0:CoverPageProperties[1]/ns0:PublishDate[1]" w:storeItemID="{55AF091B-3C7A-41E3-B477-F2FDAA23CFDA}"/>
              <w:date w:fullDate="2020-11-06T00:00:00Z"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>
                <w:rPr>
                  <w:color w:val="000000" w:themeColor="text1"/>
                  <w:szCs w:val="18"/>
                </w:rPr>
                <w:t>November 6, 2020</w:t>
              </w:r>
            </w:sdtContent>
          </w:sdt>
        </w:p>
      </w:tc>
      <w:tc>
        <w:tcPr>
          <w:tcW w:w="107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0209370D" w14:textId="77777777" w:rsidR="00B42D16" w:rsidRDefault="00B42D16" w:rsidP="001A1894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09BA0C09" w14:textId="77777777" w:rsidR="008A613E" w:rsidRDefault="0073510D" w:rsidP="0073510D">
    <w:pPr>
      <w:pStyle w:val="Subtitle"/>
    </w:pPr>
    <w:r>
      <w:t>For internal use only</w:t>
    </w:r>
    <w:r>
      <w:ptab w:relativeTo="margin" w:alignment="right" w:leader="none"/>
    </w:r>
    <w:r>
      <w:t>Uncontrolled copy when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D255A" w14:textId="77777777" w:rsidR="00B239AF" w:rsidRDefault="00B239AF" w:rsidP="0003037B">
      <w:pPr>
        <w:spacing w:after="0" w:line="240" w:lineRule="auto"/>
      </w:pPr>
      <w:r>
        <w:separator/>
      </w:r>
    </w:p>
  </w:footnote>
  <w:footnote w:type="continuationSeparator" w:id="0">
    <w:p w14:paraId="40335DEB" w14:textId="77777777" w:rsidR="00B239AF" w:rsidRDefault="00B239AF" w:rsidP="0003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003B4" w14:textId="77777777" w:rsidR="00B83591" w:rsidRDefault="0003037B" w:rsidP="00B42D16">
    <w:pPr>
      <w:pStyle w:val="Header"/>
      <w:jc w:val="right"/>
      <w:rPr>
        <w:b/>
        <w:bCs/>
        <w:color w:val="005137"/>
        <w:sz w:val="28"/>
        <w:szCs w:val="28"/>
      </w:rPr>
    </w:pPr>
    <w:r w:rsidRPr="00CA6568">
      <w:rPr>
        <w:noProof/>
      </w:rPr>
      <w:drawing>
        <wp:anchor distT="0" distB="0" distL="114300" distR="114300" simplePos="0" relativeHeight="251659264" behindDoc="1" locked="0" layoutInCell="1" allowOverlap="1" wp14:anchorId="12C3E3ED" wp14:editId="000BA596">
          <wp:simplePos x="0" y="0"/>
          <wp:positionH relativeFrom="margin">
            <wp:align>left</wp:align>
          </wp:positionH>
          <wp:positionV relativeFrom="paragraph">
            <wp:posOffset>-257175</wp:posOffset>
          </wp:positionV>
          <wp:extent cx="1536192" cy="603504"/>
          <wp:effectExtent l="0" t="0" r="6985" b="635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OD Logo 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192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2D16">
      <w:rPr>
        <w:b/>
        <w:bCs/>
        <w:color w:val="005137"/>
        <w:sz w:val="28"/>
        <w:szCs w:val="28"/>
      </w:rPr>
      <w:t>Vendor/Software Evaluation</w:t>
    </w:r>
  </w:p>
  <w:p w14:paraId="6D42D395" w14:textId="37BBF437" w:rsidR="00B72F25" w:rsidRPr="00B72F25" w:rsidRDefault="00B72F25" w:rsidP="00B72F25">
    <w:pPr>
      <w:pStyle w:val="Subtitle"/>
      <w:jc w:val="center"/>
    </w:pPr>
    <w:r>
      <w:rPr>
        <w:rStyle w:val="TitleChar"/>
      </w:rPr>
      <w:t>Database Upgrades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B1614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584F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AE03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2C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1CE96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646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EE5E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38E5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484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F073B"/>
    <w:multiLevelType w:val="hybridMultilevel"/>
    <w:tmpl w:val="F712F75E"/>
    <w:lvl w:ilvl="0" w:tplc="A7D6677C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8ED1105"/>
    <w:multiLevelType w:val="hybridMultilevel"/>
    <w:tmpl w:val="33A6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64592"/>
    <w:multiLevelType w:val="hybridMultilevel"/>
    <w:tmpl w:val="65B2C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07371"/>
    <w:multiLevelType w:val="hybridMultilevel"/>
    <w:tmpl w:val="EC56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7297A"/>
    <w:multiLevelType w:val="hybridMultilevel"/>
    <w:tmpl w:val="BEDA5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076AF"/>
    <w:multiLevelType w:val="multilevel"/>
    <w:tmpl w:val="559EF2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1005F59"/>
    <w:multiLevelType w:val="multilevel"/>
    <w:tmpl w:val="7982EA9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0784EB5"/>
    <w:multiLevelType w:val="hybridMultilevel"/>
    <w:tmpl w:val="6F00D120"/>
    <w:lvl w:ilvl="0" w:tplc="4EBE33D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22B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392120"/>
    <w:multiLevelType w:val="hybridMultilevel"/>
    <w:tmpl w:val="A2948DA6"/>
    <w:lvl w:ilvl="0" w:tplc="82DE087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F1CD1"/>
    <w:multiLevelType w:val="multilevel"/>
    <w:tmpl w:val="8F52B0F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582789D"/>
    <w:multiLevelType w:val="multilevel"/>
    <w:tmpl w:val="34FACCB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69575C4"/>
    <w:multiLevelType w:val="hybridMultilevel"/>
    <w:tmpl w:val="F8EE4806"/>
    <w:lvl w:ilvl="0" w:tplc="1DB4D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22439"/>
    <w:multiLevelType w:val="hybridMultilevel"/>
    <w:tmpl w:val="896C7E20"/>
    <w:lvl w:ilvl="0" w:tplc="AAFC17DE">
      <w:start w:val="1"/>
      <w:numFmt w:val="decimal"/>
      <w:pStyle w:val="Heading6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34030"/>
    <w:multiLevelType w:val="multilevel"/>
    <w:tmpl w:val="34FACCB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3"/>
  </w:num>
  <w:num w:numId="13">
    <w:abstractNumId w:val="11"/>
  </w:num>
  <w:num w:numId="14">
    <w:abstractNumId w:val="17"/>
  </w:num>
  <w:num w:numId="15">
    <w:abstractNumId w:val="18"/>
  </w:num>
  <w:num w:numId="16">
    <w:abstractNumId w:val="24"/>
  </w:num>
  <w:num w:numId="17">
    <w:abstractNumId w:val="16"/>
  </w:num>
  <w:num w:numId="18">
    <w:abstractNumId w:val="21"/>
  </w:num>
  <w:num w:numId="19">
    <w:abstractNumId w:val="14"/>
  </w:num>
  <w:num w:numId="20">
    <w:abstractNumId w:val="22"/>
  </w:num>
  <w:num w:numId="21">
    <w:abstractNumId w:val="15"/>
  </w:num>
  <w:num w:numId="22">
    <w:abstractNumId w:val="10"/>
  </w:num>
  <w:num w:numId="23">
    <w:abstractNumId w:val="23"/>
  </w:num>
  <w:num w:numId="24">
    <w:abstractNumId w:val="10"/>
  </w:num>
  <w:num w:numId="25">
    <w:abstractNumId w:val="2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AF"/>
    <w:rsid w:val="0003037B"/>
    <w:rsid w:val="00034532"/>
    <w:rsid w:val="0004054C"/>
    <w:rsid w:val="000413E2"/>
    <w:rsid w:val="00045EAF"/>
    <w:rsid w:val="00084922"/>
    <w:rsid w:val="000A7599"/>
    <w:rsid w:val="000C0FBA"/>
    <w:rsid w:val="001432C4"/>
    <w:rsid w:val="00160633"/>
    <w:rsid w:val="0016698A"/>
    <w:rsid w:val="001A1894"/>
    <w:rsid w:val="001B5661"/>
    <w:rsid w:val="001F4A87"/>
    <w:rsid w:val="002325FE"/>
    <w:rsid w:val="00250D4F"/>
    <w:rsid w:val="00270448"/>
    <w:rsid w:val="002B7237"/>
    <w:rsid w:val="002F76C7"/>
    <w:rsid w:val="0030481C"/>
    <w:rsid w:val="003063CF"/>
    <w:rsid w:val="00314AFA"/>
    <w:rsid w:val="003643F5"/>
    <w:rsid w:val="003934E9"/>
    <w:rsid w:val="003A0CCA"/>
    <w:rsid w:val="00403B9D"/>
    <w:rsid w:val="0045597A"/>
    <w:rsid w:val="00477163"/>
    <w:rsid w:val="004E3DF7"/>
    <w:rsid w:val="005235B5"/>
    <w:rsid w:val="00545252"/>
    <w:rsid w:val="00552AF3"/>
    <w:rsid w:val="00573722"/>
    <w:rsid w:val="00577AF6"/>
    <w:rsid w:val="005C02AC"/>
    <w:rsid w:val="005F7075"/>
    <w:rsid w:val="006367FE"/>
    <w:rsid w:val="00646377"/>
    <w:rsid w:val="00697F0B"/>
    <w:rsid w:val="006C235B"/>
    <w:rsid w:val="006E7ABB"/>
    <w:rsid w:val="0073510D"/>
    <w:rsid w:val="007579BE"/>
    <w:rsid w:val="00766A15"/>
    <w:rsid w:val="00766EA9"/>
    <w:rsid w:val="007F36FC"/>
    <w:rsid w:val="008049BE"/>
    <w:rsid w:val="00836414"/>
    <w:rsid w:val="00866FB8"/>
    <w:rsid w:val="00881873"/>
    <w:rsid w:val="008A613E"/>
    <w:rsid w:val="008B696D"/>
    <w:rsid w:val="008D4F8B"/>
    <w:rsid w:val="008D6F97"/>
    <w:rsid w:val="00931D35"/>
    <w:rsid w:val="00973A34"/>
    <w:rsid w:val="009B366E"/>
    <w:rsid w:val="009D3EC5"/>
    <w:rsid w:val="00A03C18"/>
    <w:rsid w:val="00A66642"/>
    <w:rsid w:val="00AC2D1F"/>
    <w:rsid w:val="00AD4F00"/>
    <w:rsid w:val="00B12F63"/>
    <w:rsid w:val="00B239AF"/>
    <w:rsid w:val="00B42D16"/>
    <w:rsid w:val="00B66F07"/>
    <w:rsid w:val="00B72F25"/>
    <w:rsid w:val="00B83591"/>
    <w:rsid w:val="00BC6292"/>
    <w:rsid w:val="00C00F9D"/>
    <w:rsid w:val="00C21ABC"/>
    <w:rsid w:val="00C44329"/>
    <w:rsid w:val="00C57706"/>
    <w:rsid w:val="00C6421F"/>
    <w:rsid w:val="00C7718B"/>
    <w:rsid w:val="00C92291"/>
    <w:rsid w:val="00D05597"/>
    <w:rsid w:val="00D2469E"/>
    <w:rsid w:val="00D77F10"/>
    <w:rsid w:val="00D83FCD"/>
    <w:rsid w:val="00DA2262"/>
    <w:rsid w:val="00DD7BB9"/>
    <w:rsid w:val="00E2433B"/>
    <w:rsid w:val="00F0655D"/>
    <w:rsid w:val="00F57872"/>
    <w:rsid w:val="00F65FFC"/>
    <w:rsid w:val="00F96AE6"/>
    <w:rsid w:val="00FD7D86"/>
    <w:rsid w:val="00FE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E8269"/>
  <w15:chartTrackingRefBased/>
  <w15:docId w15:val="{B81FB9DD-DE61-424F-AADB-A40A53A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AFA"/>
  </w:style>
  <w:style w:type="paragraph" w:styleId="Heading1">
    <w:name w:val="heading 1"/>
    <w:basedOn w:val="Normal"/>
    <w:next w:val="Normal"/>
    <w:link w:val="Heading1Char"/>
    <w:uiPriority w:val="9"/>
    <w:qFormat/>
    <w:rsid w:val="00836414"/>
    <w:pPr>
      <w:keepNext/>
      <w:keepLines/>
      <w:pBdr>
        <w:top w:val="single" w:sz="4" w:space="4" w:color="auto"/>
      </w:pBdr>
      <w:spacing w:before="240" w:after="12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414"/>
    <w:pPr>
      <w:keepNext/>
      <w:keepLines/>
      <w:spacing w:before="40" w:after="6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414"/>
    <w:pPr>
      <w:keepNext/>
      <w:keepLines/>
      <w:spacing w:before="40" w:after="0"/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AE6"/>
    <w:pPr>
      <w:keepNext/>
      <w:keepLines/>
      <w:spacing w:before="40" w:after="0"/>
      <w:outlineLvl w:val="3"/>
    </w:pPr>
    <w:rPr>
      <w:rFonts w:ascii="Arial" w:eastAsiaTheme="majorEastAsia" w:hAnsi="Arial" w:cs="Arial"/>
      <w:b/>
      <w:bCs/>
      <w:color w:val="808080" w:themeColor="background1" w:themeShade="8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AE6"/>
    <w:pPr>
      <w:keepNext/>
      <w:keepLines/>
      <w:spacing w:before="40" w:after="0"/>
      <w:outlineLvl w:val="4"/>
    </w:pPr>
    <w:rPr>
      <w:rFonts w:ascii="Arial" w:eastAsiaTheme="majorEastAsia" w:hAnsi="Arial" w:cs="Arial"/>
      <w:i/>
      <w:iCs/>
      <w:color w:val="808080" w:themeColor="background1" w:themeShade="8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633"/>
    <w:pPr>
      <w:keepNext/>
      <w:keepLines/>
      <w:numPr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633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633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633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7B"/>
  </w:style>
  <w:style w:type="paragraph" w:styleId="Footer">
    <w:name w:val="footer"/>
    <w:basedOn w:val="Normal"/>
    <w:link w:val="FooterChar"/>
    <w:uiPriority w:val="99"/>
    <w:unhideWhenUsed/>
    <w:rsid w:val="00C44329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44329"/>
    <w:rPr>
      <w:sz w:val="18"/>
    </w:rPr>
  </w:style>
  <w:style w:type="table" w:styleId="TableGrid">
    <w:name w:val="Table Grid"/>
    <w:basedOn w:val="TableNormal"/>
    <w:uiPriority w:val="39"/>
    <w:rsid w:val="008A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4532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532"/>
    <w:rPr>
      <w:rFonts w:ascii="Arial" w:eastAsiaTheme="majorEastAsia" w:hAnsi="Arial" w:cs="Arial"/>
      <w:b/>
      <w:bCs/>
      <w:sz w:val="26"/>
      <w:szCs w:val="26"/>
    </w:rPr>
  </w:style>
  <w:style w:type="paragraph" w:styleId="Title">
    <w:name w:val="Title"/>
    <w:basedOn w:val="Header"/>
    <w:next w:val="Normal"/>
    <w:link w:val="TitleChar"/>
    <w:uiPriority w:val="10"/>
    <w:qFormat/>
    <w:rsid w:val="00577AF6"/>
    <w:rPr>
      <w:color w:val="005137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7AF6"/>
    <w:rPr>
      <w:color w:val="00513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D35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34532"/>
    <w:rPr>
      <w:rFonts w:ascii="Arial" w:eastAsiaTheme="majorEastAsia" w:hAnsi="Arial" w:cs="Arial"/>
      <w:b/>
      <w:bCs/>
      <w:color w:val="808080" w:themeColor="background1" w:themeShade="8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34532"/>
    <w:rPr>
      <w:rFonts w:ascii="Arial" w:eastAsiaTheme="majorEastAsia" w:hAnsi="Arial" w:cs="Arial"/>
      <w:i/>
      <w:iCs/>
      <w:color w:val="808080" w:themeColor="background1" w:themeShade="8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86"/>
    <w:pPr>
      <w:numPr>
        <w:ilvl w:val="1"/>
      </w:numPr>
      <w:spacing w:after="0"/>
    </w:pPr>
    <w:rPr>
      <w:rFonts w:eastAsiaTheme="minorEastAsia"/>
      <w:color w:val="00511C"/>
      <w:spacing w:val="15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FD7D86"/>
    <w:rPr>
      <w:rFonts w:eastAsiaTheme="minorEastAsia"/>
      <w:color w:val="00511C"/>
      <w:spacing w:val="15"/>
      <w:sz w:val="16"/>
    </w:rPr>
  </w:style>
  <w:style w:type="character" w:styleId="PlaceholderText">
    <w:name w:val="Placeholder Text"/>
    <w:basedOn w:val="DefaultParagraphFont"/>
    <w:uiPriority w:val="99"/>
    <w:semiHidden/>
    <w:rsid w:val="00B66F07"/>
    <w:rPr>
      <w:color w:val="808080"/>
    </w:rPr>
  </w:style>
  <w:style w:type="character" w:customStyle="1" w:styleId="DropDownChoice">
    <w:name w:val="Drop Down Choice"/>
    <w:basedOn w:val="DefaultParagraphFont"/>
    <w:uiPriority w:val="1"/>
    <w:rsid w:val="00A66642"/>
    <w:rPr>
      <w:rFonts w:ascii="Arial" w:hAnsi="Arial"/>
      <w:sz w:val="16"/>
    </w:rPr>
  </w:style>
  <w:style w:type="character" w:styleId="Hyperlink">
    <w:name w:val="Hyperlink"/>
    <w:basedOn w:val="DefaultParagraphFont"/>
    <w:uiPriority w:val="99"/>
    <w:unhideWhenUsed/>
    <w:rsid w:val="00C64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377"/>
    <w:rPr>
      <w:rFonts w:ascii="Segoe UI" w:hAnsi="Segoe UI" w:cs="Segoe UI"/>
      <w:sz w:val="18"/>
      <w:szCs w:val="18"/>
    </w:rPr>
  </w:style>
  <w:style w:type="paragraph" w:customStyle="1" w:styleId="Glossary">
    <w:name w:val="Glossary"/>
    <w:basedOn w:val="Normal"/>
    <w:qFormat/>
    <w:rsid w:val="00D05597"/>
    <w:pPr>
      <w:contextualSpacing/>
    </w:pPr>
  </w:style>
  <w:style w:type="paragraph" w:styleId="ListParagraph">
    <w:name w:val="List Paragraph"/>
    <w:basedOn w:val="Normal"/>
    <w:autoRedefine/>
    <w:uiPriority w:val="34"/>
    <w:qFormat/>
    <w:rsid w:val="00270448"/>
    <w:pPr>
      <w:numPr>
        <w:numId w:val="24"/>
      </w:numPr>
      <w:spacing w:after="6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606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6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6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6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ctivity">
    <w:name w:val="Activity"/>
    <w:basedOn w:val="DefaultParagraphFont"/>
    <w:uiPriority w:val="1"/>
    <w:qFormat/>
    <w:rsid w:val="006C235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everalnines.com/database-blog/mysql-performance-benchmarking-mysql-57-vs-mysql-8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cquown\AppData\Local\Microsoft\Windows\INetCache\Content.Outlook\0WHR15K2\NOD%20Vendor%20Evaluation%20Summ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F95BEC-B55A-427D-8BFC-5028F830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NOD Vendor Evaluation Summary Template.dotx</Template>
  <TotalTime>193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McQuown</dc:creator>
  <cp:keywords/>
  <dc:description/>
  <cp:lastModifiedBy>Stephan McQuown</cp:lastModifiedBy>
  <cp:revision>4</cp:revision>
  <cp:lastPrinted>2020-03-05T16:04:00Z</cp:lastPrinted>
  <dcterms:created xsi:type="dcterms:W3CDTF">2020-11-30T10:58:00Z</dcterms:created>
  <dcterms:modified xsi:type="dcterms:W3CDTF">2020-12-08T10:58:00Z</dcterms:modified>
</cp:coreProperties>
</file>