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56"/>
          <w:szCs w:val="56"/>
        </w:rPr>
        <w:t xml:space="preserve">FotoAlert</w:t>
      </w:r>
    </w:p>
    <w:p>
      <w:pPr>
        <w:spacing w:after="40"/>
      </w:pPr>
      <w:r>
        <w:rPr>
          <w:b/>
          <w:bCs/>
          <w:sz w:val="30"/>
          <w:szCs w:val="30"/>
        </w:rPr>
        <w:t xml:space="preserve">Schutzrechts-, Lizenz- und Business-Case-Analyse</w:t>
      </w:r>
    </w:p>
    <w:p>
      <w:pPr>
        <w:spacing w:after="240"/>
      </w:pPr>
      <w:r>
        <w:rPr>
          <w:i/>
          <w:iCs/>
          <w:color w:val="555555"/>
          <w:sz w:val="22"/>
          <w:szCs w:val="22"/>
        </w:rPr>
        <w:t xml:space="preserve">Strategiepapier zur Sicherung der Rechte an der Produktidee · EU-weiter Fokus</w:t>
      </w:r>
    </w:p>
    <w:p>
      <w:pPr>
        <w:pBdr>
          <w:bottom w:val="single" w:color="1F3A5F" w:sz="6" w:space="1"/>
        </w:pBdr>
      </w:pPr>
      <w:r>
        <w:rPr>
          <w:color w:val="555555"/>
          <w:sz w:val="18"/>
          <w:szCs w:val="18"/>
        </w:rPr>
        <w:t xml:space="preserve">Erstellt: 20. Juni 2026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Hinweis: </w:t>
            </w:r>
            <w:r>
              <w:t xml:space="preserve">Dieses Dokument ist eine strukturierte Recherche- und Entscheidungsgrundlage, keine Rechtsberatung. Schutzfähigkeit, Klassenwahl und Lizenzfragen sollten vor einer Anmeldung mit einem Marken-/Patentanwalt final geprüft werden. Alle Gebühren sind amtliche Stände aus öffentlich zugänglichen Quellen (Juni 2026) und können sich ändern.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Inhalt</w:t>
      </w:r>
    </w:p>
    <w:sdt>
      <w:sdtPr>
        <w:alias w:val="Inhalt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Management Summary</w:t>
      </w:r>
    </w:p>
    <w:p>
      <w:pPr>
        <w:spacing w:after="140"/>
      </w:pPr>
      <w:r>
        <w:t xml:space="preserve">Eine „Idee“ als solche ist nicht schützbar – geschützt werden nur konkrete Ausprägungen. Für FotoAlert sind vier Schutzrechte relevant: </w:t>
      </w:r>
      <w:r>
        <w:rPr>
          <w:b/>
          <w:bCs/>
        </w:rPr>
        <w:t xml:space="preserve">Marke</w:t>
      </w:r>
      <w:r>
        <w:t xml:space="preserve"> (Name/Logo), </w:t>
      </w:r>
      <w:r>
        <w:rPr>
          <w:b/>
          <w:bCs/>
        </w:rPr>
        <w:t xml:space="preserve">Patent</w:t>
      </w:r>
      <w:r>
        <w:t xml:space="preserve"> (technisches Verfahren), </w:t>
      </w:r>
      <w:r>
        <w:rPr>
          <w:b/>
          <w:bCs/>
        </w:rPr>
        <w:t xml:space="preserve">eingetragenes Design</w:t>
      </w:r>
      <w:r>
        <w:t xml:space="preserve"> (Erscheinungsbild) und </w:t>
      </w:r>
      <w:r>
        <w:rPr>
          <w:b/>
          <w:bCs/>
        </w:rPr>
        <w:t xml:space="preserve">Urheberrecht</w:t>
      </w:r>
      <w:r>
        <w:t xml:space="preserve"> (Code/Grafik, automatisch).</w:t>
      </w:r>
    </w:p>
    <w:p>
      <w:pPr>
        <w:spacing w:after="140"/>
      </w:pPr>
      <w:r>
        <w:rPr>
          <w:b/>
          <w:bCs/>
        </w:rPr>
        <w:t xml:space="preserve">Empfehlung in Kürze: </w:t>
      </w:r>
      <w:r>
        <w:t xml:space="preserve">Der wirtschaftlich sinnvollste Schutz für eine App in der Vorvermarktungsphase ist eine </w:t>
      </w:r>
      <w:r>
        <w:rPr>
          <w:b/>
          <w:bCs/>
        </w:rPr>
        <w:t xml:space="preserve">Unionsmarke</w:t>
      </w:r>
      <w:r>
        <w:t xml:space="preserve"> (EU-weit, ca. 750–950 €) – ergänzt um ein günstiges </w:t>
      </w:r>
      <w:r>
        <w:rPr>
          <w:b/>
          <w:bCs/>
        </w:rPr>
        <w:t xml:space="preserve">EU-Design</w:t>
      </w:r>
      <w:r>
        <w:t xml:space="preserve"> für Icon/UI (350 €) und das ohnehin automatische Urheberrecht. Ein </w:t>
      </w:r>
      <w:r>
        <w:rPr>
          <w:b/>
          <w:bCs/>
        </w:rPr>
        <w:t xml:space="preserve">Patent</w:t>
      </w:r>
      <w:r>
        <w:t xml:space="preserve"> ist für FotoAlert voraussichtlich weder durchsetzbar noch wirtschaftlich (7.000–10.000 € bei geringer Erfolgsaussicht, da reine Software).</w:t>
      </w:r>
    </w:p>
    <w:p>
      <w:pPr>
        <w:spacing w:after="140"/>
      </w:pPr>
      <w:r>
        <w:rPr>
          <w:b/>
          <w:bCs/>
        </w:rPr>
        <w:t xml:space="preserve">Wichtigster Lizenz-Befund: </w:t>
      </w:r>
      <w:r>
        <w:t xml:space="preserve">Die kostenlose Open-Meteo-Wetter-API ist ausdrücklich </w:t>
      </w:r>
      <w:r>
        <w:rPr>
          <w:b/>
          <w:bCs/>
        </w:rPr>
        <w:t xml:space="preserve">nur für nicht-kommerzielle Nutzung</w:t>
      </w:r>
      <w:r>
        <w:t xml:space="preserve"> freigegeben. Ein kommerzieller Launch erfordert einen kostenpflichtigen Open-Meteo-Plan (oder Self-Hosting) plus Pflicht-Attribution. Die übrigen Datenquellen (OpenStreetMap, Skyfield, JPL-Ephemeriden) sind kommerziell nutzbar – mit Attributionspflicht.</w:t>
      </w:r>
    </w:p>
    <w:p>
      <w:pPr>
        <w:spacing w:after="140"/>
      </w:pPr>
      <w:r>
        <w:rPr>
          <w:b/>
          <w:bCs/>
        </w:rPr>
        <w:t xml:space="preserve">Namens-Risiko: </w:t>
      </w:r>
      <w:r>
        <w:t xml:space="preserve">„FotoAlert“ ist beschreibend (Foto + Alert). Rein beschreibende Wortmarken werden vom EUIPO häufig wegen fehlender Unterscheidungskraft (Art. 7 UMV) zurückgewiesen. Empfehlung: als </w:t>
      </w:r>
      <w:r>
        <w:rPr>
          <w:b/>
          <w:bCs/>
        </w:rPr>
        <w:t xml:space="preserve">Wort-/Bildmarke</w:t>
      </w:r>
      <w:r>
        <w:t xml:space="preserve"> (mit Logo) anmelden oder einen unterscheidungskräftigeren Namen wählen.</w:t>
      </w:r>
    </w:p>
    <w:p>
      <w:pPr>
        <w:pStyle w:val="Heading1"/>
      </w:pPr>
      <w:r>
        <w:t xml:space="preserve">2. Schutzrechtsarten im EU-Überblick</w:t>
      </w:r>
    </w:p>
    <w:p>
      <w:pPr>
        <w:spacing w:after="140"/>
      </w:pPr>
      <w:r>
        <w:t xml:space="preserve">Die vier Schutzrechte schließen sich nicht aus – sie schützen unterschiedliche Aspekte und lassen sich kombinieren: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100"/>
        <w:gridCol w:w="1626"/>
      </w:tblGrid>
      <w:tr>
        <w:trPr>
          <w:cantSplit/>
          <w:tblHeader/>
        </w:trP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Schutzrecht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Was wird geschützt</w:t>
            </w:r>
          </w:p>
        </w:tc>
        <w:tc>
          <w:tcPr>
            <w:tcW w:type="dxa" w:w="2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Amt / Reichweite</w:t>
            </w:r>
          </w:p>
        </w:tc>
        <w:tc>
          <w:tcPr>
            <w:tcW w:type="dxa" w:w="1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Schutzdauer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Marke (Unionsmarke)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Name „FotoAlert“, Logo, Slogan – die Brand</w:t>
            </w:r>
          </w:p>
        </w:tc>
        <w:tc>
          <w:tcPr>
            <w:tcW w:type="dxa" w:w="2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EUIPO · alle 27 EU-Staaten</w:t>
            </w:r>
          </w:p>
        </w:tc>
        <w:tc>
          <w:tcPr>
            <w:tcW w:type="dxa" w:w="1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 Jahre, beliebig oft verlängerbar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Patent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Technisches Verfahren / Erfindung</w:t>
            </w:r>
          </w:p>
        </w:tc>
        <w:tc>
          <w:tcPr>
            <w:tcW w:type="dxa" w:w="2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EPA · benannte Staaten bzw. Einheitspatent</w:t>
            </w:r>
          </w:p>
        </w:tc>
        <w:tc>
          <w:tcPr>
            <w:tcW w:type="dxa" w:w="1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 Jahre (Jahresgebühren)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Eingetragenes Design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Erscheinungsbild: Icon, UI-Layout</w:t>
            </w:r>
          </w:p>
        </w:tc>
        <w:tc>
          <w:tcPr>
            <w:tcW w:type="dxa" w:w="2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EUIPO · EU-weit</w:t>
            </w:r>
          </w:p>
        </w:tc>
        <w:tc>
          <w:tcPr>
            <w:tcW w:type="dxa" w:w="1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 Jahre, bis max. 25 Jahre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Urheberrecht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Quellcode, Texte, Grafiken</w:t>
            </w:r>
          </w:p>
        </w:tc>
        <w:tc>
          <w:tcPr>
            <w:tcW w:type="dxa" w:w="2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Automatisch, keine Anmeldung</w:t>
            </w:r>
          </w:p>
        </w:tc>
        <w:tc>
          <w:tcPr>
            <w:tcW w:type="dxa" w:w="1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Lebenszeit + 70 Jahre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2.1 Marke (Unionsmarke, EUIPO)</w:t>
      </w:r>
    </w:p>
    <w:p>
      <w:pPr>
        <w:spacing w:after="140"/>
      </w:pPr>
      <w:r>
        <w:t xml:space="preserve">Schützt den Produktnamen und/oder das Logo gegen Verwechslung. Für Apps die wichtigste und günstigste Schutzform. Relevante </w:t>
      </w:r>
      <w:r>
        <w:rPr>
          <w:b/>
          <w:bCs/>
        </w:rPr>
        <w:t xml:space="preserve">Nizza-Klassen</w:t>
      </w:r>
      <w:r>
        <w:t xml:space="preserve"> für FotoAlert: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Klasse 9</w:t>
      </w:r>
      <w:r>
        <w:t xml:space="preserve"> – herunterladbare Software / mobile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Klasse 42</w:t>
      </w:r>
      <w:r>
        <w:t xml:space="preserve"> – Software as a Service, Bereitstellung der Backend-/Berechnungsdienste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Klasse 41</w:t>
      </w:r>
      <w:r>
        <w:t xml:space="preserve"> (optional) – Fotografie-bezogene Bildung/Dienstleistungen, falls Workshops/Fotowalks vermarktet werden</w:t>
      </w:r>
    </w:p>
    <w:p>
      <w:pPr>
        <w:spacing w:after="140"/>
      </w:pPr>
      <w:r>
        <w:rPr>
          <w:b/>
          <w:bCs/>
        </w:rPr>
        <w:t xml:space="preserve">Ablauf: </w:t>
      </w:r>
      <w:r>
        <w:t xml:space="preserve">Anmeldung online beim EUIPO → Formalprüfung → Veröffentlichung → 3-Monats-Widerspruchsfrist → Eintragung. Fast-Track ca. 15 Werktage bis Veröffentlichung, Standard ca. 43 Werktage.</w:t>
      </w:r>
    </w:p>
    <w:p>
      <w:pPr>
        <w:spacing w:after="140"/>
      </w:pPr>
      <w:r>
        <w:rPr>
          <w:b/>
          <w:bCs/>
        </w:rPr>
        <w:t xml:space="preserve">Distinktivitäts-Risiko: </w:t>
      </w:r>
      <w:r>
        <w:t xml:space="preserve">Beschreibende Zeichen sind nach Art. 7 UMV von der Eintragung ausgeschlossen. „FotoAlert“ beschreibt die Funktion (Foto-Benachrichtigung) und ist daher angreifbar. Eine Wort-/Bildmarke mit eigenständigem Logo erhöht die Eintragungs- und Durchsetzungschance deutlich.</w:t>
      </w:r>
    </w:p>
    <w:p>
      <w:pPr>
        <w:pStyle w:val="Heading2"/>
      </w:pPr>
      <w:r>
        <w:t xml:space="preserve">2.2 Patent (EPA / Einheitspatent)</w:t>
      </w:r>
    </w:p>
    <w:p>
      <w:pPr>
        <w:spacing w:after="140"/>
      </w:pPr>
      <w:r>
        <w:t xml:space="preserve">Reine „Programme für Datenverarbeitungsanlagen“ sind ausdrücklich vom Patentschutz ausgenommen (Art. 52 EPÜ). Patentierbar sind computerimplementierte Erfindungen nur mit </w:t>
      </w:r>
      <w:r>
        <w:rPr>
          <w:b/>
          <w:bCs/>
        </w:rPr>
        <w:t xml:space="preserve">technischem Charakter / technischem Effekt</w:t>
      </w:r>
      <w:r>
        <w:t xml:space="preserve">, der über bloße Datenverarbeitung hinausgeht (z. B. Steuerung von Hardware, messbare Effizienzsteigerung).</w:t>
      </w:r>
    </w:p>
    <w:p>
      <w:pPr>
        <w:spacing w:after="140"/>
      </w:pPr>
      <w:r>
        <w:rPr>
          <w:b/>
          <w:bCs/>
        </w:rPr>
        <w:t xml:space="preserve">Einschätzung FotoAlert: </w:t>
      </w:r>
      <w:r>
        <w:t xml:space="preserve">Der Kern – Kombination öffentlich verfügbarer Astro-/Wetter-/Spot-Daten, Berechnung von Foto-Ereignissen und Push-Versand – ist Orchestrierung bekannter Algorithmen und Daten. Ein patentfähiger technischer Effekt ist nicht offensichtlich. Erfolgsaussicht gering, Kosten hoch. </w:t>
      </w:r>
      <w:r>
        <w:rPr>
          <w:b/>
          <w:bCs/>
        </w:rPr>
        <w:t xml:space="preserve">Nur weiterverfolgen, wenn ein konkret neuartiges technisches Verfahren identifiziert wird.</w:t>
      </w:r>
    </w:p>
    <w:p>
      <w:pPr>
        <w:pStyle w:val="Heading2"/>
      </w:pPr>
      <w:r>
        <w:t xml:space="preserve">2.3 Eingetragenes Design (Unionsgeschmacksmuster, EUIPO)</w:t>
      </w:r>
    </w:p>
    <w:p>
      <w:pPr>
        <w:spacing w:after="140"/>
      </w:pPr>
      <w:r>
        <w:t xml:space="preserve">Schützt das Aussehen: App-Icon, charakteristische UI-Bildschirme. Voraussetzungen sind </w:t>
      </w:r>
      <w:r>
        <w:rPr>
          <w:b/>
          <w:bCs/>
        </w:rPr>
        <w:t xml:space="preserve">Neuheit</w:t>
      </w:r>
      <w:r>
        <w:t xml:space="preserve"> und </w:t>
      </w:r>
      <w:r>
        <w:rPr>
          <w:b/>
          <w:bCs/>
        </w:rPr>
        <w:t xml:space="preserve">Eigenart</w:t>
      </w:r>
      <w:r>
        <w:t xml:space="preserve">. Wichtig: Es gilt eine 12-monatige Neuheitsschonfrist ab eigener Veröffentlichung – nach App-Store-Launch tickt die Uhr. Seit 1. Mai 2025 muss die Anmeldung direkt beim EUIPO erfolgen (nicht mehr über das DPMA). Günstig und schnell.</w:t>
      </w:r>
    </w:p>
    <w:p>
      <w:pPr>
        <w:pStyle w:val="Heading2"/>
      </w:pPr>
      <w:r>
        <w:t xml:space="preserve">2.4 Urheberrecht</w:t>
      </w:r>
    </w:p>
    <w:p>
      <w:pPr>
        <w:spacing w:after="140"/>
      </w:pPr>
      <w:r>
        <w:t xml:space="preserve">Entsteht </w:t>
      </w:r>
      <w:r>
        <w:rPr>
          <w:b/>
          <w:bCs/>
        </w:rPr>
        <w:t xml:space="preserve">automatisch</w:t>
      </w:r>
      <w:r>
        <w:t xml:space="preserve"> mit der Schöpfung – keine Anmeldung, keine Kosten. Schützt Quellcode, Texte und Grafiken gegen Kopieren, nicht aber die zugrundeliegende Idee oder Funktion. Empfehlung: Urheberschaft dokumentieren (Git-Historie, Zeitstempel) für den Streitfall.</w:t>
      </w:r>
    </w:p>
    <w:p>
      <w:pPr>
        <w:pStyle w:val="Heading1"/>
      </w:pPr>
      <w:r>
        <w:t xml:space="preserve">3. Qualifiziert sich FotoAlert – und existiert es schon?</w:t>
      </w:r>
    </w:p>
    <w:p>
      <w:pPr>
        <w:pStyle w:val="Heading2"/>
      </w:pPr>
      <w:r>
        <w:t xml:space="preserve">3.1 Existenzprüfung (Prior-Art / Kollision)</w:t>
      </w:r>
    </w:p>
    <w:p>
      <w:pPr>
        <w:spacing w:after="140"/>
      </w:pPr>
      <w:r>
        <w:t xml:space="preserve">Eine erste öffentliche Recherche ergab </w:t>
      </w:r>
      <w:r>
        <w:rPr>
          <w:b/>
          <w:bCs/>
        </w:rPr>
        <w:t xml:space="preserve">keinen offensichtlichen Treffer</w:t>
      </w:r>
      <w:r>
        <w:t xml:space="preserve"> für eine bestehende Marke oder App namens „FotoAlert“ im Fotografie-Umfeld. Das ist ein positives, aber </w:t>
      </w:r>
      <w:r>
        <w:rPr>
          <w:b/>
          <w:bCs/>
        </w:rPr>
        <w:t xml:space="preserve">kein abschließendes</w:t>
      </w:r>
      <w:r>
        <w:t xml:space="preserve"> Signal. Vor einer Anmeldung ist eine qualifizierte Recherche erforderlich in: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EUIPO </w:t>
      </w:r>
      <w:hyperlink w:history="1" r:id="rIdlih5cnqjjimyzk4s7_t0a">
        <w:r>
          <w:rPr>
            <w:rStyle w:val="Hyperlink"/>
          </w:rPr>
          <w:t xml:space="preserve">eSearch plus</w:t>
        </w:r>
      </w:hyperlink>
      <w:r>
        <w:t xml:space="preserve"> (Unionsmarken)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elyfb5wzz1j8asmasdclt">
        <w:r>
          <w:rPr>
            <w:rStyle w:val="Hyperlink"/>
          </w:rPr>
          <w:t xml:space="preserve">DPMAregister</w:t>
        </w:r>
      </w:hyperlink>
      <w:r>
        <w:t xml:space="preserve"> (deutsche Marken, falls relevant)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Apple App Store / Google Play (identische oder ähnliche App-Namen)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Allgemeine Web-/Domain-Recherche (Verkehrsgeltung Dritter)</w:t>
      </w:r>
    </w:p>
    <w:p>
      <w:pPr>
        <w:spacing w:after="140"/>
      </w:pPr>
      <w:r>
        <w:rPr>
          <w:b/>
          <w:bCs/>
        </w:rPr>
        <w:t xml:space="preserve">Konzept-Ebene: </w:t>
      </w:r>
      <w:r>
        <w:t xml:space="preserve">Ähnliche Einzel-Apps existieren (PhotoPills, Viewfindr, Locationscout). Die spezifische Kombination + automatische Push-Benachrichtigung wirkt als Produkt eigenständig – Konzepte sind jedoch ohnehin nicht schützbar, nur Name, Erscheinungsbild und konkreter Code.</w:t>
      </w:r>
    </w:p>
    <w:p>
      <w:pPr>
        <w:pStyle w:val="Heading2"/>
      </w:pPr>
      <w:r>
        <w:t xml:space="preserve">3.2 Qualifikation je Schutzrecht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rPr>
          <w:cantSplit/>
          <w:tblHeader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Schutzrecht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Qualifiziert?</w:t>
            </w:r>
          </w:p>
        </w:tc>
        <w:tc>
          <w:tcPr>
            <w:tcW w:type="dxa" w:w="53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Begründung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Marke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Ja (mit Vorbehalt)</w:t>
            </w:r>
          </w:p>
        </w:tc>
        <w:tc>
          <w:tcPr>
            <w:tcW w:type="dxa" w:w="53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Name eintragbar – beschreibender Anteil senkt Schutzumfang; als Wort-/Bildmarke deutlich robuster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Ja</w:t>
            </w:r>
          </w:p>
        </w:tc>
        <w:tc>
          <w:tcPr>
            <w:tcW w:type="dxa" w:w="53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Icon/UI neu und eigenartig; vor Veröffentlichung anmelden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Urheberrecht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Ja (automatisch)</w:t>
            </w:r>
          </w:p>
        </w:tc>
        <w:tc>
          <w:tcPr>
            <w:tcW w:type="dxa" w:w="53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Code &amp; Grafiken sind geschützt, sobald geschaffen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Patent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Unwahrscheinlich</w:t>
            </w:r>
          </w:p>
        </w:tc>
        <w:tc>
          <w:tcPr>
            <w:tcW w:type="dxa" w:w="53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Reine Software ohne klaren technischen Effekt – Ausschluss Art. 52 EPÜ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Open-Data-Lizenzen &amp; gewerbliche Nutzung</w:t>
      </w:r>
    </w:p>
    <w:p>
      <w:pPr>
        <w:spacing w:after="140"/>
      </w:pPr>
      <w:r>
        <w:t xml:space="preserve">FotoAlert stützt sich auf mehrere offene Datenquellen. Entscheidend ist, ob die gewerbliche Nutzung erlaubt ist und welche Pflichten (v. a. Attribution) entstehen: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900"/>
        <w:gridCol w:w="3926"/>
      </w:tblGrid>
      <w:tr>
        <w:trPr>
          <w:cantSplit/>
          <w:tblHeader/>
        </w:trPr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Quelle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Lizenz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Gewerblich?</w:t>
            </w:r>
          </w:p>
        </w:tc>
        <w:tc>
          <w:tcPr>
            <w:tcW w:type="dxa" w:w="39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Pflichten / Hinweise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Open-Meteo (Wetter)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CC BY 4.0 (Daten); Free-API nicht-kommerziell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Nur mit Bezahl-Plan</w:t>
            </w:r>
          </w:p>
        </w:tc>
        <w:tc>
          <w:tcPr>
            <w:tcW w:type="dxa" w:w="39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Kostenlose API ausdrücklich nur nicht-kommerziell. Kommerziell → Customer-API-Abo nötig. Attribution Pflicht: „Weather data by Open-Meteo.com“ + Lizenzlink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OpenStreetMap (Spots/Karte)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ODbL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Ja</w:t>
            </w:r>
          </w:p>
        </w:tc>
        <w:tc>
          <w:tcPr>
            <w:tcW w:type="dxa" w:w="39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Attribution „© OpenStreetMap contributors“ + Link; Share-Alike betrifft abgeleitete Datenbanken, nicht die App-Ausgabe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Skyfield (Astro-Lib)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MIT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Ja</w:t>
            </w:r>
          </w:p>
        </w:tc>
        <w:tc>
          <w:tcPr>
            <w:tcW w:type="dxa" w:w="39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Lizenz-/Copyright-Hinweis im Code/Impressum mitführen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JPL-Ephemeriden (DE421/DE440)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US-Govt., Public Domain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Ja</w:t>
            </w:r>
          </w:p>
        </w:tc>
        <w:tc>
          <w:tcPr>
            <w:tcW w:type="dxa" w:w="39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Frei nutzbar und weiterverteilbar, keine Genehmigung nötig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DWD (via Open-Meteo)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GeoNutzV / CC BY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Ja</w:t>
            </w:r>
          </w:p>
        </w:tc>
        <w:tc>
          <w:tcPr>
            <w:tcW w:type="dxa" w:w="39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Quellenangabe DWD; fließt über Open-Meteo ein</w:t>
            </w:r>
          </w:p>
        </w:tc>
      </w:tr>
    </w:tbl>
    <w:p>
      <w:pPr>
        <w:spacing w:before="120"/>
      </w:pPr>
    </w:p>
    <w:p>
      <w:pPr>
        <w:spacing w:after="140"/>
      </w:pPr>
      <w:r>
        <w:rPr>
          <w:b/>
          <w:bCs/>
        </w:rPr>
        <w:t xml:space="preserve">Konsequenz: </w:t>
      </w:r>
      <w:r>
        <w:t xml:space="preserve">Die genutzten Open-Source-Daten verbieten die gewerbliche Nutzung </w:t>
      </w:r>
      <w:r>
        <w:rPr>
          <w:b/>
          <w:bCs/>
        </w:rPr>
        <w:t xml:space="preserve">nicht</w:t>
      </w:r>
      <w:r>
        <w:t xml:space="preserve"> – mit einer Ausnahme als Stolperstein: Die </w:t>
      </w:r>
      <w:r>
        <w:rPr>
          <w:b/>
          <w:bCs/>
        </w:rPr>
        <w:t xml:space="preserve">kostenlose Open-Meteo-API ist nicht für kommerzielle Apps zugelassen</w:t>
      </w:r>
      <w:r>
        <w:t xml:space="preserve">. Vor einem kommerziellen Launch muss daher entweder ein Open-Meteo-Bezahl-Plan abgeschlossen oder der Open-Source-Server selbst gehostet werden. Zusätzlich sind alle Attributionen in der App umzusetzen (z. B. „Datenquellen“-Screen im Impressum/Über-Bereich).</w:t>
      </w:r>
    </w:p>
    <w:p>
      <w:pPr>
        <w:pStyle w:val="Heading1"/>
      </w:pPr>
      <w:r>
        <w:t xml:space="preserve">5. Kostenanalyse (EU-weiter Schutz)</w:t>
      </w:r>
    </w:p>
    <w:p>
      <w:pPr>
        <w:pStyle w:val="Heading2"/>
      </w:pPr>
      <w:r>
        <w:t xml:space="preserve">5.1 Einmalige Schutzrechtskosten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cantSplit/>
          <w:tblHeader/>
        </w:trP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Position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Amtsgebühr (EU)</w:t>
            </w:r>
          </w:p>
        </w:tc>
        <w:tc>
          <w:tcPr>
            <w:tcW w:type="dxa" w:w="4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Anmerkung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Unionsmarke, 1 Klasse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750 € (2026)</w:t>
            </w:r>
          </w:p>
        </w:tc>
        <w:tc>
          <w:tcPr>
            <w:tcW w:type="dxa" w:w="4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Gesenkt von 850 €; KMU −10 %; −50 € bei vollelektronischer Anmeldung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Unionsmarke, 3 Klassen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950 €</w:t>
            </w:r>
          </w:p>
        </w:tc>
        <w:tc>
          <w:tcPr>
            <w:tcW w:type="dxa" w:w="4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750 € + 50 € (2. Kl.) + 150 € (3. Kl.)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Markenanwalt (optional)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ca. 500–1.500 €</w:t>
            </w:r>
          </w:p>
        </w:tc>
        <w:tc>
          <w:tcPr>
            <w:tcW w:type="dxa" w:w="4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Recherche, Klassenwahl, Anmeldung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EU-Design, 1 Design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350 €</w:t>
            </w:r>
          </w:p>
        </w:tc>
        <w:tc>
          <w:tcPr>
            <w:tcW w:type="dxa" w:w="4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 Jahre; verlängerbar bis 25 Jahre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EU-Design, je weiteres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+175 €</w:t>
            </w:r>
          </w:p>
        </w:tc>
        <w:tc>
          <w:tcPr>
            <w:tcW w:type="dxa" w:w="4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 Sammelanmeldung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Patent EPA bis Erteilung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ca. 7.000–10.000 €</w:t>
            </w:r>
          </w:p>
        </w:tc>
        <w:tc>
          <w:tcPr>
            <w:tcW w:type="dxa" w:w="4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Amt + Anwalt; + Validierung 1.500–3.000 €/Land; nicht empfohlen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Urheberrecht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0 €</w:t>
            </w:r>
          </w:p>
        </w:tc>
        <w:tc>
          <w:tcPr>
            <w:tcW w:type="dxa" w:w="4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Automatisch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5.2 Laufende Kosten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rPr>
          <w:cantSplit/>
          <w:tblHeader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Position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Frequenz</w:t>
            </w:r>
          </w:p>
        </w:tc>
        <w:tc>
          <w:tcPr>
            <w:tcW w:type="dxa" w:w="3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Anmerkung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Open-Meteo Customer-API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monatlich</w:t>
            </w:r>
          </w:p>
        </w:tc>
        <w:tc>
          <w:tcPr>
            <w:tcW w:type="dxa" w:w="3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Preis nicht öffentlich (Standard 1 Mio., Professional 5 Mio. Calls/Monat) – bei info@open-meteo.com anfragen; Haupt-Kostentreiber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Apple Developer Program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99 €/Jahr</w:t>
            </w:r>
          </w:p>
        </w:tc>
        <w:tc>
          <w:tcPr>
            <w:tcW w:type="dxa" w:w="3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Voraussetzung App-Store-Veröffentlichung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Markenverlängerung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alle 10 Jahre</w:t>
            </w:r>
          </w:p>
        </w:tc>
        <w:tc>
          <w:tcPr>
            <w:tcW w:type="dxa" w:w="3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Erneut ca. 750 € (1 Klasse)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Design-Verlängerung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alle 5 Jahre</w:t>
            </w:r>
          </w:p>
        </w:tc>
        <w:tc>
          <w:tcPr>
            <w:tcW w:type="dxa" w:w="3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Gestaffelte Gebühren bis Jahr 25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Server/Hosting Backend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monatlich</w:t>
            </w:r>
          </w:p>
        </w:tc>
        <w:tc>
          <w:tcPr>
            <w:tcW w:type="dxa" w:w="3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FastAPI-Backend, alternativ Self-Hosting Open-Meteo</w:t>
            </w:r>
          </w:p>
        </w:tc>
      </w:tr>
    </w:tbl>
    <w:p>
      <w:pPr>
        <w:pStyle w:val="Heading1"/>
      </w:pPr>
      <w:r>
        <w:t xml:space="preserve">6. Business Case</w:t>
      </w:r>
    </w:p>
    <w:p>
      <w:pPr>
        <w:spacing w:after="140"/>
      </w:pPr>
      <w:r>
        <w:t xml:space="preserve">Die Schutzrechtskosten sind für eine App-Idee gering im Verhältnis zum Nutzen (Markenexklusivität, Verkaufs-/Lizenzierbarkeit, Schutz vor Nachahmern). Empfohlenes </w:t>
      </w:r>
      <w:r>
        <w:rPr>
          <w:b/>
          <w:bCs/>
        </w:rPr>
        <w:t xml:space="preserve">Minimal-Schutzpaket</w:t>
      </w:r>
      <w:r>
        <w:t xml:space="preserve"> für die Startphase: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200"/>
        <w:gridCol w:w="2226"/>
      </w:tblGrid>
      <w:tr>
        <w:trPr>
          <w:cantSplit/>
          <w:tblHeader/>
        </w:trPr>
        <w:tc>
          <w:tcPr>
            <w:tcW w:type="dxa" w:w="4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Maßnahme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Einmalig</w:t>
            </w:r>
          </w:p>
        </w:tc>
        <w:tc>
          <w:tcPr>
            <w:tcW w:type="dxa" w:w="2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Bewertung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Unionsmarke (Wort-/Bildmarke, Kl. 9 + 42), DIY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ca. 800 €</w:t>
            </w:r>
          </w:p>
        </w:tc>
        <w:tc>
          <w:tcPr>
            <w:tcW w:type="dxa" w:w="2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Kern-Schutz, hoher Nutzen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EU-Design für Icon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350 €</w:t>
            </w:r>
          </w:p>
        </w:tc>
        <w:tc>
          <w:tcPr>
            <w:tcW w:type="dxa" w:w="2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Günstig, schützt Erscheinungsbild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Urheberrecht (Dokumentation)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0 €</w:t>
            </w:r>
          </w:p>
        </w:tc>
        <w:tc>
          <w:tcPr>
            <w:tcW w:type="dxa" w:w="2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Automatisch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Summe Minimal-Paket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ca. 1.150 €</w:t>
            </w:r>
          </w:p>
        </w:tc>
        <w:tc>
          <w:tcPr>
            <w:tcW w:type="dxa" w:w="2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Empfohlen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 Anwaltliche Begleitung (optional)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+500–1.500 €</w:t>
            </w:r>
          </w:p>
        </w:tc>
        <w:tc>
          <w:tcPr>
            <w:tcW w:type="dxa" w:w="2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Reduziert Zurückweisungs-/Kollisionsrisiko</w:t>
            </w:r>
          </w:p>
        </w:tc>
      </w:tr>
    </w:tbl>
    <w:p>
      <w:pPr>
        <w:spacing w:before="120"/>
      </w:pPr>
    </w:p>
    <w:p>
      <w:pPr>
        <w:spacing w:after="140"/>
      </w:pPr>
      <w:r>
        <w:rPr>
          <w:b/>
          <w:bCs/>
        </w:rPr>
        <w:t xml:space="preserve">Wirtschaftliche Logik: </w:t>
      </w:r>
      <w:r>
        <w:t xml:space="preserve">Einmalig ca. 1.150–2.650 € sichern die Brand EU-weit über 10 Jahre. Der eigentliche laufende Kostentreiber ist nicht das Schutzrecht, sondern die kommerzielle Wetterdaten-Lizenz (Open-Meteo) – diese sollte früh als wiederkehrender Posten in die Preis-/Erlösplanung der App aufgenommen werden (z. B. Abo-Modell zur Deckung).</w:t>
      </w:r>
    </w:p>
    <w:p>
      <w:pPr>
        <w:spacing w:after="140"/>
      </w:pPr>
      <w:r>
        <w:rPr>
          <w:b/>
          <w:bCs/>
        </w:rPr>
        <w:t xml:space="preserve">Schwellenwert-Frage für ein Patent: </w:t>
      </w:r>
      <w:r>
        <w:t xml:space="preserve">Ein Patent (7.000 €+) lohnt nur, wenn (a) ein echter technischer Effekt vorliegt und (b) ein Lizenz-/Verkaufswert oder Wettbewerbsvorsprung die Kosten klar übersteigt. Für FotoAlert aktuell nicht gegeben.</w:t>
      </w:r>
    </w:p>
    <w:p>
      <w:pPr>
        <w:pStyle w:val="Heading1"/>
      </w:pPr>
      <w:r>
        <w:t xml:space="preserve">7. Empfohlene Strategie &amp; nächste Schritte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Namensentscheidung treffen: „FotoAlert“ als Wort-/Bildmarke (mit Logo) absichern oder unterscheidungskräftigeren Namen prüfen, um das Beschreibungs-Risiko zu senken.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Qualifizierte Recherche durchführen (EUIPO eSearch plus, DPMAregister, App-Stores), bevor angemeldet wird – idealerweise mit Markenanwalt.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Unionsmarke anmelden (Klassen 9 + 42, optional 41) – vollelektronisch für 50 € Rabatt, KMU-Status für 10 % nutzen.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EU-Design für Icon/UI anmelden – vor breiter Veröffentlichung bzw. innerhalb der 12-Monats-Schonfrist.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Open-Meteo kommerziell klären: Preis für Customer-API anfragen (info@open-meteo.com) oder Self-Hosting prüfen; Attributionen aller Datenquellen in der App umsetzen.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Urheberrecht dokumentieren (Git, Zeitstempel) – kostenfrei, aber im Streitfall wertvoll.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Patent nur bei nachweisbarem technischem Effekt mit Patentanwalt sondieren – sonst zurückstellen.</w:t>
      </w:r>
    </w:p>
    <w:p>
      <w:pPr>
        <w:pStyle w:val="Heading1"/>
      </w:pPr>
      <w:r>
        <w:t xml:space="preserve">8. Quellen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vi711v_qkjqyr1gx1yriz">
        <w:r>
          <w:rPr>
            <w:rStyle w:val="Hyperlink"/>
          </w:rPr>
          <w:t xml:space="preserve">EUIPO – Gebühren Unionsmarke 2026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ao92pznhy0rvemoqvlifc">
        <w:r>
          <w:rPr>
            <w:rStyle w:val="Hyperlink"/>
          </w:rPr>
          <w:t xml:space="preserve">EUIPO – neue Gebührenstruktur 2026 (KMU)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tceg4aq_56i9s_ahrixwo">
        <w:r>
          <w:rPr>
            <w:rStyle w:val="Hyperlink"/>
          </w:rPr>
          <w:t xml:space="preserve">EPA / Softwarepatent – Patentierbarkeit (Wikipedia)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hmq7k0lm5cdf-nbul0_qu">
        <w:r>
          <w:rPr>
            <w:rStyle w:val="Hyperlink"/>
          </w:rPr>
          <w:t xml:space="preserve">BARDEHLE – Patentierbarkeit von Software unter dem EPÜ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wdm5sor8jogpg6gfie0g9">
        <w:r>
          <w:rPr>
            <w:rStyle w:val="Hyperlink"/>
          </w:rPr>
          <w:t xml:space="preserve">EU-Design / Geschmacksmuster – Kosten &amp; Schutzdauer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-l7hyz_4w1f73ka26ah4k">
        <w:r>
          <w:rPr>
            <w:rStyle w:val="Hyperlink"/>
          </w:rPr>
          <w:t xml:space="preserve">Your Europe – Designschutz EU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3igqtwbtuxawkfwnenlzb">
        <w:r>
          <w:rPr>
            <w:rStyle w:val="Hyperlink"/>
          </w:rPr>
          <w:t xml:space="preserve">Open-Meteo – Pricing (kommerzielle Nutzung)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nmkkqhrtpzjpagig5gqaa">
        <w:r>
          <w:rPr>
            <w:rStyle w:val="Hyperlink"/>
          </w:rPr>
          <w:t xml:space="preserve">Open-Meteo – Lizenz (CC BY 4.0, Attribution)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tyeizsztnzmudowc-1f_y">
        <w:r>
          <w:rPr>
            <w:rStyle w:val="Hyperlink"/>
          </w:rPr>
          <w:t xml:space="preserve">OpenStreetMap Foundation – Attribution Guidelines (ODbL)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hs9ozbtbx3p2el-bc5sks">
        <w:r>
          <w:rPr>
            <w:rStyle w:val="Hyperlink"/>
          </w:rPr>
          <w:t xml:space="preserve">Skyfield – Dokumentation (MIT)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demv9jayzrytexnepo0qu">
        <w:r>
          <w:rPr>
            <w:rStyle w:val="Hyperlink"/>
          </w:rPr>
          <w:t xml:space="preserve">NASA STI – Nutzung von US-Government-Werken (Public Domain)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iwtzkgabrmy5wjfnjwvyc">
        <w:r>
          <w:rPr>
            <w:rStyle w:val="Hyperlink"/>
          </w:rPr>
          <w:t xml:space="preserve">Europäisches Patent – Gesamtkosten</w:t>
        </w:r>
      </w:hyperlink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FotoAlert · Schutzrechts- &amp; Business-Case-Analyse   |   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ih5cnqjjimyzk4s7_t0a" Type="http://schemas.openxmlformats.org/officeDocument/2006/relationships/hyperlink" Target="https://www.euipo.europa.eu/en/search" TargetMode="External"/><Relationship Id="rIdelyfb5wzz1j8asmasdclt" Type="http://schemas.openxmlformats.org/officeDocument/2006/relationships/hyperlink" Target="https://register.dpma.de/" TargetMode="External"/><Relationship Id="rIdvi711v_qkjqyr1gx1yriz" Type="http://schemas.openxmlformats.org/officeDocument/2006/relationships/hyperlink" Target="https://www.euipo.europa.eu/de/trade-marks/before-applying/fees-payable-direct-to-the-euipo" TargetMode="External"/><Relationship Id="rIdao92pznhy0rvemoqvlifc" Type="http://schemas.openxmlformats.org/officeDocument/2006/relationships/hyperlink" Target="https://europa.eupin.eu/neue-gebuehrenstruktur-fuer-unionsmarken-ab-2026-vorteile-fuer-kmus/" TargetMode="External"/><Relationship Id="rIdtceg4aq_56i9s_ahrixwo" Type="http://schemas.openxmlformats.org/officeDocument/2006/relationships/hyperlink" Target="https://de.wikipedia.org/wiki/Softwarepatent" TargetMode="External"/><Relationship Id="rIdhmq7k0lm5cdf-nbul0_qu" Type="http://schemas.openxmlformats.org/officeDocument/2006/relationships/hyperlink" Target="https://www.bardehle.com/de/ip-news-wissen/kanzlei-news/news-detail/die-patentierbarkeit-von-software-unter-dem-epue" TargetMode="External"/><Relationship Id="rIdwdm5sor8jogpg6gfie0g9" Type="http://schemas.openxmlformats.org/officeDocument/2006/relationships/hyperlink" Target="https://www.advocado.de/ratgeber/markenrecht/markenanmeldung/gemeinschaftsgeschmacksmuster.html" TargetMode="External"/><Relationship Id="rId-l7hyz_4w1f73ka26ah4k" Type="http://schemas.openxmlformats.org/officeDocument/2006/relationships/hyperlink" Target="https://europa.eu/youreurope/business/running-business/intellectual-property/design-protection/index_de.htm" TargetMode="External"/><Relationship Id="rId3igqtwbtuxawkfwnenlzb" Type="http://schemas.openxmlformats.org/officeDocument/2006/relationships/hyperlink" Target="https://open-meteo.com/en/pricing" TargetMode="External"/><Relationship Id="rIdnmkkqhrtpzjpagig5gqaa" Type="http://schemas.openxmlformats.org/officeDocument/2006/relationships/hyperlink" Target="https://open-meteo.com/en/licence" TargetMode="External"/><Relationship Id="rIdtyeizsztnzmudowc-1f_y" Type="http://schemas.openxmlformats.org/officeDocument/2006/relationships/hyperlink" Target="https://osmfoundation.org/wiki/Licence/Attribution_Guidelines" TargetMode="External"/><Relationship Id="rIdhs9ozbtbx3p2el-bc5sks" Type="http://schemas.openxmlformats.org/officeDocument/2006/relationships/hyperlink" Target="https://rhodesmill.org/skyfield/" TargetMode="External"/><Relationship Id="rIddemv9jayzrytexnepo0qu" Type="http://schemas.openxmlformats.org/officeDocument/2006/relationships/hyperlink" Target="https://sti.nasa.gov/disclaimers/" TargetMode="External"/><Relationship Id="rIdiwtzkgabrmy5wjfnjwvyc" Type="http://schemas.openxmlformats.org/officeDocument/2006/relationships/hyperlink" Target="https://www.mw-patent.de/patentrecht/kosten-einer-patentanmeldung.html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FotoAlert – Schutzrechts- und Business-Case-Analyse</dc:title>
  <dc:creator>Claude</dc:creator>
  <cp:lastModifiedBy>Un-named</cp:lastModifiedBy>
  <cp:revision>1</cp:revision>
  <dcterms:created xsi:type="dcterms:W3CDTF">2026-06-20T12:42:19.797Z</dcterms:created>
  <dcterms:modified xsi:type="dcterms:W3CDTF">2026-06-20T12:42:19.797Z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