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color w:val="1E3A8A"/>
          <w:sz w:val="26"/>
        </w:rPr>
        <w:t>KOMISI PEMILIHAN UMUM KABUPATEN NGAWI</w:t>
        <w:br/>
      </w:r>
      <w:r>
        <w:rPr>
          <w:rFonts w:ascii="Arial" w:hAnsi="Arial"/>
          <w:b/>
          <w:color w:val="B91C1C"/>
          <w:sz w:val="28"/>
        </w:rPr>
        <w:t>CATATAN TEKNIS &amp; ANALISIS YURIDIS PENGATURAN KELOMPOK KERJA (POKJA)</w:t>
        <w:br/>
      </w:r>
      <w:r>
        <w:rPr>
          <w:rFonts w:ascii="Arial" w:hAnsi="Arial"/>
          <w:i/>
          <w:color w:val="64748B"/>
          <w:sz w:val="20"/>
        </w:rPr>
        <w:t>Pedoman Standar Pembentukan, Pembatasan Kuota Satker, Alokasi Honorarium, dan Akuntabilitas SPJ</w:t>
        <w:br/>
        <w:t>Penyelenggaraan Pemilihan Bupati dan Wakil Bupati Ngawi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3A8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 SISTEM INFORMASI PERENCANAAN &amp; ANGGARAN BADAN AD HOC (SI-PRABU) 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1E3A8A"/>
          <w:sz w:val="28"/>
        </w:rPr>
        <w:t>I. DASAR HUKUM &amp; RUJUKAN YURIDIS UTAMA</w:t>
      </w:r>
    </w:p>
    <w:p>
      <w:pPr>
        <w:spacing w:after="60"/>
        <w:ind w:left="360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sz w:val="20"/>
        </w:rPr>
        <w:t>Undang-Undang Nomor 1 Tahun 2015 jo. Undang-Undang Nomor 6 Tahun 2020 tentang Pemilihan Gubernur, Bupati, dan Walikota.</w:t>
      </w:r>
    </w:p>
    <w:p>
      <w:pPr>
        <w:spacing w:after="60"/>
        <w:ind w:left="360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sz w:val="20"/>
        </w:rPr>
        <w:t>Peraturan Menteri Keuangan Republik Indonesia tentang Standar Biaya Masukan (SBM) yang berlaku untuk Tahun Anggaran berjalan.</w:t>
      </w:r>
    </w:p>
    <w:p>
      <w:pPr>
        <w:spacing w:after="60"/>
        <w:ind w:left="360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sz w:val="20"/>
        </w:rPr>
        <w:t>Surat Menteri Keuangan Republik Indonesia Nomor S-647/MK.02/2022 tanggal 5 Agustus 2022 hal Satuan Biaya Masukan Lainnya (SBML) Tahapan Pemilihan Umum dan Tahapan Pemilihan.</w:t>
      </w:r>
    </w:p>
    <w:p>
      <w:pPr>
        <w:spacing w:after="60"/>
        <w:ind w:left="360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sz w:val="20"/>
        </w:rPr>
        <w:t>Keputusan Komisi Pemilihan Umum Nomor 472 Tahun 2022 tentang Satuan Biaya Masukan Lainnya (SBML) di Lingkungan KPU, KPU Provinsi, dan KPU Kabupaten/Kota dalam rangka Tahapan Pemilu dan Pemilihan Tahun 2024.</w:t>
      </w:r>
    </w:p>
    <w:p>
      <w:pPr>
        <w:spacing w:after="60"/>
        <w:ind w:left="360"/>
      </w:pPr>
      <w:r>
        <w:rPr>
          <w:rFonts w:ascii="Arial" w:hAnsi="Arial"/>
          <w:b/>
          <w:sz w:val="20"/>
        </w:rPr>
        <w:t xml:space="preserve">5. </w:t>
      </w:r>
      <w:r>
        <w:rPr>
          <w:rFonts w:ascii="Arial" w:hAnsi="Arial"/>
          <w:sz w:val="20"/>
        </w:rPr>
        <w:t>Keputusan Komisi Pemilihan Umum Nomor 543 Tahun 2022 tentang Standar dan Petunjuk Teknis Penyusunan Anggaran Kebutuhan Barang/Jasa dan Honorarium Penyelenggaraan Pemilihan Gubernur dan Wakil Gubernur, Bupati dan Wakil Bupati, dan/atau Wali Kota dan Wakil Wali Kota.</w:t>
      </w:r>
    </w:p>
    <w:p>
      <w:pPr>
        <w:spacing w:after="60"/>
        <w:ind w:left="360"/>
      </w:pPr>
      <w:r>
        <w:rPr>
          <w:rFonts w:ascii="Arial" w:hAnsi="Arial"/>
          <w:b/>
          <w:sz w:val="20"/>
        </w:rPr>
        <w:t xml:space="preserve">6. </w:t>
      </w:r>
      <w:r>
        <w:rPr>
          <w:rFonts w:ascii="Arial" w:hAnsi="Arial"/>
          <w:sz w:val="20"/>
        </w:rPr>
        <w:t>Keputusan Komisi Pemilihan Umum Nomor 67 Tahun 2023 tentang Pedoman Teknis Pembentukan dan Pertanggungjawaban Tim Pelaksana Kegiatan/Kelompok Kerja di Lingkungan KPU, KPU Provinsi, dan KPU Kabupaten/Kota.</w:t>
      </w:r>
    </w:p>
    <w:p>
      <w:pPr>
        <w:spacing w:after="60"/>
        <w:ind w:left="360"/>
      </w:pPr>
      <w:r>
        <w:rPr>
          <w:rFonts w:ascii="Arial" w:hAnsi="Arial"/>
          <w:b/>
          <w:sz w:val="20"/>
        </w:rPr>
        <w:t xml:space="preserve">7. </w:t>
      </w:r>
      <w:r>
        <w:rPr>
          <w:rFonts w:ascii="Arial" w:hAnsi="Arial"/>
          <w:sz w:val="20"/>
        </w:rPr>
        <w:t>Keputusan Gubernur Jawa Timur Nomor 188/87/KPTS/013/2022 tentang Komponen Pendanaan Bersama Antara Pemerintah Provinsi Jawa Timur dan Pemerintah Kabupaten/Kota dalam Penyelenggaraan Pilkada Serentak Tahun 2024.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E3A8A"/>
          <w:sz w:val="28"/>
        </w:rPr>
        <w:t>II. HAKIKAT DAN KRITERIA BAKU PEMBENTUKAN POKJA</w:t>
      </w:r>
    </w:p>
    <w:p>
      <w:pPr>
        <w:spacing w:line="276" w:lineRule="auto" w:after="100"/>
      </w:pPr>
      <w:r>
        <w:rPr>
          <w:rFonts w:ascii="Arial" w:hAnsi="Arial"/>
          <w:b w:val="0"/>
          <w:i w:val="0"/>
          <w:color w:val="334155"/>
          <w:sz w:val="21"/>
        </w:rPr>
        <w:t>Berdasarkan Lampiran V Bab II Bagian C angka 1 Keputusan KPU No. 543 Tahun 2022 (halaman 65-66), pembentukan Kelompok Kerja (Pokja) harus memenuhi prinsip efisiensi, akuntabilitas, dan 5 kriteria kumulatif:</w:t>
      </w:r>
    </w:p>
    <w:p>
      <w:pPr>
        <w:spacing w:after="80"/>
        <w:ind w:left="360"/>
      </w:pPr>
      <w:r>
        <w:rPr>
          <w:rFonts w:ascii="Arial" w:hAnsi="Arial"/>
          <w:b/>
          <w:color w:val="1E3A8A"/>
          <w:sz w:val="20"/>
        </w:rPr>
        <w:t xml:space="preserve">• Mempunyai Keluaran (Output) yang Jelas dan Terukur: </w:t>
      </w:r>
      <w:r>
        <w:rPr>
          <w:rFonts w:ascii="Arial" w:hAnsi="Arial"/>
          <w:sz w:val="20"/>
        </w:rPr>
        <w:t>Setiap Pokja dibentuk bukan untuk kegiatan seremonial, melainkan wajib menghasilkan output fisik atau yuridis yang terukur (Keputusan, Juknis, SOP, Rekapitulasi Resmi, atau Laporan Akhir).</w:t>
      </w:r>
    </w:p>
    <w:p>
      <w:pPr>
        <w:spacing w:after="80"/>
        <w:ind w:left="360"/>
      </w:pPr>
      <w:r>
        <w:rPr>
          <w:rFonts w:ascii="Arial" w:hAnsi="Arial"/>
          <w:b/>
          <w:color w:val="1E3A8A"/>
          <w:sz w:val="20"/>
        </w:rPr>
        <w:t xml:space="preserve">• Bersifat Koordinatif Lintas Instansi: </w:t>
      </w:r>
      <w:r>
        <w:rPr>
          <w:rFonts w:ascii="Arial" w:hAnsi="Arial"/>
          <w:sz w:val="20"/>
        </w:rPr>
        <w:t>Mengharuskan keterlibatan instansi vertikal atau perangkat daerah eksternal di luar KPU (Polres, Kodim, Bakesbangpol, Dispendukcapil, Satpol PP, Dinkes, Kejaksaan, dsb).</w:t>
      </w:r>
    </w:p>
    <w:p>
      <w:pPr>
        <w:spacing w:after="80"/>
        <w:ind w:left="360"/>
      </w:pPr>
      <w:r>
        <w:rPr>
          <w:rFonts w:ascii="Arial" w:hAnsi="Arial"/>
          <w:b/>
          <w:color w:val="1E3A8A"/>
          <w:sz w:val="20"/>
        </w:rPr>
        <w:t xml:space="preserve">• Bersifat Temporer dan Insidentil: </w:t>
      </w:r>
      <w:r>
        <w:rPr>
          <w:rFonts w:ascii="Arial" w:hAnsi="Arial"/>
          <w:sz w:val="20"/>
        </w:rPr>
        <w:t>Tidak boleh bersifat permanen atau berkelanjutan sepanjang tahun. Pelaksanaannya diprioritaskan di luar jam kerja atau pada masa puncak tahapan tertentu.</w:t>
      </w:r>
    </w:p>
    <w:p>
      <w:pPr>
        <w:spacing w:after="80"/>
        <w:ind w:left="360"/>
      </w:pPr>
      <w:r>
        <w:rPr>
          <w:rFonts w:ascii="Arial" w:hAnsi="Arial"/>
          <w:b/>
          <w:color w:val="1E3A8A"/>
          <w:sz w:val="20"/>
        </w:rPr>
        <w:t xml:space="preserve">• Perangkapan Fungsi / Tugas Tambahan: </w:t>
      </w:r>
      <w:r>
        <w:rPr>
          <w:rFonts w:ascii="Arial" w:hAnsi="Arial"/>
          <w:sz w:val="20"/>
        </w:rPr>
        <w:t>Merupakan penugasan tambahan bagi Pejabat Negara, ASN (PNS/PPPK), dan tenaga profesional di samping tugas pokok sehari-hari.</w:t>
      </w:r>
    </w:p>
    <w:p>
      <w:pPr>
        <w:spacing w:after="80"/>
        <w:ind w:left="360"/>
      </w:pPr>
      <w:r>
        <w:rPr>
          <w:rFonts w:ascii="Arial" w:hAnsi="Arial"/>
          <w:b/>
          <w:color w:val="1E3A8A"/>
          <w:sz w:val="20"/>
        </w:rPr>
        <w:t xml:space="preserve">• Dilakukan Secara Selektif, Efektif, dan Efisien: </w:t>
      </w:r>
      <w:r>
        <w:rPr>
          <w:rFonts w:ascii="Arial" w:hAnsi="Arial"/>
          <w:sz w:val="20"/>
        </w:rPr>
        <w:t>Dilarang membentuk Pokja untuk tugas-tugas operasional rutin kesekretariatan yang telah melekat pada tugas pokok dan fungsi (tupoksi) organik KPU.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E3A8A"/>
          <w:sz w:val="28"/>
        </w:rPr>
        <w:t>III. ANALISIS YURIDIS DUA BATASAN POKJA (KUOTA SATKER VS KUOTA PERSONEL)</w:t>
      </w:r>
    </w:p>
    <w:p>
      <w:pPr>
        <w:spacing w:line="276" w:lineRule="auto" w:after="100"/>
      </w:pPr>
      <w:r>
        <w:rPr>
          <w:rFonts w:ascii="Arial" w:hAnsi="Arial"/>
          <w:b w:val="0"/>
          <w:i w:val="0"/>
          <w:color w:val="334155"/>
          <w:sz w:val="21"/>
        </w:rPr>
        <w:t>Terdapat dua dimensi pengendalian anggaran yang berbeda dan sering menjadi perdebatan audit antara Tim Perencana dengan BPK/Inspektorat, yaitu batasan kuota kelembagaan (Satker) dan batasan kuota penerimaan individu (Personel):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0369A1"/>
          <w:sz w:val="24"/>
        </w:rPr>
        <w:t>1. Batasan Kuota Kelembagaan (Satker): MAKSIMAL 5 POKJA BERHONOR</w:t>
      </w:r>
    </w:p>
    <w:p>
      <w:pPr>
        <w:spacing w:line="276" w:lineRule="auto" w:after="100"/>
      </w:pPr>
      <w:r>
        <w:rPr>
          <w:rFonts w:ascii="Arial" w:hAnsi="Arial"/>
          <w:b w:val="0"/>
          <w:i w:val="0"/>
          <w:color w:val="334155"/>
          <w:sz w:val="21"/>
        </w:rPr>
        <w:t>Ketentuan ini diatur secara eksplisit dalam Keputusan KPU Nomor 472 Tahun 2022 Diktum KEEMPAT huruf a angka 5 yang berbunyi: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i/>
                <w:color w:val="0F172A"/>
                <w:sz w:val="19"/>
              </w:rPr>
              <w:t>"jumlah pokja yang dapat diberikan honorarium yaitu maksimal 5 (lima) pokja masing-masing di Tingkat Pusat, per Provinsi, per Kabupaten/Kota dari seluruh jumlah tahapan pemilu/pemilihan sesuai ketentuan perundang-undangan yang berlaku;"</w:t>
            </w:r>
          </w:p>
        </w:tc>
      </w:tr>
    </w:tbl>
    <w:p>
      <w:pPr>
        <w:spacing w:after="80"/>
      </w:pPr>
    </w:p>
    <w:p>
      <w:pPr>
        <w:spacing w:line="276" w:lineRule="auto" w:after="100"/>
      </w:pPr>
      <w:r>
        <w:rPr>
          <w:rFonts w:ascii="Arial" w:hAnsi="Arial"/>
          <w:b w:val="0"/>
          <w:i w:val="0"/>
          <w:color w:val="334155"/>
          <w:sz w:val="21"/>
        </w:rPr>
        <w:t>Implikasi bagi KPU Kabupaten Ngawi:</w:t>
        <w:br/>
        <w:t>• Subjek hukum norma ini adalah wilayah teritorial / Satker ('masing-masing per Kabupaten/Kota'), bukan individu.</w:t>
        <w:br/>
        <w:t>• Meskipun KPT 543/2022 menyediakan katalog 11 jenis Pokja, izin prinsip Kementerian Keuangan (Surat S-647/MK.02/2022) mengunci bahwa Satker KPU Kabupaten/Kota hanya diperkenankan mengalokasikan pembayaran honorarium untuk maksimal 5 Pokja Prioritas selama seluruh rangkaian tahapan Pemilihan.</w:t>
        <w:br/>
        <w:t>• Jika Satker membentuk Pokja ke-6, ke-7, dan seterusnya, maka Pokja tersebut harus berstatus Tim Kerja Non-Honor (hanya didukung biaya rapat/ATK biasa).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0369A1"/>
          <w:sz w:val="24"/>
        </w:rPr>
        <w:t>2. Batasan Kuota Individu (Personel): MAKSIMAL 2 POKJA DALAM 1 TAHUN</w:t>
      </w:r>
    </w:p>
    <w:p>
      <w:pPr>
        <w:spacing w:line="276" w:lineRule="auto" w:after="100"/>
      </w:pPr>
      <w:r>
        <w:rPr>
          <w:rFonts w:ascii="Arial" w:hAnsi="Arial"/>
          <w:b w:val="0"/>
          <w:i w:val="0"/>
          <w:color w:val="334155"/>
          <w:sz w:val="21"/>
        </w:rPr>
        <w:t>Ketentuan ini diatur dalam Keputusan KPU Nomor 543 Tahun 2022 Lampiran V Bab II Huruf C angka 1.a (Halaman 66) jo. KPT KPU 472/2022 Diktum Keempat huruf b jo. PMK Standar Biaya Masukan (SBM):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i/>
                <w:color w:val="0F172A"/>
                <w:sz w:val="19"/>
              </w:rPr>
              <w:t>"...jumlah tim yang dapat diberikan honorarium bagi: 1) Pejabat Negara; 2) Pejabat Eselon I; 3) Pejabat Eselon II; 4) Pejabat Eselon III; 5) Pejabat Eselon IV; 6) Pelaksana; dan 7) Pejabat Fungsional, pada tim dimaksud, untuk penerimaan honorarium yang berasal dari pembentukan tim/Pokja paling banyak 2 (dua) tim setiap tahunnya."</w:t>
            </w:r>
          </w:p>
        </w:tc>
      </w:tr>
    </w:tbl>
    <w:p>
      <w:pPr>
        <w:spacing w:after="80"/>
      </w:pPr>
    </w:p>
    <w:p>
      <w:pPr>
        <w:spacing w:line="276" w:lineRule="auto" w:after="100"/>
      </w:pPr>
      <w:r>
        <w:rPr>
          <w:rFonts w:ascii="Arial" w:hAnsi="Arial"/>
          <w:b w:val="0"/>
          <w:i w:val="0"/>
          <w:color w:val="334155"/>
          <w:sz w:val="21"/>
        </w:rPr>
        <w:t>Implikasi bagi Personel KPU Kabupaten Ngawi:</w:t>
        <w:br/>
        <w:t>• Subjek hukum norma ini adalah person (Komisioner, Pejabat Struktural, Staf ASN/PPPK).</w:t>
        <w:br/>
        <w:t>• Tidak boleh ada satupun personel yang namanya tercantum dan menerima honorarium lebih dari 2 Pokja dalam satu tahun anggaran yang sama.</w:t>
        <w:br/>
        <w:t>• Jika seseorang menerima honor Pokja ke-3 dalam tahun berjalan, pembayaran tersebut berstatus Kelebihan Bayar / Kerugian Keuangan Daerah yang wajib disetorkan kembali ke Kas Daerah (TGR).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E3A8A"/>
          <w:sz w:val="28"/>
        </w:rPr>
        <w:t>IV. MATRIKS PERBANDINGAN NORMA &amp; PENGENDALIAN POKJA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Norma / Parameter</w:t>
            </w:r>
          </w:p>
        </w:tc>
        <w:tc>
          <w:tcPr>
            <w:tcW w:type="dxa" w:w="374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Batasan Maksimal (Aturan Ketat)</w:t>
            </w:r>
          </w:p>
        </w:tc>
        <w:tc>
          <w:tcPr>
            <w:tcW w:type="dxa" w:w="273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Dasar Regulasi Resmi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E3A8A"/>
                <w:sz w:val="18"/>
              </w:rPr>
              <w:t>Kuota Pokja Satker KPU Kab/Kota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B91C1C"/>
                <w:sz w:val="18"/>
              </w:rPr>
              <w:t>Maksimal 5 (lima) Pokja yang diberikan honorarium dari seluruh tahapan Pemilihan.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KPT KPU 472/2022 Diktum IV.a.5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E3A8A"/>
                <w:sz w:val="18"/>
              </w:rPr>
              <w:t>Kuota Penerimaan per Personel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B91C1C"/>
                <w:sz w:val="18"/>
              </w:rPr>
              <w:t>Maksimal 2 (dua) Pokja dalam 1 Tahun Anggaran per individu (Komisioner/ASN).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KPT KPU 543/2022 Hal. 66 jo. PMK SBM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E3A8A"/>
                <w:sz w:val="18"/>
              </w:rPr>
              <w:t>Durasi Masa Kerja Pokja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Paling lama 3 (tiga) Bulan berturut-turut.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KPT KPU 543/2022 Lamp. IV &amp; Hal. 66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E3A8A"/>
                <w:sz w:val="18"/>
              </w:rPr>
              <w:t>Komposisi Personel Internal KPU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Paling banyak 10 orang dari internal KPU Kab/Kota (sisanya wajib instansi luar/Pemda).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KPT KPU 543/2022 Hal. 70 jo. KPT 472/2022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E3A8A"/>
                <w:sz w:val="18"/>
              </w:rPr>
              <w:t>Larangan Irisan (Double Funding)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Dilarang keras menerima duplikasi honor jika tahapan Pemilu (APBN) dan Pilkada beririsan.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KPT KPU 472/2022 Diktum VI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E3A8A"/>
                <w:sz w:val="18"/>
              </w:rPr>
              <w:t>Larangan Pegawai Outsource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Tenaga pendukung outsource/kontrak dilarang keras menerima honor Pokja.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KPT KPU 543/2022 Hal. 37 &amp; Hal. 70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E3A8A"/>
                <w:sz w:val="18"/>
              </w:rPr>
              <w:t>Keluaran SPJ Wajib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Laporan Hasil Kerja Lengkap (Bab I s.d. Bab IV) yang disahkan oleh KPA.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KPT KPU 543/2022 Hal. 72–75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1E3A8A"/>
          <w:sz w:val="28"/>
        </w:rPr>
        <w:t>V. KATALOG 11 POKJA RESMI &amp; REKOMENDASI 5 POKJA PRIORITAS NGAWI</w:t>
      </w:r>
    </w:p>
    <w:p>
      <w:pPr>
        <w:spacing w:line="276" w:lineRule="auto" w:after="100"/>
      </w:pPr>
      <w:r>
        <w:rPr>
          <w:rFonts w:ascii="Arial" w:hAnsi="Arial"/>
          <w:b w:val="0"/>
          <w:i w:val="0"/>
          <w:color w:val="334155"/>
          <w:sz w:val="21"/>
        </w:rPr>
        <w:t>Berdasarkan Lampiran IV dan Lampiran V halaman 68-69 KPT 543/2022, terdapat 11 jenis Pokja resmi di KPU Kabupaten/Kota: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76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No</w:t>
            </w:r>
          </w:p>
        </w:tc>
        <w:tc>
          <w:tcPr>
            <w:tcW w:type="dxa" w:w="4176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Nama Kelompok Kerja (Pokja)</w:t>
            </w:r>
          </w:p>
        </w:tc>
        <w:tc>
          <w:tcPr>
            <w:tcW w:type="dxa" w:w="144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Maks Internal</w:t>
            </w:r>
          </w:p>
        </w:tc>
        <w:tc>
          <w:tcPr>
            <w:tcW w:type="dxa" w:w="1296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Total Kuota</w:t>
            </w:r>
          </w:p>
        </w:tc>
        <w:tc>
          <w:tcPr>
            <w:tcW w:type="dxa" w:w="1872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Status Rekomendasi Ngawi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sz w:val="17"/>
              </w:rPr>
              <w:t>1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Pokja Penyusunan, Perencanaan, Perubahan/Revisi Rencana Anggaran Pemilihan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10 orang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13 orang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47857"/>
                <w:sz w:val="17"/>
              </w:rPr>
              <w:t>PRIORITAS 1 (Berhonor)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sz w:val="17"/>
              </w:rPr>
              <w:t>2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Pokja Penyusunan Produk-Produk Hukum (Keputusan)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10 orang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13 orang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Tim Kerja Kedinasan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sz w:val="17"/>
              </w:rPr>
              <w:t>3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Pokja Fasilitasi Pembentukan Badan Ad Hoc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10 orang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15 orang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Tim Kerja Kedinasan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sz w:val="17"/>
              </w:rPr>
              <w:t>4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Pokja Pemutakhiran Data Pemilih dan Penyusunan Daftar Pemilih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10 orang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15 orang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47857"/>
                <w:sz w:val="17"/>
              </w:rPr>
              <w:t>PRIORITAS 2 (Berhonor)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sz w:val="17"/>
              </w:rPr>
              <w:t>5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Pokja Verifikasi Persyaratan Pasangan Calon Perseorangan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10 orang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15 orang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i/>
                <w:color w:val="B45309"/>
                <w:sz w:val="17"/>
              </w:rPr>
              <w:t>Kondisional (Jika Ada Calon)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sz w:val="17"/>
              </w:rPr>
              <w:t>6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Pokja Pendaftaran dan Penetapan Pasangan Calon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10 orang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13 orang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47857"/>
                <w:sz w:val="17"/>
              </w:rPr>
              <w:t>PRIORITAS 3 (Berhonor)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sz w:val="17"/>
              </w:rPr>
              <w:t>7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Pokja Sosialisasi dan Partisipasi Masyarakat / Bimtek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10 orang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15 orang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Tim Kerja Kedinasan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sz w:val="17"/>
              </w:rPr>
              <w:t>8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Pokja Pelaksanaan Kampanye serta Pelayanan Dana Kampanye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10 orang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15 orang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Tim Kerja Kedinasan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sz w:val="17"/>
              </w:rPr>
              <w:t>9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Pokja Perencanaan, Pengadaan dan Pendistribusian Logistik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10 orang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13 orang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47857"/>
                <w:sz w:val="17"/>
              </w:rPr>
              <w:t>PRIORITAS 4 (Berhonor)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sz w:val="17"/>
              </w:rPr>
              <w:t>10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Pokja Pemungutan &amp; Penghitungan Suara serta Rekapitulasi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10 orang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15 orang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47857"/>
                <w:sz w:val="17"/>
              </w:rPr>
              <w:t>PRIORITAS 5 (Berhonor)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sz w:val="17"/>
              </w:rPr>
              <w:t>11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Pokja Penyelesaian Sengketa Hukum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10 orang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13 orang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i/>
                <w:color w:val="B45309"/>
                <w:sz w:val="17"/>
              </w:rPr>
              <w:t>Kondisional (Jika Ada Gugatan)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1E3A8A"/>
          <w:sz w:val="28"/>
        </w:rPr>
        <w:t>VI. STANDAR SATUAN BIAYA HONORARIUM POKJA KPU KABUPATEN/KOTA</w:t>
      </w:r>
    </w:p>
    <w:p>
      <w:pPr>
        <w:spacing w:line="276" w:lineRule="auto" w:after="100"/>
      </w:pPr>
      <w:r>
        <w:rPr>
          <w:rFonts w:ascii="Arial" w:hAnsi="Arial"/>
          <w:b w:val="0"/>
          <w:i w:val="0"/>
          <w:color w:val="334155"/>
          <w:sz w:val="21"/>
        </w:rPr>
        <w:t>Berdasarkan Lampiran II Keputusan KPU Nomor 472 Tahun 2022 (SBML Tahapan Pemilihan Bupati/Walikota), besaran honorarium Pokja KPU Kab/Kota per bulan (Orang/Bulan - OB) adalah: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Kedudukan dalam Pokja</w:t>
            </w:r>
          </w:p>
        </w:tc>
        <w:tc>
          <w:tcPr>
            <w:tcW w:type="dxa" w:w="216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Besaran SBML (Rp/OB)</w:t>
            </w:r>
          </w:p>
        </w:tc>
        <w:tc>
          <w:tcPr>
            <w:tcW w:type="dxa" w:w="288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Ketentuan Personel</w:t>
            </w:r>
          </w:p>
        </w:tc>
        <w:tc>
          <w:tcPr>
            <w:tcW w:type="dxa" w:w="144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Maksimal Durasi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Pengarah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47857"/>
                <w:sz w:val="18"/>
              </w:rPr>
              <w:t>Rp 2.000.000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Ketua/Anggota KPU yang membidangi (Maks 2 orang)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sz w:val="18"/>
              </w:rPr>
              <w:t>3 Bulan</w:t>
            </w:r>
          </w:p>
        </w:tc>
      </w:tr>
      <w:tr>
        <w:tc>
          <w:tcPr>
            <w:tcW w:type="dxa" w:w="28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Penanggung Jawab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47857"/>
                <w:sz w:val="18"/>
              </w:rPr>
              <w:t>Rp 1.800.000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Ketua/Anggota KPU yang membidangi (1 orang)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sz w:val="18"/>
              </w:rPr>
              <w:t>3 Bulan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Ketua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47857"/>
                <w:sz w:val="18"/>
              </w:rPr>
              <w:t>Rp 1.500.000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Anggota KPU atau Sekretaris KPU (1 orang)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sz w:val="18"/>
              </w:rPr>
              <w:t>3 Bulan</w:t>
            </w:r>
          </w:p>
        </w:tc>
      </w:tr>
      <w:tr>
        <w:tc>
          <w:tcPr>
            <w:tcW w:type="dxa" w:w="28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Sekretaris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47857"/>
                <w:sz w:val="18"/>
              </w:rPr>
              <w:t>Rp 1.300.000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Sekretaris KPU atau Kasubbag yang membidangi (1 orang)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sz w:val="18"/>
              </w:rPr>
              <w:t>3 Bulan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Anggota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47857"/>
                <w:sz w:val="18"/>
              </w:rPr>
              <w:t>Rp 1.200.000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Pejabat Fungsional, ASN KPU &amp; Perwakilan Eksternal Pemda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sz w:val="18"/>
              </w:rPr>
              <w:t>3 Bulan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1E3A8A"/>
          <w:sz w:val="28"/>
        </w:rPr>
        <w:t>VII. STANDAR PERTANGGUNGJAWABAN (SPJ) DAN SISTEMATIKA LAPORAN</w:t>
      </w:r>
    </w:p>
    <w:p>
      <w:pPr>
        <w:spacing w:line="276" w:lineRule="auto" w:after="100"/>
      </w:pPr>
      <w:r>
        <w:rPr>
          <w:rFonts w:ascii="Arial" w:hAnsi="Arial"/>
          <w:b w:val="0"/>
          <w:i w:val="0"/>
          <w:color w:val="334155"/>
          <w:sz w:val="21"/>
        </w:rPr>
        <w:t>Sesuai Lampiran V halaman 72-75 KPT 543/2022, pencairan honorarium Pokja (Akun 521213) bukan merupakan hak otomatis bulanan, melainkan mensyaratkan 6 bukti dukung wajib:</w:t>
      </w:r>
    </w:p>
    <w:p>
      <w:pPr>
        <w:spacing w:after="60"/>
        <w:ind w:left="360"/>
      </w:pPr>
      <w:r>
        <w:rPr>
          <w:rFonts w:ascii="Arial" w:hAnsi="Arial"/>
          <w:b/>
          <w:sz w:val="19"/>
        </w:rPr>
        <w:t xml:space="preserve">1. Surat Keputusan (SK) Pembentukan Pokja: </w:t>
      </w:r>
      <w:r>
        <w:rPr>
          <w:rFonts w:ascii="Arial" w:hAnsi="Arial"/>
          <w:sz w:val="19"/>
        </w:rPr>
        <w:t>Diterbitkan oleh KPA / Ketua KPU dengan mencantumkan nama, jabatan kedinasan, kedudukan dalam Pokja, dan masa tugas.</w:t>
      </w:r>
    </w:p>
    <w:p>
      <w:pPr>
        <w:spacing w:after="60"/>
        <w:ind w:left="360"/>
      </w:pPr>
      <w:r>
        <w:rPr>
          <w:rFonts w:ascii="Arial" w:hAnsi="Arial"/>
          <w:b/>
          <w:sz w:val="19"/>
        </w:rPr>
        <w:t xml:space="preserve">2. Surat Tugas: </w:t>
      </w:r>
      <w:r>
        <w:rPr>
          <w:rFonts w:ascii="Arial" w:hAnsi="Arial"/>
          <w:sz w:val="19"/>
        </w:rPr>
        <w:t>Diterbitkan oleh KPA untuk penugasan rapat dan koordinasi di lapangan.</w:t>
      </w:r>
    </w:p>
    <w:p>
      <w:pPr>
        <w:spacing w:after="60"/>
        <w:ind w:left="360"/>
      </w:pPr>
      <w:r>
        <w:rPr>
          <w:rFonts w:ascii="Arial" w:hAnsi="Arial"/>
          <w:b/>
          <w:sz w:val="19"/>
        </w:rPr>
        <w:t xml:space="preserve">3. Undangan Rapat Koordinasi: </w:t>
      </w:r>
      <w:r>
        <w:rPr>
          <w:rFonts w:ascii="Arial" w:hAnsi="Arial"/>
          <w:sz w:val="19"/>
        </w:rPr>
        <w:t>Disampaikan kepada seluruh anggota Pokja dari unsur internal maupun eksternal.</w:t>
      </w:r>
    </w:p>
    <w:p>
      <w:pPr>
        <w:spacing w:after="60"/>
        <w:ind w:left="360"/>
      </w:pPr>
      <w:r>
        <w:rPr>
          <w:rFonts w:ascii="Arial" w:hAnsi="Arial"/>
          <w:b/>
          <w:sz w:val="19"/>
        </w:rPr>
        <w:t xml:space="preserve">4. Daftar Hadir Asli: </w:t>
      </w:r>
      <w:r>
        <w:rPr>
          <w:rFonts w:ascii="Arial" w:hAnsi="Arial"/>
          <w:sz w:val="19"/>
        </w:rPr>
        <w:t>Presensi kehadiran fisik bertandatangan basah pada setiap rapat pelaksanaan tugas.</w:t>
      </w:r>
    </w:p>
    <w:p>
      <w:pPr>
        <w:spacing w:after="60"/>
        <w:ind w:left="360"/>
      </w:pPr>
      <w:r>
        <w:rPr>
          <w:rFonts w:ascii="Arial" w:hAnsi="Arial"/>
          <w:b/>
          <w:sz w:val="19"/>
        </w:rPr>
        <w:t xml:space="preserve">5. Risalah / Notulensi Rapat: </w:t>
      </w:r>
      <w:r>
        <w:rPr>
          <w:rFonts w:ascii="Arial" w:hAnsi="Arial"/>
          <w:sz w:val="19"/>
        </w:rPr>
        <w:t>Mencatat secara sistematis tanggal, waktu, pokok bahasan, dan kesimpulan keputusan rapat.</w:t>
      </w:r>
    </w:p>
    <w:p>
      <w:pPr>
        <w:spacing w:after="60"/>
        <w:ind w:left="360"/>
      </w:pPr>
      <w:r>
        <w:rPr>
          <w:rFonts w:ascii="Arial" w:hAnsi="Arial"/>
          <w:b/>
          <w:sz w:val="19"/>
        </w:rPr>
        <w:t xml:space="preserve">6. Laporan Hasil Pelaksanaan Tugas Pokja (Wajib Bab I s.d. Bab IV): </w:t>
      </w:r>
      <w:r>
        <w:rPr>
          <w:rFonts w:ascii="Arial" w:hAnsi="Arial"/>
          <w:sz w:val="19"/>
        </w:rPr>
        <w:t>Merupakan bukti output riil yang disahkan oleh KPA dengan sistematika baku:</w:t>
      </w:r>
    </w:p>
    <w:p>
      <w:pPr>
        <w:spacing w:line="276" w:lineRule="auto" w:after="100"/>
      </w:pPr>
      <w:r>
        <w:rPr>
          <w:rFonts w:ascii="Arial" w:hAnsi="Arial"/>
          <w:b w:val="0"/>
          <w:i w:val="0"/>
          <w:color w:val="334155"/>
          <w:sz w:val="21"/>
        </w:rPr>
        <w:t>Sistematika Baku Laporan Output Pokja (KPT 543/2022 Halaman 73-75):</w:t>
        <w:br/>
        <w:t>• BAB I PENDAHULUAN: Latar Belakang (isu strategis), Sasaran, Maksud &amp; Tujuan.</w:t>
        <w:br/>
        <w:t>• BAB II GAMBARAN UMUM: Dasar Hukum, Jangka Waktu Pelaksanaan, Rencana Anggaran Biaya (RAB), Susunan Personel &amp; Uraian Tugas.</w:t>
        <w:br/>
        <w:t>• BAB III HASIL TIM PELAKSANAAN KEGIATAN: Langkah Program/Kegiatan, Output/Keluaran Terukur disertai Data Valid.</w:t>
        <w:br/>
        <w:t>• BAB IV PENUTUP: Kesimpulan Capaian Pokja &amp; Rekomendasi/Tindak Lanjut ke Depan.</w:t>
        <w:br/>
        <w:t>• LAMPIRAN: Fotokopi SK Pokja, Surat Tugas, Undangan, Notulensi, Presensi Hadir, dan Dokumentasi Foto Kegiatan.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E3A8A"/>
          <w:sz w:val="28"/>
        </w:rPr>
        <w:t>VIII. REKOMENDASI STRATEGIS &amp; MITIGASI RISIKO AUDIT (KPU NGAWI)</w:t>
      </w:r>
    </w:p>
    <w:p>
      <w:pPr>
        <w:spacing w:after="80"/>
        <w:ind w:left="360"/>
      </w:pPr>
      <w:r>
        <w:rPr>
          <w:rFonts w:ascii="Arial" w:hAnsi="Arial"/>
          <w:color w:val="0F172A"/>
          <w:sz w:val="19"/>
        </w:rPr>
        <w:t>✔ Pengendalian Plafon 5 Pokja: KPA dan Kasubbag Perencanaan KPU Kab. Ngawi menyepakati 5 Pokja Prioritas yang akan dialokasikan honorariumnya dalam Dokumen Pelaksanaan Anggaran (DPA) Hibah NPHD.</w:t>
      </w:r>
    </w:p>
    <w:p>
      <w:pPr>
        <w:spacing w:after="80"/>
        <w:ind w:left="360"/>
      </w:pPr>
      <w:r>
        <w:rPr>
          <w:rFonts w:ascii="Arial" w:hAnsi="Arial"/>
          <w:color w:val="0F172A"/>
          <w:sz w:val="19"/>
        </w:rPr>
        <w:t>✔ Penguncian Personel (Maks 2 Pokja): Membuat matriks silang (cross-check table) seluruh nama pegawai/komisioner untuk memastikan tidak ada personel yang menerima honor lebih dari 2 Pokja dalam tahun anggaran yang sama.</w:t>
      </w:r>
    </w:p>
    <w:p>
      <w:pPr>
        <w:spacing w:after="80"/>
        <w:ind w:left="360"/>
      </w:pPr>
      <w:r>
        <w:rPr>
          <w:rFonts w:ascii="Arial" w:hAnsi="Arial"/>
          <w:color w:val="0F172A"/>
          <w:sz w:val="19"/>
        </w:rPr>
        <w:t>✔ Disiplin Masa Kerja (Maks 3 Bulan): SK Pokja tidak boleh dibuat dengan masa kerja melebihi 3 bulan berturut-turut. Tanggal SK harus menyesuaikan dengan timeline tahapan riil di lapangan.</w:t>
      </w:r>
    </w:p>
    <w:p>
      <w:pPr>
        <w:spacing w:after="80"/>
        <w:ind w:left="360"/>
      </w:pPr>
      <w:r>
        <w:rPr>
          <w:rFonts w:ascii="Arial" w:hAnsi="Arial"/>
          <w:color w:val="0F172A"/>
          <w:sz w:val="19"/>
        </w:rPr>
        <w:t>✔ Pelibatan Instansi Eksternal: Kuota internal KPU wajib dibatasi maksimal 10 orang per Pokja, sedangkan 3-5 personel lainnya dialokasikan untuk mitra kerja terkait (Polres, Kodim, Dispendukcapil, Satpol PP, dsb).</w:t>
      </w:r>
    </w:p>
    <w:p>
      <w:pPr>
        <w:spacing w:after="80"/>
        <w:ind w:left="360"/>
      </w:pPr>
      <w:r>
        <w:rPr>
          <w:rFonts w:ascii="Arial" w:hAnsi="Arial"/>
          <w:color w:val="0F172A"/>
          <w:sz w:val="19"/>
        </w:rPr>
        <w:t>✔ Validasi SPJ Sebelum Pembayaran: Bendahara Pengeluaran Pembantu (BPP) dilarang menerbitkan bukti bayar honorarium sebelum Laporan Hasil Pelaksanaan Tugas Pokja (Bab I-IV) disahkan secara resmi oleh KPA.</w:t>
      </w:r>
    </w:p>
    <w:p>
      <w:pPr>
        <w:spacing w:after="240"/>
      </w:pPr>
    </w:p>
    <w:p>
      <w:pPr>
        <w:jc w:val="right"/>
      </w:pPr>
      <w:r>
        <w:rPr>
          <w:rFonts w:ascii="Arial" w:hAnsi="Arial"/>
          <w:sz w:val="20"/>
        </w:rPr>
        <w:t>Ngawi, Oktober 2026</w:t>
        <w:br/>
      </w:r>
      <w:r>
        <w:rPr>
          <w:rFonts w:ascii="Arial" w:hAnsi="Arial"/>
          <w:i/>
          <w:sz w:val="20"/>
        </w:rPr>
        <w:t>Disusun Oleh:</w:t>
        <w:br/>
        <w:t>Tim Sistem Perencanaan Anggaran Badan Ad Hoc (SI-PRABU)</w:t>
        <w:br/>
        <w:t>Komisi Pemilihan Umum Kabupaten Ngawi</w:t>
        <w:br/>
        <w:br/>
        <w:br/>
      </w:r>
      <w:r>
        <w:rPr>
          <w:rFonts w:ascii="Arial" w:hAnsi="Arial"/>
          <w:b/>
          <w:sz w:val="21"/>
          <w:u w:val="single"/>
        </w:rPr>
        <w:t>LEAD DEVELOPER &amp; SYSTEM ARCHITECT (emenje)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