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10771"/>
            <w:gridSpan w:val="2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AGENDA APPROVAL AND CONFIRMATION</w:t>
            </w:r>
          </w:p>
        </w:tc>
      </w:tr>
      <w:tr>
        <w:trPr>
          <w:cantSplit/>
        </w:trPr>
        <w:tc>
          <w:tcPr>
            <w:tcW w:type="dxa" w:w="10771"/>
            <w:gridSpan w:val="2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This agenda was approved for distribution by the SGB Executive Committee:</w:t>
            </w:r>
          </w:p>
        </w:tc>
      </w:tr>
      <w:tr>
        <w:trPr>
          <w:cantSplit/>
        </w:trPr>
        <w:tc>
          <w:tcPr>
            <w:tcW w:type="dxa" w:w="5385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5385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OFFICIAL AGENDA OF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2026-08-23T10:03:19.106Z</dcterms:created>
  <dcterms:modified xsi:type="dcterms:W3CDTF">2026-08-23T10:03:19.106Z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