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 of 11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A. Engelbrecht (Prop.) / Mrs. O. Bambilawu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10 out of 11 members were in attendance, with one formal apology recorded from Learner Representative Alumanye Nxele.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Mr. A. Engelbrecht, Seconded by Mrs. O. Bambilawu.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Miss N. Von Solms, Seconded by Mr. A. Gushmani.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BUSINESS: REVIEW AND FORMAL ADOPTION OF THE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 to 3: Verified institutional name, legal status, and objectives under SASA Act 84 of 1996.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4: Confirmed SGB composition, electable categories, parent majority representation, and learner participation.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5 &amp; 6: Reviewed office-bearer roles (Chairperson, Vice-Chair, Treasurer, Secretary) and handover protocols.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7 to 9: Reviewed meeting frequencies (minimum once per term), notice periods, quorum requirements (50% + 1), and voting rules.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10 &amp; 11: Examined sub-committee mandates, specifically the Finance Committee (FinCom) oversight and Disciplinary Committee responsibilities.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A. Gushmani (Treasurer) highlighted the explicit requirement for monthly FinCom oversight and annual audited statements submission before 30 June.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Miss N. Von Solms (Educator Rep) emphasized the integration between the SGB Constitution and school policy enforcement.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Proposer: Mr. Anthony Engelbrecht (Educator Representative) moved that the SGB Constitution of Lady Grey Arts Academy be formally accepted and adopted as the supreme governing charter of the institution.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Seconder: Mrs. Octavia Bambilawu (Parent Representative) seconded the motion.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Chairperson called for a vote.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Result: In Favour: 10 (Unanimous) | Against: 0 | Abstentions: 0.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Resolution: The SGB Constitution 2026 was declared formally accepted, adopted, and signed.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1: Wednesday, 28 January 2026 &amp; Wednesday, 11 March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2: Wednesday, 20 May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3: Wednesday, 09 September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4: Wednesday, 28 October 2026 &amp; Parent Budget AGM: Thursday, 12 November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A. Gushmani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MINUTES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2026-08-22T20:57:35.563Z</dcterms:created>
  <dcterms:modified xsi:type="dcterms:W3CDTF">2026-08-22T20:57:35.563Z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