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CONSTITUTION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CONSTITUTION OF THE SCHOOL GOVERNING BODY</w:t>
      </w:r>
    </w:p>
    <w:p>
      <w:pPr>
        <w:spacing w:after="180" w:before="0"/>
        <w:jc w:val="center"/>
      </w:pPr>
      <w:r>
        <w:rPr>
          <w:rFonts w:ascii="Arial" w:cs="Arial" w:eastAsia="Arial" w:hAnsi="Arial"/>
          <w:b/>
          <w:bCs/>
          <w:color w:val="A6192E"/>
          <w:sz w:val="24"/>
          <w:szCs w:val="24"/>
        </w:rPr>
        <w:t xml:space="preserve">LADY GREY ARTS ACADEMY</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Regulatory Alignment &amp; Authority</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Details &amp; Specifications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National Legislative Basis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South African Schools Act (Act No. 84 of 1996) as amended</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Provincial Legislative Basis</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Eastern Cape Schools Education Act (Act No. 1 of 1999)</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Institutional Governance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Governing Body of Lady Grey Arts Academy (EMIS: 200600985)</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Financial Year Lifecycle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1 January to 31 December</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Statutory Submission Window</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Submitted to HOD within 90 days of SGB term / adoption</w:t>
            </w:r>
          </w:p>
        </w:tc>
      </w:tr>
    </w:tbl>
    <w:p>
      <w:pPr>
        <w:spacing w:after="0" w:before="120"/>
      </w:pPr>
    </w:p>
    <w:tbl>
      <w:tblPr>
        <w:tblW w:type="dxa" w:w="10771"/>
        <w:tblBorders>
          <w:top w:val="single" w:color="E2E8F0" w:sz="4"/>
          <w:left w:val="single" w:color="0C2340" w:sz="24"/>
          <w:bottom w:val="single" w:color="E2E8F0" w:sz="4"/>
          <w:right w:val="single" w:color="E2E8F0" w:sz="4"/>
          <w:insideH w:val="single" w:color="auto" w:sz="4"/>
          <w:insideV w:val="single" w:color="auto" w:sz="4"/>
        </w:tblBorders>
      </w:tblPr>
      <w:tblGrid>
        <w:gridCol w:w="100"/>
      </w:tblGrid>
      <w:tr>
        <w:tc>
          <w:tcPr>
            <w:tcW w:type="dxa" w:w="10771"/>
            <w:shd w:fill="F8FAFC"/>
            <w:tcMar>
              <w:top w:type="dxa" w:w="120"/>
              <w:left w:type="dxa" w:w="160"/>
              <w:bottom w:type="dxa" w:w="120"/>
              <w:right w:type="dxa" w:w="160"/>
            </w:tcMar>
          </w:tcPr>
          <w:p>
            <w:pPr>
              <w:spacing w:after="0" w:before="0" w:line="260"/>
              <w:jc w:val="both"/>
            </w:pPr>
            <w:r>
              <w:rPr>
                <w:rFonts w:ascii="Arial" w:cs="Arial" w:eastAsia="Arial" w:hAnsi="Arial"/>
                <w:b/>
                <w:bCs/>
                <w:color w:val="0C2340"/>
                <w:sz w:val="18"/>
                <w:szCs w:val="18"/>
              </w:rPr>
              <w:t xml:space="preserve">LEGAL NOTICE &amp; BINDING MANDATE: </w:t>
            </w:r>
            <w:r>
              <w:rPr>
                <w:rFonts w:ascii="Arial" w:cs="Arial" w:eastAsia="Arial" w:hAnsi="Arial"/>
                <w:color w:val="1A1A1A"/>
                <w:sz w:val="18"/>
                <w:szCs w:val="18"/>
              </w:rPr>
              <w:t xml:space="preserve">This Constitution is the supreme regulatory governance charter of Lady Grey Arts Academy, adopted in terms of Section 18 of the South African Schools Act. All policies, sub-committees, resolutions, and management actions must strictly align with this Constitution.</w:t>
            </w:r>
          </w:p>
        </w:tc>
      </w:tr>
    </w:tbl>
    <w:p>
      <w:pPr>
        <w:spacing w:after="0" w:before="140"/>
      </w:pPr>
    </w:p>
    <w:p>
      <w:pPr>
        <w:tabs>
          <w:tab w:val="left" w:pos="566"/>
        </w:tabs>
        <w:spacing w:after="100" w:before="24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NAME</w:t>
      </w:r>
    </w:p>
    <w:p>
      <w:pPr>
        <w:tabs>
          <w:tab w:val="left" w:pos="566"/>
        </w:tabs>
        <w:spacing w:after="90" w:before="7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name of the governing body is the Governing Body of the Lady Grey Arts Academy.</w:t>
      </w:r>
    </w:p>
    <w:p>
      <w:pPr>
        <w:tabs>
          <w:tab w:val="left" w:pos="566"/>
        </w:tabs>
        <w:spacing w:after="100" w:before="24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LEGAL STATUS AND GOVERNANCE MANDATE</w:t>
      </w:r>
    </w:p>
    <w:p>
      <w:pPr>
        <w:tabs>
          <w:tab w:val="left" w:pos="566"/>
        </w:tabs>
        <w:spacing w:after="90" w:before="7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is a juristic person established in terms of Section 16(1) of the South African Schools Act (Act No. 84 of 1996) as amended.</w:t>
      </w:r>
    </w:p>
    <w:p>
      <w:pPr>
        <w:tabs>
          <w:tab w:val="left" w:pos="566"/>
        </w:tabs>
        <w:spacing w:after="90" w:before="7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governance of the school is vested in the Governing Body, which stands in a position of trust towards the school.</w:t>
      </w:r>
    </w:p>
    <w:p>
      <w:pPr>
        <w:tabs>
          <w:tab w:val="left" w:pos="566"/>
        </w:tabs>
        <w:spacing w:after="90" w:before="7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exercises its authority in accordance with national legislation, provincial education policy, and this Constitution.</w:t>
      </w:r>
    </w:p>
    <w:p>
      <w:pPr>
        <w:tabs>
          <w:tab w:val="left" w:pos="566"/>
        </w:tabs>
        <w:spacing w:after="100" w:before="24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PURPOSE AND OBJECTIVES</w:t>
      </w:r>
    </w:p>
    <w:p>
      <w:pPr>
        <w:tabs>
          <w:tab w:val="left" w:pos="566"/>
        </w:tabs>
        <w:spacing w:after="90" w:before="7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purpose of the Governing Body is to promote the best interests of the school and ensure its development through the provision of quality education for all learners at the school.</w:t>
      </w:r>
    </w:p>
    <w:p>
      <w:pPr>
        <w:tabs>
          <w:tab w:val="left" w:pos="566"/>
        </w:tabs>
        <w:spacing w:after="90" w:before="7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foster a culture of excellence in academic, artistic, and co-curricular pursuits.</w:t>
      </w:r>
    </w:p>
    <w:p>
      <w:pPr>
        <w:tabs>
          <w:tab w:val="left" w:pos="566"/>
        </w:tabs>
        <w:spacing w:after="90" w:before="7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ensure the effective and transparent administration of school funds, assets, property, and grounds.</w:t>
      </w:r>
    </w:p>
    <w:p>
      <w:pPr>
        <w:tabs>
          <w:tab w:val="left" w:pos="566"/>
        </w:tabs>
        <w:spacing w:after="90" w:before="70" w:line="276"/>
        <w:ind w:left="566" w:hanging="566"/>
        <w:jc w:val="both"/>
      </w:pPr>
      <w:r>
        <w:rPr>
          <w:rFonts w:ascii="Arial" w:cs="Arial" w:eastAsia="Arial" w:hAnsi="Arial"/>
          <w:b/>
          <w:bCs/>
          <w:color w:val="1A1A1A"/>
          <w:sz w:val="20"/>
          <w:szCs w:val="20"/>
        </w:rPr>
        <w:t xml:space="preserve">3.4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maintain constructive partnerships between parents, educators, non-teaching personnel, learners, and the Department of Basic Education.</w:t>
      </w:r>
    </w:p>
    <w:p>
      <w:pPr>
        <w:tabs>
          <w:tab w:val="left" w:pos="566"/>
        </w:tabs>
        <w:spacing w:after="100" w:before="24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COMPOSITION OF THE GOVERNING BODY</w:t>
      </w:r>
    </w:p>
    <w:p>
      <w:pPr>
        <w:tabs>
          <w:tab w:val="left" w:pos="566"/>
        </w:tabs>
        <w:spacing w:after="90" w:before="7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of Lady Grey Arts Academy is constituted in accordance with Section 23 of SASA and comprises:</w:t>
      </w:r>
    </w:p>
    <w:p>
      <w:pPr>
        <w:spacing w:after="90" w:before="70" w:line="276"/>
        <w:ind w:left="0"/>
        <w:jc w:val="both"/>
      </w:pPr>
      <w:r>
        <w:rPr>
          <w:rFonts w:ascii="Arial" w:cs="Arial" w:eastAsia="Arial" w:hAnsi="Arial"/>
          <w:color w:val="1A1A1A"/>
          <w:sz w:val="20"/>
          <w:szCs w:val="20"/>
        </w:rPr>
        <w:t xml:space="preserve">- Parent members (who must form the majority of voting members).</w:t>
      </w:r>
    </w:p>
    <w:p>
      <w:pPr>
        <w:spacing w:after="90" w:before="70" w:line="276"/>
        <w:ind w:left="0"/>
        <w:jc w:val="both"/>
      </w:pPr>
      <w:r>
        <w:rPr>
          <w:rFonts w:ascii="Arial" w:cs="Arial" w:eastAsia="Arial" w:hAnsi="Arial"/>
          <w:color w:val="1A1A1A"/>
          <w:sz w:val="20"/>
          <w:szCs w:val="20"/>
        </w:rPr>
        <w:t xml:space="preserve">- Educator members elected by educators employed at the school.</w:t>
      </w:r>
    </w:p>
    <w:p>
      <w:pPr>
        <w:spacing w:after="90" w:before="70" w:line="276"/>
        <w:ind w:left="0"/>
        <w:jc w:val="both"/>
      </w:pPr>
      <w:r>
        <w:rPr>
          <w:rFonts w:ascii="Arial" w:cs="Arial" w:eastAsia="Arial" w:hAnsi="Arial"/>
          <w:color w:val="1A1A1A"/>
          <w:sz w:val="20"/>
          <w:szCs w:val="20"/>
        </w:rPr>
        <w:t xml:space="preserve">- Non-teaching staff member elected by support personnel.</w:t>
      </w:r>
    </w:p>
    <w:p>
      <w:pPr>
        <w:spacing w:after="90" w:before="70" w:line="276"/>
        <w:ind w:left="0"/>
        <w:jc w:val="both"/>
      </w:pPr>
      <w:r>
        <w:rPr>
          <w:rFonts w:ascii="Arial" w:cs="Arial" w:eastAsia="Arial" w:hAnsi="Arial"/>
          <w:color w:val="1A1A1A"/>
          <w:sz w:val="20"/>
          <w:szCs w:val="20"/>
        </w:rPr>
        <w:t xml:space="preserve">- Learner representatives from the Representative Council of Learners (RCL) in Grade 8 or higher.</w:t>
      </w:r>
    </w:p>
    <w:p>
      <w:pPr>
        <w:spacing w:after="90" w:before="70" w:line="276"/>
        <w:ind w:left="0"/>
        <w:jc w:val="both"/>
      </w:pPr>
      <w:r>
        <w:rPr>
          <w:rFonts w:ascii="Arial" w:cs="Arial" w:eastAsia="Arial" w:hAnsi="Arial"/>
          <w:color w:val="1A1A1A"/>
          <w:sz w:val="20"/>
          <w:szCs w:val="20"/>
        </w:rPr>
        <w:t xml:space="preserve">- The School Principal as an ex-officio member representing the Department of Education.</w:t>
      </w:r>
    </w:p>
    <w:p>
      <w:pPr>
        <w:tabs>
          <w:tab w:val="left" w:pos="566"/>
        </w:tabs>
        <w:spacing w:after="90" w:before="70" w:line="276"/>
        <w:ind w:left="566" w:hanging="566"/>
        <w:jc w:val="both"/>
      </w:pPr>
      <w:r>
        <w:rPr>
          <w:rFonts w:ascii="Arial" w:cs="Arial" w:eastAsia="Arial" w:hAnsi="Arial"/>
          <w:b/>
          <w:bCs/>
          <w:color w:val="1A1A1A"/>
          <w:sz w:val="20"/>
          <w:szCs w:val="20"/>
        </w:rPr>
        <w:t xml:space="preserve">4.2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Co-opted members may be appointed by the Governing Body to assist with specific expertise but do not hold voting rights.</w:t>
      </w:r>
    </w:p>
    <w:p>
      <w:pPr>
        <w:tabs>
          <w:tab w:val="left" w:pos="566"/>
        </w:tabs>
        <w:spacing w:after="100" w:before="240"/>
        <w:ind w:left="0"/>
      </w:pPr>
      <w:r>
        <w:rPr>
          <w:rFonts w:ascii="Arial" w:cs="Arial" w:eastAsia="Arial" w:hAnsi="Arial"/>
          <w:b/>
          <w:bCs/>
          <w:color w:val="0C2340"/>
          <w:sz w:val="22"/>
          <w:szCs w:val="22"/>
        </w:rPr>
        <w:t xml:space="preserve">5.</w:t>
      </w:r>
      <w:r>
        <w:rPr>
          <w:rFonts w:ascii="Arial" w:cs="Arial" w:eastAsia="Arial" w:hAnsi="Arial"/>
          <w:sz w:val="22"/>
          <w:szCs w:val="22"/>
        </w:rPr>
        <w:t xml:space="preserve">	</w:t>
      </w:r>
      <w:r>
        <w:rPr>
          <w:rFonts w:ascii="Arial" w:cs="Arial" w:eastAsia="Arial" w:hAnsi="Arial"/>
          <w:b/>
          <w:bCs/>
          <w:color w:val="0C2340"/>
          <w:sz w:val="22"/>
          <w:szCs w:val="22"/>
        </w:rPr>
        <w:t xml:space="preserve">TERM OF OFFICE</w:t>
      </w:r>
    </w:p>
    <w:p>
      <w:pPr>
        <w:tabs>
          <w:tab w:val="left" w:pos="566"/>
        </w:tabs>
        <w:spacing w:after="90" w:before="70" w:line="276"/>
        <w:ind w:left="566" w:hanging="566"/>
        <w:jc w:val="both"/>
      </w:pPr>
      <w:r>
        <w:rPr>
          <w:rFonts w:ascii="Arial" w:cs="Arial" w:eastAsia="Arial" w:hAnsi="Arial"/>
          <w:b/>
          <w:bCs/>
          <w:color w:val="1A1A1A"/>
          <w:sz w:val="20"/>
          <w:szCs w:val="20"/>
        </w:rPr>
        <w:t xml:space="preserve">5.1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term of office of Governing Body members other than learner members is three (3) years.</w:t>
      </w:r>
    </w:p>
    <w:p>
      <w:pPr>
        <w:tabs>
          <w:tab w:val="left" w:pos="566"/>
        </w:tabs>
        <w:spacing w:after="90" w:before="70" w:line="276"/>
        <w:ind w:left="566" w:hanging="566"/>
        <w:jc w:val="both"/>
      </w:pPr>
      <w:r>
        <w:rPr>
          <w:rFonts w:ascii="Arial" w:cs="Arial" w:eastAsia="Arial" w:hAnsi="Arial"/>
          <w:b/>
          <w:bCs/>
          <w:color w:val="1A1A1A"/>
          <w:sz w:val="20"/>
          <w:szCs w:val="20"/>
        </w:rPr>
        <w:t xml:space="preserve">5.2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term of office of learner members from the RCL is one (1) year.</w:t>
      </w:r>
    </w:p>
    <w:p>
      <w:pPr>
        <w:tabs>
          <w:tab w:val="left" w:pos="566"/>
        </w:tabs>
        <w:spacing w:after="90" w:before="70" w:line="276"/>
        <w:ind w:left="566" w:hanging="566"/>
        <w:jc w:val="both"/>
      </w:pPr>
      <w:r>
        <w:rPr>
          <w:rFonts w:ascii="Arial" w:cs="Arial" w:eastAsia="Arial" w:hAnsi="Arial"/>
          <w:b/>
          <w:bCs/>
          <w:color w:val="1A1A1A"/>
          <w:sz w:val="20"/>
          <w:szCs w:val="20"/>
        </w:rPr>
        <w:t xml:space="preserve">5.3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Office-bearers serve for a period of one (1) year and are eligible for re-election.</w:t>
      </w:r>
    </w:p>
    <w:p>
      <w:pPr>
        <w:tabs>
          <w:tab w:val="left" w:pos="566"/>
        </w:tabs>
        <w:spacing w:after="100" w:before="240"/>
        <w:ind w:left="0"/>
      </w:pPr>
      <w:r>
        <w:rPr>
          <w:rFonts w:ascii="Arial" w:cs="Arial" w:eastAsia="Arial" w:hAnsi="Arial"/>
          <w:b/>
          <w:bCs/>
          <w:color w:val="0C2340"/>
          <w:sz w:val="22"/>
          <w:szCs w:val="22"/>
        </w:rPr>
        <w:t xml:space="preserve">6.</w:t>
      </w:r>
      <w:r>
        <w:rPr>
          <w:rFonts w:ascii="Arial" w:cs="Arial" w:eastAsia="Arial" w:hAnsi="Arial"/>
          <w:sz w:val="22"/>
          <w:szCs w:val="22"/>
        </w:rPr>
        <w:t xml:space="preserve">	</w:t>
      </w:r>
      <w:r>
        <w:rPr>
          <w:rFonts w:ascii="Arial" w:cs="Arial" w:eastAsia="Arial" w:hAnsi="Arial"/>
          <w:b/>
          <w:bCs/>
          <w:color w:val="0C2340"/>
          <w:sz w:val="22"/>
          <w:szCs w:val="22"/>
        </w:rPr>
        <w:t xml:space="preserve">ELECTION OF OFFICE-BEARERS AND HANDOVER</w:t>
      </w:r>
    </w:p>
    <w:p>
      <w:pPr>
        <w:tabs>
          <w:tab w:val="left" w:pos="566"/>
        </w:tabs>
        <w:spacing w:after="90" w:before="70" w:line="276"/>
        <w:ind w:left="566" w:hanging="566"/>
        <w:jc w:val="both"/>
      </w:pPr>
      <w:r>
        <w:rPr>
          <w:rFonts w:ascii="Arial" w:cs="Arial" w:eastAsia="Arial" w:hAnsi="Arial"/>
          <w:b/>
          <w:bCs/>
          <w:color w:val="1A1A1A"/>
          <w:sz w:val="20"/>
          <w:szCs w:val="20"/>
        </w:rPr>
        <w:t xml:space="preserve">6.1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At the inaugural meeting following triennial elections, the SGB shall elect from among its parent members:</w:t>
      </w:r>
    </w:p>
    <w:p>
      <w:pPr>
        <w:spacing w:after="90" w:before="70" w:line="276"/>
        <w:ind w:left="0"/>
        <w:jc w:val="both"/>
      </w:pPr>
      <w:r>
        <w:rPr>
          <w:rFonts w:ascii="Arial" w:cs="Arial" w:eastAsia="Arial" w:hAnsi="Arial"/>
          <w:color w:val="1A1A1A"/>
          <w:sz w:val="20"/>
          <w:szCs w:val="20"/>
        </w:rPr>
        <w:t xml:space="preserve">- A Chairperson.</w:t>
      </w:r>
    </w:p>
    <w:p>
      <w:pPr>
        <w:spacing w:after="90" w:before="70" w:line="276"/>
        <w:ind w:left="0"/>
        <w:jc w:val="both"/>
      </w:pPr>
      <w:r>
        <w:rPr>
          <w:rFonts w:ascii="Arial" w:cs="Arial" w:eastAsia="Arial" w:hAnsi="Arial"/>
          <w:color w:val="1A1A1A"/>
          <w:sz w:val="20"/>
          <w:szCs w:val="20"/>
        </w:rPr>
        <w:t xml:space="preserve">- A Treasurer.</w:t>
      </w:r>
    </w:p>
    <w:p>
      <w:pPr>
        <w:tabs>
          <w:tab w:val="left" w:pos="566"/>
        </w:tabs>
        <w:spacing w:after="90" w:before="70" w:line="276"/>
        <w:ind w:left="566" w:hanging="566"/>
        <w:jc w:val="both"/>
      </w:pPr>
      <w:r>
        <w:rPr>
          <w:rFonts w:ascii="Arial" w:cs="Arial" w:eastAsia="Arial" w:hAnsi="Arial"/>
          <w:b/>
          <w:bCs/>
          <w:color w:val="1A1A1A"/>
          <w:sz w:val="20"/>
          <w:szCs w:val="20"/>
        </w:rPr>
        <w:t xml:space="preserve">6.2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shall elect a Secretary and Vice-Chairperson from among its members.</w:t>
      </w:r>
    </w:p>
    <w:p>
      <w:pPr>
        <w:tabs>
          <w:tab w:val="left" w:pos="566"/>
        </w:tabs>
        <w:spacing w:after="90" w:before="70" w:line="276"/>
        <w:ind w:left="566" w:hanging="566"/>
        <w:jc w:val="both"/>
      </w:pPr>
      <w:r>
        <w:rPr>
          <w:rFonts w:ascii="Arial" w:cs="Arial" w:eastAsia="Arial" w:hAnsi="Arial"/>
          <w:b/>
          <w:bCs/>
          <w:color w:val="1A1A1A"/>
          <w:sz w:val="20"/>
          <w:szCs w:val="20"/>
        </w:rPr>
        <w:t xml:space="preserve">6.3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Principal and SGB Executive shall ensure full institutional handover, including asset registers, bank mandates, financial statements, and policy portfolios.</w:t>
      </w:r>
    </w:p>
    <w:p>
      <w:pPr>
        <w:tabs>
          <w:tab w:val="left" w:pos="566"/>
        </w:tabs>
        <w:spacing w:after="100" w:before="240"/>
        <w:ind w:left="0"/>
      </w:pPr>
      <w:r>
        <w:rPr>
          <w:rFonts w:ascii="Arial" w:cs="Arial" w:eastAsia="Arial" w:hAnsi="Arial"/>
          <w:b/>
          <w:bCs/>
          <w:color w:val="0C2340"/>
          <w:sz w:val="22"/>
          <w:szCs w:val="22"/>
        </w:rPr>
        <w:t xml:space="preserve">7.</w:t>
      </w:r>
      <w:r>
        <w:rPr>
          <w:rFonts w:ascii="Arial" w:cs="Arial" w:eastAsia="Arial" w:hAnsi="Arial"/>
          <w:sz w:val="22"/>
          <w:szCs w:val="22"/>
        </w:rPr>
        <w:t xml:space="preserve">	</w:t>
      </w:r>
      <w:r>
        <w:rPr>
          <w:rFonts w:ascii="Arial" w:cs="Arial" w:eastAsia="Arial" w:hAnsi="Arial"/>
          <w:b/>
          <w:bCs/>
          <w:color w:val="0C2340"/>
          <w:sz w:val="22"/>
          <w:szCs w:val="22"/>
        </w:rPr>
        <w:t xml:space="preserve">SGB MEETINGS AND NOTICES</w:t>
      </w:r>
    </w:p>
    <w:p>
      <w:pPr>
        <w:tabs>
          <w:tab w:val="left" w:pos="566"/>
        </w:tabs>
        <w:spacing w:after="90" w:before="70" w:line="276"/>
        <w:ind w:left="566" w:hanging="566"/>
        <w:jc w:val="both"/>
      </w:pPr>
      <w:r>
        <w:rPr>
          <w:rFonts w:ascii="Arial" w:cs="Arial" w:eastAsia="Arial" w:hAnsi="Arial"/>
          <w:b/>
          <w:bCs/>
          <w:color w:val="1A1A1A"/>
          <w:sz w:val="20"/>
          <w:szCs w:val="20"/>
        </w:rPr>
        <w:t xml:space="preserve">7.1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shall meet at least once per school term.</w:t>
      </w:r>
    </w:p>
    <w:p>
      <w:pPr>
        <w:tabs>
          <w:tab w:val="left" w:pos="566"/>
        </w:tabs>
        <w:spacing w:after="90" w:before="70" w:line="276"/>
        <w:ind w:left="566" w:hanging="566"/>
        <w:jc w:val="both"/>
      </w:pPr>
      <w:r>
        <w:rPr>
          <w:rFonts w:ascii="Arial" w:cs="Arial" w:eastAsia="Arial" w:hAnsi="Arial"/>
          <w:b/>
          <w:bCs/>
          <w:color w:val="1A1A1A"/>
          <w:sz w:val="20"/>
          <w:szCs w:val="20"/>
        </w:rPr>
        <w:t xml:space="preserve">7.2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Written notice of ordinary meetings, accompanied by an itemized agenda and relevant draft documentation, shall be distributed to all members at least seven (7) days prior to the meeting.</w:t>
      </w:r>
    </w:p>
    <w:p>
      <w:pPr>
        <w:tabs>
          <w:tab w:val="left" w:pos="566"/>
        </w:tabs>
        <w:spacing w:after="90" w:before="70" w:line="276"/>
        <w:ind w:left="566" w:hanging="566"/>
        <w:jc w:val="both"/>
      </w:pPr>
      <w:r>
        <w:rPr>
          <w:rFonts w:ascii="Arial" w:cs="Arial" w:eastAsia="Arial" w:hAnsi="Arial"/>
          <w:b/>
          <w:bCs/>
          <w:color w:val="1A1A1A"/>
          <w:sz w:val="20"/>
          <w:szCs w:val="20"/>
        </w:rPr>
        <w:t xml:space="preserve">7.3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Special or emergency meetings may be convened by the Chairperson on at least twenty-four (24) hours' notice.</w:t>
      </w:r>
    </w:p>
    <w:p>
      <w:pPr>
        <w:tabs>
          <w:tab w:val="left" w:pos="566"/>
        </w:tabs>
        <w:spacing w:after="100" w:before="240"/>
        <w:ind w:left="0"/>
      </w:pPr>
      <w:r>
        <w:rPr>
          <w:rFonts w:ascii="Arial" w:cs="Arial" w:eastAsia="Arial" w:hAnsi="Arial"/>
          <w:b/>
          <w:bCs/>
          <w:color w:val="0C2340"/>
          <w:sz w:val="22"/>
          <w:szCs w:val="22"/>
        </w:rPr>
        <w:t xml:space="preserve">8.</w:t>
      </w:r>
      <w:r>
        <w:rPr>
          <w:rFonts w:ascii="Arial" w:cs="Arial" w:eastAsia="Arial" w:hAnsi="Arial"/>
          <w:sz w:val="22"/>
          <w:szCs w:val="22"/>
        </w:rPr>
        <w:t xml:space="preserve">	</w:t>
      </w:r>
      <w:r>
        <w:rPr>
          <w:rFonts w:ascii="Arial" w:cs="Arial" w:eastAsia="Arial" w:hAnsi="Arial"/>
          <w:b/>
          <w:bCs/>
          <w:color w:val="0C2340"/>
          <w:sz w:val="22"/>
          <w:szCs w:val="22"/>
        </w:rPr>
        <w:t xml:space="preserve">QUORUM REQUIREMENTS</w:t>
      </w:r>
    </w:p>
    <w:p>
      <w:pPr>
        <w:tabs>
          <w:tab w:val="left" w:pos="566"/>
        </w:tabs>
        <w:spacing w:after="90" w:before="70" w:line="276"/>
        <w:ind w:left="566" w:hanging="566"/>
        <w:jc w:val="both"/>
      </w:pPr>
      <w:r>
        <w:rPr>
          <w:rFonts w:ascii="Arial" w:cs="Arial" w:eastAsia="Arial" w:hAnsi="Arial"/>
          <w:b/>
          <w:bCs/>
          <w:color w:val="1A1A1A"/>
          <w:sz w:val="20"/>
          <w:szCs w:val="20"/>
        </w:rPr>
        <w:t xml:space="preserve">8.1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majority of voting members (50% plus one) shall constitute a legal quorum for any meeting of the Governing Body.</w:t>
      </w:r>
    </w:p>
    <w:p>
      <w:pPr>
        <w:tabs>
          <w:tab w:val="left" w:pos="566"/>
        </w:tabs>
        <w:spacing w:after="90" w:before="70" w:line="276"/>
        <w:ind w:left="566" w:hanging="566"/>
        <w:jc w:val="both"/>
      </w:pPr>
      <w:r>
        <w:rPr>
          <w:rFonts w:ascii="Arial" w:cs="Arial" w:eastAsia="Arial" w:hAnsi="Arial"/>
          <w:b/>
          <w:bCs/>
          <w:color w:val="1A1A1A"/>
          <w:sz w:val="20"/>
          <w:szCs w:val="20"/>
        </w:rPr>
        <w:t xml:space="preserve">8.2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If a quorum is not present within thirty (30) minutes of the scheduled time, the meeting stands adjourned to a date determined by the Chairperson.</w:t>
      </w:r>
    </w:p>
    <w:p>
      <w:pPr>
        <w:tabs>
          <w:tab w:val="left" w:pos="566"/>
        </w:tabs>
        <w:spacing w:after="100" w:before="240"/>
        <w:ind w:left="0"/>
      </w:pPr>
      <w:r>
        <w:rPr>
          <w:rFonts w:ascii="Arial" w:cs="Arial" w:eastAsia="Arial" w:hAnsi="Arial"/>
          <w:b/>
          <w:bCs/>
          <w:color w:val="0C2340"/>
          <w:sz w:val="22"/>
          <w:szCs w:val="22"/>
        </w:rPr>
        <w:t xml:space="preserve">9.</w:t>
      </w:r>
      <w:r>
        <w:rPr>
          <w:rFonts w:ascii="Arial" w:cs="Arial" w:eastAsia="Arial" w:hAnsi="Arial"/>
          <w:sz w:val="22"/>
          <w:szCs w:val="22"/>
        </w:rPr>
        <w:t xml:space="preserve">	</w:t>
      </w:r>
      <w:r>
        <w:rPr>
          <w:rFonts w:ascii="Arial" w:cs="Arial" w:eastAsia="Arial" w:hAnsi="Arial"/>
          <w:b/>
          <w:bCs/>
          <w:color w:val="0C2340"/>
          <w:sz w:val="22"/>
          <w:szCs w:val="22"/>
        </w:rPr>
        <w:t xml:space="preserve">VOTING PROCEDURES AND DECISION-MAKING</w:t>
      </w:r>
    </w:p>
    <w:p>
      <w:pPr>
        <w:tabs>
          <w:tab w:val="left" w:pos="566"/>
        </w:tabs>
        <w:spacing w:after="90" w:before="70" w:line="276"/>
        <w:ind w:left="566" w:hanging="566"/>
        <w:jc w:val="both"/>
      </w:pPr>
      <w:r>
        <w:rPr>
          <w:rFonts w:ascii="Arial" w:cs="Arial" w:eastAsia="Arial" w:hAnsi="Arial"/>
          <w:b/>
          <w:bCs/>
          <w:color w:val="1A1A1A"/>
          <w:sz w:val="20"/>
          <w:szCs w:val="20"/>
        </w:rPr>
        <w:t xml:space="preserve">9.1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Decisions of the Governing Body shall be taken by majority vote of members present and voting.</w:t>
      </w:r>
    </w:p>
    <w:p>
      <w:pPr>
        <w:tabs>
          <w:tab w:val="left" w:pos="566"/>
        </w:tabs>
        <w:spacing w:after="90" w:before="70" w:line="276"/>
        <w:ind w:left="566" w:hanging="566"/>
        <w:jc w:val="both"/>
      </w:pPr>
      <w:r>
        <w:rPr>
          <w:rFonts w:ascii="Arial" w:cs="Arial" w:eastAsia="Arial" w:hAnsi="Arial"/>
          <w:b/>
          <w:bCs/>
          <w:color w:val="1A1A1A"/>
          <w:sz w:val="20"/>
          <w:szCs w:val="20"/>
        </w:rPr>
        <w:t xml:space="preserve">9.2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In the event of an equality of votes, the presiding Chairperson shall have a casting vote in addition to a deliberative vote.</w:t>
      </w:r>
    </w:p>
    <w:p>
      <w:pPr>
        <w:tabs>
          <w:tab w:val="left" w:pos="566"/>
        </w:tabs>
        <w:spacing w:after="90" w:before="70" w:line="276"/>
        <w:ind w:left="566" w:hanging="566"/>
        <w:jc w:val="both"/>
      </w:pPr>
      <w:r>
        <w:rPr>
          <w:rFonts w:ascii="Arial" w:cs="Arial" w:eastAsia="Arial" w:hAnsi="Arial"/>
          <w:b/>
          <w:bCs/>
          <w:color w:val="1A1A1A"/>
          <w:sz w:val="20"/>
          <w:szCs w:val="20"/>
        </w:rPr>
        <w:t xml:space="preserve">9.3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Voting on policy adoptions, budget approvals, and elections shall be conducted by secret ballot unless unanimously agreed otherwise.</w:t>
      </w:r>
    </w:p>
    <w:p>
      <w:pPr>
        <w:tabs>
          <w:tab w:val="left" w:pos="566"/>
        </w:tabs>
        <w:spacing w:after="100" w:before="240"/>
        <w:ind w:left="0"/>
      </w:pPr>
      <w:r>
        <w:rPr>
          <w:rFonts w:ascii="Arial" w:cs="Arial" w:eastAsia="Arial" w:hAnsi="Arial"/>
          <w:b/>
          <w:bCs/>
          <w:color w:val="0C2340"/>
          <w:sz w:val="22"/>
          <w:szCs w:val="22"/>
        </w:rPr>
        <w:t xml:space="preserve">10.</w:t>
      </w:r>
      <w:r>
        <w:rPr>
          <w:rFonts w:ascii="Arial" w:cs="Arial" w:eastAsia="Arial" w:hAnsi="Arial"/>
          <w:sz w:val="22"/>
          <w:szCs w:val="22"/>
        </w:rPr>
        <w:t xml:space="preserve">	</w:t>
      </w:r>
      <w:r>
        <w:rPr>
          <w:rFonts w:ascii="Arial" w:cs="Arial" w:eastAsia="Arial" w:hAnsi="Arial"/>
          <w:b/>
          <w:bCs/>
          <w:color w:val="0C2340"/>
          <w:sz w:val="22"/>
          <w:szCs w:val="22"/>
        </w:rPr>
        <w:t xml:space="preserve">COMMITTEES OF THE GOVERNING BODY</w:t>
      </w:r>
    </w:p>
    <w:p>
      <w:pPr>
        <w:tabs>
          <w:tab w:val="left" w:pos="566"/>
        </w:tabs>
        <w:spacing w:after="90" w:before="70" w:line="276"/>
        <w:ind w:left="566" w:hanging="566"/>
        <w:jc w:val="both"/>
      </w:pPr>
      <w:r>
        <w:rPr>
          <w:rFonts w:ascii="Arial" w:cs="Arial" w:eastAsia="Arial" w:hAnsi="Arial"/>
          <w:b/>
          <w:bCs/>
          <w:color w:val="1A1A1A"/>
          <w:sz w:val="20"/>
          <w:szCs w:val="20"/>
        </w:rPr>
        <w:t xml:space="preserve">10.1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may establish standing and ad-hoc committees, including:</w:t>
      </w:r>
    </w:p>
    <w:p>
      <w:pPr>
        <w:spacing w:after="90" w:before="70" w:line="276"/>
        <w:ind w:left="0"/>
        <w:jc w:val="both"/>
      </w:pPr>
      <w:r>
        <w:rPr>
          <w:rFonts w:ascii="Arial" w:cs="Arial" w:eastAsia="Arial" w:hAnsi="Arial"/>
          <w:color w:val="1A1A1A"/>
          <w:sz w:val="20"/>
          <w:szCs w:val="20"/>
        </w:rPr>
        <w:t xml:space="preserve">- Finance Committee (FinCom) chaired by the SGB Treasurer.</w:t>
      </w:r>
    </w:p>
    <w:p>
      <w:pPr>
        <w:spacing w:after="90" w:before="70" w:line="276"/>
        <w:ind w:left="0"/>
        <w:jc w:val="both"/>
      </w:pPr>
      <w:r>
        <w:rPr>
          <w:rFonts w:ascii="Arial" w:cs="Arial" w:eastAsia="Arial" w:hAnsi="Arial"/>
          <w:color w:val="1A1A1A"/>
          <w:sz w:val="20"/>
          <w:szCs w:val="20"/>
        </w:rPr>
        <w:t xml:space="preserve">- Disciplinary Committee for learner and governance compliance hearings.</w:t>
      </w:r>
    </w:p>
    <w:p>
      <w:pPr>
        <w:spacing w:after="90" w:before="70" w:line="276"/>
        <w:ind w:left="0"/>
        <w:jc w:val="both"/>
      </w:pPr>
      <w:r>
        <w:rPr>
          <w:rFonts w:ascii="Arial" w:cs="Arial" w:eastAsia="Arial" w:hAnsi="Arial"/>
          <w:color w:val="1A1A1A"/>
          <w:sz w:val="20"/>
          <w:szCs w:val="20"/>
        </w:rPr>
        <w:t xml:space="preserve">- Maintenance and Infrastructure Committee.</w:t>
      </w:r>
    </w:p>
    <w:p>
      <w:pPr>
        <w:tabs>
          <w:tab w:val="left" w:pos="566"/>
        </w:tabs>
        <w:spacing w:after="90" w:before="70" w:line="276"/>
        <w:ind w:left="566" w:hanging="566"/>
        <w:jc w:val="both"/>
      </w:pPr>
      <w:r>
        <w:rPr>
          <w:rFonts w:ascii="Arial" w:cs="Arial" w:eastAsia="Arial" w:hAnsi="Arial"/>
          <w:b/>
          <w:bCs/>
          <w:color w:val="1A1A1A"/>
          <w:sz w:val="20"/>
          <w:szCs w:val="20"/>
        </w:rPr>
        <w:t xml:space="preserve">10.2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Each committee shall operate under written terms of reference approved by the SGB and report quarterly.</w:t>
      </w:r>
    </w:p>
    <w:p>
      <w:pPr>
        <w:tabs>
          <w:tab w:val="left" w:pos="566"/>
        </w:tabs>
        <w:spacing w:after="100" w:before="240"/>
        <w:ind w:left="0"/>
      </w:pPr>
      <w:r>
        <w:rPr>
          <w:rFonts w:ascii="Arial" w:cs="Arial" w:eastAsia="Arial" w:hAnsi="Arial"/>
          <w:b/>
          <w:bCs/>
          <w:color w:val="0C2340"/>
          <w:sz w:val="22"/>
          <w:szCs w:val="22"/>
        </w:rPr>
        <w:t xml:space="preserve">11.</w:t>
      </w:r>
      <w:r>
        <w:rPr>
          <w:rFonts w:ascii="Arial" w:cs="Arial" w:eastAsia="Arial" w:hAnsi="Arial"/>
          <w:sz w:val="22"/>
          <w:szCs w:val="22"/>
        </w:rPr>
        <w:t xml:space="preserve">	</w:t>
      </w:r>
      <w:r>
        <w:rPr>
          <w:rFonts w:ascii="Arial" w:cs="Arial" w:eastAsia="Arial" w:hAnsi="Arial"/>
          <w:b/>
          <w:bCs/>
          <w:color w:val="0C2340"/>
          <w:sz w:val="22"/>
          <w:szCs w:val="22"/>
        </w:rPr>
        <w:t xml:space="preserve">CODE OF CONDUCT AND DISCLOSURE OF INTEREST</w:t>
      </w:r>
    </w:p>
    <w:p>
      <w:pPr>
        <w:tabs>
          <w:tab w:val="left" w:pos="566"/>
        </w:tabs>
        <w:spacing w:after="90" w:before="70" w:line="276"/>
        <w:ind w:left="566" w:hanging="566"/>
        <w:jc w:val="both"/>
      </w:pPr>
      <w:r>
        <w:rPr>
          <w:rFonts w:ascii="Arial" w:cs="Arial" w:eastAsia="Arial" w:hAnsi="Arial"/>
          <w:b/>
          <w:bCs/>
          <w:color w:val="1A1A1A"/>
          <w:sz w:val="20"/>
          <w:szCs w:val="20"/>
        </w:rPr>
        <w:t xml:space="preserve">11.1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All SGB members shall adhere to the statutory Code of Conduct for School Governing Bodies.</w:t>
      </w:r>
    </w:p>
    <w:p>
      <w:pPr>
        <w:tabs>
          <w:tab w:val="left" w:pos="566"/>
        </w:tabs>
        <w:spacing w:after="90" w:before="70" w:line="276"/>
        <w:ind w:left="566" w:hanging="566"/>
        <w:jc w:val="both"/>
      </w:pPr>
      <w:r>
        <w:rPr>
          <w:rFonts w:ascii="Arial" w:cs="Arial" w:eastAsia="Arial" w:hAnsi="Arial"/>
          <w:b/>
          <w:bCs/>
          <w:color w:val="1A1A1A"/>
          <w:sz w:val="20"/>
          <w:szCs w:val="20"/>
        </w:rPr>
        <w:t xml:space="preserve">11.2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member must declare any direct or indirect personal or financial interest in any matter before the SGB and recuse themselves from deliberations and voting thereon.</w:t>
      </w:r>
    </w:p>
    <w:p>
      <w:pPr>
        <w:tabs>
          <w:tab w:val="left" w:pos="566"/>
        </w:tabs>
        <w:spacing w:after="100" w:before="240"/>
        <w:ind w:left="0"/>
      </w:pPr>
      <w:r>
        <w:rPr>
          <w:rFonts w:ascii="Arial" w:cs="Arial" w:eastAsia="Arial" w:hAnsi="Arial"/>
          <w:b/>
          <w:bCs/>
          <w:color w:val="0C2340"/>
          <w:sz w:val="22"/>
          <w:szCs w:val="22"/>
        </w:rPr>
        <w:t xml:space="preserve">12.</w:t>
      </w:r>
      <w:r>
        <w:rPr>
          <w:rFonts w:ascii="Arial" w:cs="Arial" w:eastAsia="Arial" w:hAnsi="Arial"/>
          <w:sz w:val="22"/>
          <w:szCs w:val="22"/>
        </w:rPr>
        <w:t xml:space="preserve">	</w:t>
      </w:r>
      <w:r>
        <w:rPr>
          <w:rFonts w:ascii="Arial" w:cs="Arial" w:eastAsia="Arial" w:hAnsi="Arial"/>
          <w:b/>
          <w:bCs/>
          <w:color w:val="0C2340"/>
          <w:sz w:val="22"/>
          <w:szCs w:val="22"/>
        </w:rPr>
        <w:t xml:space="preserve">FINANCIAL GOVERNANCE AND ASSET OVERSIGHT</w:t>
      </w:r>
    </w:p>
    <w:p>
      <w:pPr>
        <w:tabs>
          <w:tab w:val="left" w:pos="566"/>
        </w:tabs>
        <w:spacing w:after="90" w:before="70" w:line="276"/>
        <w:ind w:left="566" w:hanging="566"/>
        <w:jc w:val="both"/>
      </w:pPr>
      <w:r>
        <w:rPr>
          <w:rFonts w:ascii="Arial" w:cs="Arial" w:eastAsia="Arial" w:hAnsi="Arial"/>
          <w:b/>
          <w:bCs/>
          <w:color w:val="1A1A1A"/>
          <w:sz w:val="20"/>
          <w:szCs w:val="20"/>
        </w:rPr>
        <w:t xml:space="preserve">12.1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shall administer a School Fund in terms of Section 37 of SASA and open a banking account in the name of the school.</w:t>
      </w:r>
    </w:p>
    <w:p>
      <w:pPr>
        <w:tabs>
          <w:tab w:val="left" w:pos="566"/>
        </w:tabs>
        <w:spacing w:after="90" w:before="70" w:line="276"/>
        <w:ind w:left="566" w:hanging="566"/>
        <w:jc w:val="both"/>
      </w:pPr>
      <w:r>
        <w:rPr>
          <w:rFonts w:ascii="Arial" w:cs="Arial" w:eastAsia="Arial" w:hAnsi="Arial"/>
          <w:b/>
          <w:bCs/>
          <w:color w:val="1A1A1A"/>
          <w:sz w:val="20"/>
          <w:szCs w:val="20"/>
        </w:rPr>
        <w:t xml:space="preserve">12.2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All funds received shall be deposited into the school account and disbursed only in accordance with the annual budget approved by parents at an Annual General Meeting (AGM).</w:t>
      </w:r>
    </w:p>
    <w:p>
      <w:pPr>
        <w:tabs>
          <w:tab w:val="left" w:pos="566"/>
        </w:tabs>
        <w:spacing w:after="90" w:before="70" w:line="276"/>
        <w:ind w:left="566" w:hanging="566"/>
        <w:jc w:val="both"/>
      </w:pPr>
      <w:r>
        <w:rPr>
          <w:rFonts w:ascii="Arial" w:cs="Arial" w:eastAsia="Arial" w:hAnsi="Arial"/>
          <w:b/>
          <w:bCs/>
          <w:color w:val="1A1A1A"/>
          <w:sz w:val="20"/>
          <w:szCs w:val="20"/>
        </w:rPr>
        <w:t xml:space="preserve">12.3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Annual Financial Statements (AFS) shall be audited by a registered auditor and submitted to the Head of Department within six (6) months after the end of each financial year (by 30 June).</w:t>
      </w:r>
    </w:p>
    <w:p>
      <w:pPr>
        <w:tabs>
          <w:tab w:val="left" w:pos="566"/>
        </w:tabs>
        <w:spacing w:after="100" w:before="240"/>
        <w:ind w:left="0"/>
      </w:pPr>
      <w:r>
        <w:rPr>
          <w:rFonts w:ascii="Arial" w:cs="Arial" w:eastAsia="Arial" w:hAnsi="Arial"/>
          <w:b/>
          <w:bCs/>
          <w:color w:val="0C2340"/>
          <w:sz w:val="22"/>
          <w:szCs w:val="22"/>
        </w:rPr>
        <w:t xml:space="preserve">13.</w:t>
      </w:r>
      <w:r>
        <w:rPr>
          <w:rFonts w:ascii="Arial" w:cs="Arial" w:eastAsia="Arial" w:hAnsi="Arial"/>
          <w:sz w:val="22"/>
          <w:szCs w:val="22"/>
        </w:rPr>
        <w:t xml:space="preserve">	</w:t>
      </w:r>
      <w:r>
        <w:rPr>
          <w:rFonts w:ascii="Arial" w:cs="Arial" w:eastAsia="Arial" w:hAnsi="Arial"/>
          <w:b/>
          <w:bCs/>
          <w:color w:val="0C2340"/>
          <w:sz w:val="22"/>
          <w:szCs w:val="22"/>
        </w:rPr>
        <w:t xml:space="preserve">AMENDMENT OF THE CONSTITUTION</w:t>
      </w:r>
    </w:p>
    <w:p>
      <w:pPr>
        <w:tabs>
          <w:tab w:val="left" w:pos="566"/>
        </w:tabs>
        <w:spacing w:after="90" w:before="70" w:line="276"/>
        <w:ind w:left="566" w:hanging="566"/>
        <w:jc w:val="both"/>
      </w:pPr>
      <w:r>
        <w:rPr>
          <w:rFonts w:ascii="Arial" w:cs="Arial" w:eastAsia="Arial" w:hAnsi="Arial"/>
          <w:b/>
          <w:bCs/>
          <w:color w:val="1A1A1A"/>
          <w:sz w:val="20"/>
          <w:szCs w:val="20"/>
        </w:rPr>
        <w:t xml:space="preserve">13.1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This Constitution may be amended by a two-thirds majority vote of the total voting membership of the Governing Body.</w:t>
      </w:r>
    </w:p>
    <w:p>
      <w:pPr>
        <w:tabs>
          <w:tab w:val="left" w:pos="566"/>
        </w:tabs>
        <w:spacing w:after="90" w:before="70" w:line="276"/>
        <w:ind w:left="566" w:hanging="566"/>
        <w:jc w:val="both"/>
      </w:pPr>
      <w:r>
        <w:rPr>
          <w:rFonts w:ascii="Arial" w:cs="Arial" w:eastAsia="Arial" w:hAnsi="Arial"/>
          <w:b/>
          <w:bCs/>
          <w:color w:val="1A1A1A"/>
          <w:sz w:val="20"/>
          <w:szCs w:val="20"/>
        </w:rPr>
        <w:t xml:space="preserve">13.2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Any adopted amendment shall be formally submitted to the Head of Department / District Director within thirty (30) days of adoption.</w:t>
      </w:r>
    </w:p>
    <w:p>
      <w:pPr>
        <w:keepLines/>
        <w:spacing w:after="100" w:before="260"/>
      </w:pPr>
      <w:r>
        <w:rPr>
          <w:rFonts w:ascii="Arial" w:cs="Arial" w:eastAsia="Arial" w:hAnsi="Arial"/>
          <w:b/>
          <w:bCs/>
          <w:color w:val="0C2340"/>
          <w:sz w:val="22"/>
          <w:szCs w:val="22"/>
        </w:rPr>
        <w:t xml:space="preserve">ADOPTION AND SIGN-OFF RESOLUTION</w:t>
      </w:r>
    </w:p>
    <w:p>
      <w:pPr>
        <w:keepLines/>
        <w:spacing w:after="140" w:before="60" w:line="276"/>
        <w:jc w:val="both"/>
      </w:pPr>
      <w:r>
        <w:rPr>
          <w:rFonts w:ascii="Arial" w:cs="Arial" w:eastAsia="Arial" w:hAnsi="Arial"/>
          <w:color w:val="1A1A1A"/>
          <w:sz w:val="20"/>
          <w:szCs w:val="20"/>
        </w:rPr>
        <w:t xml:space="preserve">This Constitution of the School Governing Body was formally reviewed, accepted, approved, and signed at a duly constituted meeting of the Governing Body of Lady Grey Arts Academy:</w:t>
      </w:r>
    </w:p>
    <w:tbl>
      <w:tblPr>
        <w:tblW w:type="dxa" w:w="10771"/>
        <w:tblBorders>
          <w:top w:val="none"/>
          <w:left w:val="none"/>
          <w:bottom w:val="none"/>
          <w:right w:val="none"/>
          <w:insideH w:val="none"/>
          <w:insideV w:val="none"/>
        </w:tblBorders>
      </w:tblPr>
      <w:tblGrid>
        <w:gridCol w:w="100"/>
        <w:gridCol w:w="100"/>
        <w:gridCol w:w="100"/>
      </w:tblGrid>
      <w:tr>
        <w:trPr>
          <w:cantSplit/>
        </w:trPr>
        <w:tc>
          <w:tcPr>
            <w:tcW w:type="dxa" w:w="3590"/>
            <w:tcMar>
              <w:top w:type="dxa" w:w="140"/>
              <w:left w:type="dxa" w:w="40"/>
              <w:bottom w:type="dxa" w:w="40"/>
              <w:right w:type="dxa" w:w="40"/>
            </w:tcMar>
          </w:tcPr>
          <w:p>
            <w:pPr>
              <w:keepLines/>
              <w:pBdr>
                <w:bottom w:val="single" w:color="64748B" w:sz="6"/>
              </w:pBdr>
              <w:spacing w:after="20" w:before="0"/>
            </w:pPr>
            <w:r>
              <w:rPr>
                <w:rFonts w:ascii="Arial" w:cs="Arial" w:eastAsia="Arial" w:hAnsi="Arial"/>
                <w:sz w:val="2"/>
                <w:szCs w:val="2"/>
              </w:rPr>
              <w:t xml:space="preserve"/>
            </w:r>
          </w:p>
          <w:p>
            <w:pPr>
              <w:keepLines/>
              <w:spacing w:after="50" w:before="0"/>
            </w:pPr>
            <w:r>
              <w:rPr>
                <w:rFonts w:ascii="Arial" w:cs="Arial" w:eastAsia="Arial" w:hAnsi="Arial"/>
                <w:i/>
                <w:iCs/>
                <w:color w:val="64748B"/>
                <w:sz w:val="16"/>
                <w:szCs w:val="16"/>
              </w:rPr>
              <w:t xml:space="preserve">Signature</w:t>
            </w:r>
          </w:p>
          <w:p>
            <w:pPr>
              <w:keepLines/>
              <w:spacing w:after="20" w:before="0"/>
            </w:pPr>
            <w:r>
              <w:rPr>
                <w:rFonts w:ascii="Arial" w:cs="Arial" w:eastAsia="Arial" w:hAnsi="Arial"/>
                <w:b/>
                <w:bCs/>
                <w:color w:val="1A1A1A"/>
                <w:sz w:val="20"/>
                <w:szCs w:val="20"/>
              </w:rPr>
              <w:t xml:space="preserve">Mr. K. Dyasi</w:t>
            </w:r>
          </w:p>
          <w:p>
            <w:pPr>
              <w:keepLines/>
              <w:spacing w:after="30" w:before="0"/>
            </w:pPr>
            <w:r>
              <w:rPr>
                <w:rFonts w:ascii="Arial" w:cs="Arial" w:eastAsia="Arial" w:hAnsi="Arial"/>
                <w:b/>
                <w:bCs/>
                <w:color w:val="0C2340"/>
                <w:sz w:val="19"/>
                <w:szCs w:val="19"/>
              </w:rPr>
              <w:t xml:space="preserve">SGB Chairperson</w:t>
            </w:r>
          </w:p>
          <w:p>
            <w:pPr>
              <w:keepLines/>
              <w:spacing w:after="0" w:before="40"/>
            </w:pPr>
            <w:r>
              <w:rPr>
                <w:rFonts w:ascii="Arial" w:cs="Arial" w:eastAsia="Arial" w:hAnsi="Arial"/>
                <w:color w:val="64748B"/>
                <w:sz w:val="18"/>
                <w:szCs w:val="18"/>
              </w:rPr>
              <w:t xml:space="preserve">Date: 28/01/2026</w:t>
            </w:r>
          </w:p>
        </w:tc>
        <w:tc>
          <w:tcPr>
            <w:tcW w:type="dxa" w:w="3590"/>
            <w:tcMar>
              <w:top w:type="dxa" w:w="140"/>
              <w:left w:type="dxa" w:w="40"/>
              <w:bottom w:type="dxa" w:w="40"/>
              <w:right w:type="dxa" w:w="40"/>
            </w:tcMar>
          </w:tcPr>
          <w:p>
            <w:pPr>
              <w:keepLines/>
              <w:pBdr>
                <w:bottom w:val="single" w:color="64748B" w:sz="6"/>
              </w:pBdr>
              <w:spacing w:after="20" w:before="0"/>
            </w:pPr>
            <w:r>
              <w:rPr>
                <w:rFonts w:ascii="Arial" w:cs="Arial" w:eastAsia="Arial" w:hAnsi="Arial"/>
                <w:sz w:val="2"/>
                <w:szCs w:val="2"/>
              </w:rPr>
              <w:t xml:space="preserve"/>
            </w:r>
          </w:p>
          <w:p>
            <w:pPr>
              <w:keepLines/>
              <w:spacing w:after="50" w:before="0"/>
            </w:pPr>
            <w:r>
              <w:rPr>
                <w:rFonts w:ascii="Arial" w:cs="Arial" w:eastAsia="Arial" w:hAnsi="Arial"/>
                <w:i/>
                <w:iCs/>
                <w:color w:val="64748B"/>
                <w:sz w:val="16"/>
                <w:szCs w:val="16"/>
              </w:rPr>
              <w:t xml:space="preserve">Signature</w:t>
            </w:r>
          </w:p>
          <w:p>
            <w:pPr>
              <w:keepLines/>
              <w:spacing w:after="20" w:before="0"/>
            </w:pPr>
            <w:r>
              <w:rPr>
                <w:rFonts w:ascii="Arial" w:cs="Arial" w:eastAsia="Arial" w:hAnsi="Arial"/>
                <w:b/>
                <w:bCs/>
                <w:color w:val="1A1A1A"/>
                <w:sz w:val="20"/>
                <w:szCs w:val="20"/>
              </w:rPr>
              <w:t xml:space="preserve">Mr. A. Gushmani</w:t>
            </w:r>
          </w:p>
          <w:p>
            <w:pPr>
              <w:keepLines/>
              <w:spacing w:after="30" w:before="0"/>
            </w:pPr>
            <w:r>
              <w:rPr>
                <w:rFonts w:ascii="Arial" w:cs="Arial" w:eastAsia="Arial" w:hAnsi="Arial"/>
                <w:b/>
                <w:bCs/>
                <w:color w:val="0C2340"/>
                <w:sz w:val="19"/>
                <w:szCs w:val="19"/>
              </w:rPr>
              <w:t xml:space="preserve">SGB Treasurer</w:t>
            </w:r>
          </w:p>
          <w:p>
            <w:pPr>
              <w:keepLines/>
              <w:spacing w:after="0" w:before="40"/>
            </w:pPr>
            <w:r>
              <w:rPr>
                <w:rFonts w:ascii="Arial" w:cs="Arial" w:eastAsia="Arial" w:hAnsi="Arial"/>
                <w:color w:val="64748B"/>
                <w:sz w:val="18"/>
                <w:szCs w:val="18"/>
              </w:rPr>
              <w:t xml:space="preserve">Date: 28/01/2026</w:t>
            </w:r>
          </w:p>
        </w:tc>
        <w:tc>
          <w:tcPr>
            <w:tcW w:type="dxa" w:w="3590"/>
            <w:tcMar>
              <w:top w:type="dxa" w:w="140"/>
              <w:left w:type="dxa" w:w="40"/>
              <w:bottom w:type="dxa" w:w="40"/>
              <w:right w:type="dxa" w:w="40"/>
            </w:tcMar>
          </w:tcPr>
          <w:p>
            <w:pPr>
              <w:keepLines/>
              <w:pBdr>
                <w:bottom w:val="single" w:color="64748B" w:sz="6"/>
              </w:pBdr>
              <w:spacing w:after="20" w:before="0"/>
            </w:pPr>
            <w:r>
              <w:rPr>
                <w:rFonts w:ascii="Arial" w:cs="Arial" w:eastAsia="Arial" w:hAnsi="Arial"/>
                <w:sz w:val="2"/>
                <w:szCs w:val="2"/>
              </w:rPr>
              <w:t xml:space="preserve"/>
            </w:r>
          </w:p>
          <w:p>
            <w:pPr>
              <w:keepLines/>
              <w:spacing w:after="50" w:before="0"/>
            </w:pPr>
            <w:r>
              <w:rPr>
                <w:rFonts w:ascii="Arial" w:cs="Arial" w:eastAsia="Arial" w:hAnsi="Arial"/>
                <w:i/>
                <w:iCs/>
                <w:color w:val="64748B"/>
                <w:sz w:val="16"/>
                <w:szCs w:val="16"/>
              </w:rPr>
              <w:t xml:space="preserve">Signature</w:t>
            </w:r>
          </w:p>
          <w:p>
            <w:pPr>
              <w:keepLines/>
              <w:spacing w:after="20" w:before="0"/>
            </w:pPr>
            <w:r>
              <w:rPr>
                <w:rFonts w:ascii="Arial" w:cs="Arial" w:eastAsia="Arial" w:hAnsi="Arial"/>
                <w:b/>
                <w:bCs/>
                <w:color w:val="1A1A1A"/>
                <w:sz w:val="20"/>
                <w:szCs w:val="20"/>
              </w:rPr>
              <w:t xml:space="preserve">Ms. M. Botha</w:t>
            </w:r>
          </w:p>
          <w:p>
            <w:pPr>
              <w:keepLines/>
              <w:spacing w:after="30" w:before="0"/>
            </w:pPr>
            <w:r>
              <w:rPr>
                <w:rFonts w:ascii="Arial" w:cs="Arial" w:eastAsia="Arial" w:hAnsi="Arial"/>
                <w:b/>
                <w:bCs/>
                <w:color w:val="0C2340"/>
                <w:sz w:val="19"/>
                <w:szCs w:val="19"/>
              </w:rPr>
              <w:t xml:space="preserve">School Principal</w:t>
            </w:r>
          </w:p>
          <w:p>
            <w:pPr>
              <w:keepLines/>
              <w:spacing w:after="0" w:before="40"/>
            </w:pPr>
            <w:r>
              <w:rPr>
                <w:rFonts w:ascii="Arial" w:cs="Arial" w:eastAsia="Arial" w:hAnsi="Arial"/>
                <w:color w:val="64748B"/>
                <w:sz w:val="18"/>
                <w:szCs w:val="18"/>
              </w:rPr>
              <w:t xml:space="preserve">Date: 28/01/2026</w:t>
            </w:r>
          </w:p>
        </w:tc>
      </w:tr>
    </w:tbl>
    <w:sectPr>
      <w:footerReference w:type="default" r:id="rId7"/>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t xml:space="preserve">LGAA SGB CONSTITUTION • 2026   </w:t>
    </w:r>
    <w:r>
      <w:rPr>
        <w:rFonts w:ascii="Arial" w:cs="Arial" w:eastAsia="Arial" w:hAnsi="Arial"/>
        <w:color w:val="64748B"/>
        <w:sz w:val="17"/>
        <w:szCs w:val="17"/>
      </w:rPr>
      <w:t xml:space="preserve">Page </w:t>
    </w: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of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bcf79fefd00ed4a08c2d973b655ab8aa2ce4b8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2026-08-22T21:08:15.747Z</dcterms:created>
  <dcterms:modified xsi:type="dcterms:W3CDTF">2026-08-22T21:08:15.747Z</dcterms:modified>
</cp:coreProperties>
</file>

<file path=docProps/custom.xml><?xml version="1.0" encoding="utf-8"?>
<Properties xmlns="http://schemas.openxmlformats.org/officeDocument/2006/custom-properties" xmlns:vt="http://schemas.openxmlformats.org/officeDocument/2006/docPropsVTypes"/>
</file>