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MINUTES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WEDNESDAY,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Governance Detail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Record Specification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from 17:30 to 19:45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Venue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School 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Quorum &amp; Attendance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of 9 Members Present (Quorate)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Core Resolution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Unanimous Adoption of the 2026 SGB Constitution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Proposer &amp; Seconder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Mrs. O. Bambilawu (Prop.) / Mrs. N. Williams (Sec.)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8 out of 9 members were in attendance, with one formal apology recorded from Learner Representative Alumanye Nxele.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Mrs. Noncedo Williams, Seconded by Mrs. Octavia Bambilawu.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Mr. Bennie Bekker, Seconded by Mr. Andile Gushmani.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BUSINESS: REVIEW AND FORMAL ADOPTION OF THE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 to 3: Verified institutional name, legal status, and objectives under SASA Act 84 of 1996.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4: Confirmed SGB composition, electable categories, parent majority representation, and learner participation.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5 &amp; 6: Reviewed office-bearer roles (Chairperson, Vice-Chair, Treasurer, Secretary) and handover protocols.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7 to 9: Reviewed meeting frequencies (minimum once per term), notice periods, quorum requirements (50% + 1), and voting rules.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10 &amp; 11: Examined sub-committee mandates, specifically the Finance Committee (FinCom) oversight and Disciplinary Committee responsibilities.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12 &amp; 13: Reviewed financial management responsibilities, annual audit timelines, and constitutional amendment procedures (two-thirds majority).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A. Gushmani (Treasurer) highlighted the explicit requirement for monthly FinCom oversight and annual audited statements submission before 30 June.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N. Williams (Parent Rep) emphasized the integration between the SGB Constitution and school policy enforcement.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Proposer: Mrs. Octavia Bambilawu (Parent Representative) moved that the SGB Constitution of Lady Grey Arts Academy be formally accepted and adopted as the supreme governing charter of the institution.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Seconder: Mrs. Noncedo Williams (Parent Representative) seconded the motion.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called for a vote.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Result: In Favour: 8 (Unanimous) | Against: 0 | Abstentions: 0.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Resolution: The SGB Constitution 2026 was declared formally accepted, adopted, and signed.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resolved that the Principal and Chairperson submit the signed Constitution to the Head of Department / District Director (Joe Gqabi District) within the mandatory 90-day statutory period.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1: Wednesday, 28 January 2026 &amp; Wednesday, 11 March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2: Wednesday, 20 May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3: Wednesday, 09 September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4: Wednesday, 28 October 2026 &amp; Parent Budget AGM: Thursday, 12 November 2026.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p>
      <w:pPr>
        <w:pageBreakBefore/>
        <w:spacing w:after="0" w:before="0"/>
      </w:pPr>
    </w:p>
    <w:tbl>
      <w:tblPr>
        <w:tblW w:type="dxa" w:w="107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5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CONFIRMATION AND CERTIFICATION OF MINUTES</w:t>
            </w:r>
          </w:p>
        </w:tc>
      </w:tr>
      <w:tr>
        <w:trPr>
          <w:cantSplit/>
        </w:trPr>
        <w:tc>
          <w:tcPr>
            <w:tcW w:type="dxa" w:w="10771"/>
            <w:gridSpan w:val="5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These minutes were examined, approved, and signed as a true and accurate record of proceedings: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MINUTES OF THE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2026-08-23T11:12:59.059Z</dcterms:created>
  <dcterms:modified xsi:type="dcterms:W3CDTF">2026-08-23T11:12:59.059Z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