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Reto final · Ficha de preparación para GitHub</w:t>
      </w:r>
    </w:p>
    <w:p>
      <w:r>
        <w:t xml:space="preserve">Herramientas Digitales para la Gestión y Monitoreo de Proyectos · 2026-2</w:t>
      </w:r>
    </w:p>
    <w:p>
      <w:r>
        <w:t xml:space="preserve">Equipo: 01_PJtra002 | Proyecto: Ruta Joven San Gabriel</w:t>
      </w:r>
    </w:p>
    <w:p>
      <w:r>
        <w:t xml:space="preserve">Fecha de generación: 19/10/2026</w:t>
      </w:r>
    </w:p>
    <w:p>
      <w:pPr>
        <w:pStyle w:val="Heading1"/>
      </w:pPr>
      <w:r>
        <w:t xml:space="preserve">Identificación del proyecto</w:t>
      </w:r>
    </w:p>
    <w:p>
      <w:r>
        <w:t xml:space="preserve">Integrantes</w:t>
      </w:r>
    </w:p>
    <w:p>
      <w:r>
        <w:t xml:space="preserve">Stephany Alejandra Acevedo Cortes </w:t>
      </w:r>
    </w:p>
    <w:p>
      <w:r>
        <w:t xml:space="preserve">Maria Alejandra Barbosa Naranjo </w:t>
      </w:r>
    </w:p>
    <w:p>
      <w:r>
        <w:t xml:space="preserve">Andres Felipe Salazar Gallego</w:t>
      </w:r>
    </w:p>
    <w:p>
      <w:r>
        <w:t xml:space="preserve">Fabian Andres Perez Gonzalez </w:t>
      </w:r>
    </w:p>
    <w:p>
      <w:r>
        <w:t xml:space="preserve">Problema</w:t>
      </w:r>
    </w:p>
    <w:p>
      <w:r>
        <w:t xml:space="preserve">Las personas jóvenes de 18 a 28 años de San Gabriel enfrentan dificultades para acceder a empleo formal y de calidad. Además, los canales institucionales de intermediación llegan a una minoría de ellas.</w:t>
      </w:r>
    </w:p>
    <w:p>
      <w:r>
        <w:t xml:space="preserve">Alternativa de intervención</w:t>
      </w:r>
    </w:p>
    <w:p>
      <w:r>
        <w:t xml:space="preserve">Ruta de empleabilidad juvenil diferenciada por perfil. Combina orientación laboral, formación modular y vinculación a prácticas o empleo</w:t>
      </w:r>
    </w:p>
    <w:p>
      <w:r>
        <w:t xml:space="preserve"> </w:t>
      </w:r>
    </w:p>
    <w:p>
      <w:r>
        <w:t xml:space="preserve">Descripción operativa</w:t>
      </w:r>
    </w:p>
    <w:p>
      <w:r>
        <w:t xml:space="preserve">Ruta Joven San Gabriel atendería a 360 jóvenes de 18 a 28 años de la zona urbana consolidada, la urbana periférica y los centros poblados y rural, organizados en nueve cohortes de 40 personas y en tres perfiles: quienes estudian, quienes buscan empleo y quienes ya trabajan. Entre febrero de 2027 y enero de 2028, cada participante recorrería 16 semanas: 16 horas de orientación laboral con un plan individual, 120 horas de formación modular (competencias digitales, comunicación y atención al cliente, y un módulo técnico elegido) y un acompañamiento a la vinculación según su perfil: prácticas para quienes estudian, intermediación para quienes buscan empleo y apoyo para mejorar condiciones de quienes ya trabajan. La ejecución requeriría un equipo de coordinación, orientación, vinculación, datos y enlaces territoriales, convenios con empleadores y entidades de formación, y apoyos de transporte y cuidado. El seguimiento a 3 a 6 meses mediría finalización y logro por perfil.</w:t>
      </w:r>
    </w:p>
    <w:p>
      <w:pPr>
        <w:pStyle w:val="Heading1"/>
      </w:pPr>
      <w:r>
        <w:t xml:space="preserve">Componentes y actividades previstas</w:t>
      </w:r>
    </w:p>
    <w:tbl>
      <w:tblPr>
        <w:tblBorders>
          <w:top w:val="single" w:sz="5"/>
          <w:bottom w:val="single" w:sz="5"/>
          <w:left w:val="single" w:sz="5"/>
          <w:right w:val="single" w:sz="5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Componente o línea de trabajo</w:t>
            </w:r>
          </w:p>
        </w:tc>
        <w:tc>
          <w:tcPr>
            <w:tcW w:w="0" w:type="auto"/>
          </w:tcPr>
          <w:p>
            <w:r>
              <w:t xml:space="preserve">Actividad operativa</w:t>
            </w:r>
          </w:p>
        </w:tc>
        <w:tc>
          <w:tcPr>
            <w:tcW w:w="0" w:type="auto"/>
          </w:tcPr>
          <w:p>
            <w:r>
              <w:t xml:space="preserve">Resultado o evidencia prevista</w:t>
            </w:r>
          </w:p>
        </w:tc>
      </w:tr>
      <w:tr>
        <w:tc>
          <w:tcPr>
            <w:tcW w:w="0" w:type="auto"/>
          </w:tcPr>
          <w:p>
            <w:r>
              <w:t xml:space="preserve">Coordinación y equipo de ejecución</w:t>
            </w:r>
          </w:p>
        </w:tc>
        <w:tc>
          <w:tcPr>
            <w:tcW w:w="0" w:type="auto"/>
          </w:tcPr>
          <w:p>
            <w:r>
              <w:t xml:space="preserve">Conformar el equipo (coordinación, orientación, vinculación, datos y enlaces territoriales) y planear el calendario de las 9 cohortes entre febrero de 2027 y enero de 2028</w:t>
            </w:r>
          </w:p>
        </w:tc>
        <w:tc>
          <w:tcPr>
            <w:tcW w:w="0" w:type="auto"/>
          </w:tcPr>
          <w:p>
            <w:r>
              <w:t xml:space="preserve">Equipo contratado y calendario de cohortes aprobado</w:t>
            </w:r>
          </w:p>
        </w:tc>
      </w:tr>
      <w:tr>
        <w:tc>
          <w:tcPr>
            <w:tcW w:w="0" w:type="auto"/>
          </w:tcPr>
          <w:p>
            <w:r>
              <w:t xml:space="preserve">Convenios con empleadores y entidades de formación</w:t>
            </w:r>
          </w:p>
          <w:p>
            <w:r>
              <w:t xml:space="preserve"> </w:t>
            </w:r>
          </w:p>
        </w:tc>
        <w:tc>
          <w:tcPr>
            <w:tcW w:w="0" w:type="auto"/>
          </w:tcPr>
          <w:p>
            <w:r>
              <w:t xml:space="preserve">Firmar convenios con empleadores para prácticas, intermediación y mejora de condiciones laborales.</w:t>
            </w:r>
          </w:p>
        </w:tc>
        <w:tc>
          <w:tcPr>
            <w:tcW w:w="0" w:type="auto"/>
          </w:tcPr>
          <w:p>
            <w:r>
              <w:t xml:space="preserve">Convenios firmados y directorio de empleadores aliados.</w:t>
            </w:r>
          </w:p>
        </w:tc>
      </w:tr>
      <w:tr>
        <w:tc>
          <w:tcPr>
            <w:tcW w:w="0" w:type="auto"/>
          </w:tcPr>
          <w:p>
            <w:r>
              <w:t xml:space="preserve">Convenios con empleadores y entidades de formación</w:t>
            </w:r>
          </w:p>
        </w:tc>
        <w:tc>
          <w:tcPr>
            <w:tcW w:w="0" w:type="auto"/>
          </w:tcPr>
          <w:p>
            <w:r>
              <w:t xml:space="preserve">Firmar convenios con entidades de formación para los módulos de competencias digitales, comunicación y atención al cliente, y módulos técnicos.</w:t>
            </w:r>
          </w:p>
        </w:tc>
        <w:tc>
          <w:tcPr>
            <w:tcW w:w="0" w:type="auto"/>
          </w:tcPr>
          <w:p>
            <w:r>
              <w:t xml:space="preserve">Convenios firmados y oferta de módulos técnicos confirmada</w:t>
            </w:r>
          </w:p>
        </w:tc>
      </w:tr>
      <w:tr>
        <w:tc>
          <w:tcPr>
            <w:tcW w:w="0" w:type="auto"/>
          </w:tcPr>
          <w:p>
            <w:r>
              <w:t xml:space="preserve">Convocatoria y conformación de cohortes</w:t>
            </w:r>
          </w:p>
        </w:tc>
        <w:tc>
          <w:tcPr>
            <w:tcW w:w="0" w:type="auto"/>
          </w:tcPr>
          <w:p>
            <w:r>
              <w:t xml:space="preserve">Convocar a jóvenes de 18 a 28 años en la zona urbana consolidada, la urbana periférica y los centros poblados y rural, apoyados en los enlaces territoriales.</w:t>
            </w:r>
          </w:p>
        </w:tc>
        <w:tc>
          <w:tcPr>
            <w:tcW w:w="0" w:type="auto"/>
          </w:tcPr>
          <w:p>
            <w:r>
              <w:t xml:space="preserve">Registro de jóvenes inscritos por zona.</w:t>
            </w:r>
          </w:p>
        </w:tc>
      </w:tr>
      <w:tr>
        <w:tc>
          <w:tcPr>
            <w:tcW w:w="0" w:type="auto"/>
          </w:tcPr>
          <w:p>
            <w:r>
              <w:t xml:space="preserve">Orientación Laboral </w:t>
            </w:r>
          </w:p>
        </w:tc>
        <w:tc>
          <w:tcPr>
            <w:tcW w:w="0" w:type="auto"/>
          </w:tcPr>
          <w:p>
            <w:r>
              <w:t xml:space="preserve">Realizar 16 horas de orientación laboral a cada participante y elaborar su plan individual.</w:t>
            </w:r>
          </w:p>
        </w:tc>
        <w:tc>
          <w:tcPr>
            <w:tcW w:w="0" w:type="auto"/>
          </w:tcPr>
          <w:p>
            <w:r>
              <w:t xml:space="preserve">360 planes individuales y registro de asistencia.</w:t>
            </w:r>
          </w:p>
        </w:tc>
      </w:tr>
      <w:tr>
        <w:tc>
          <w:tcPr>
            <w:tcW w:w="0" w:type="auto"/>
          </w:tcPr>
          <w:p>
            <w:r>
              <w:t xml:space="preserve">Formación modular</w:t>
            </w:r>
          </w:p>
        </w:tc>
        <w:tc>
          <w:tcPr>
            <w:tcW w:w="0" w:type="auto"/>
          </w:tcPr>
          <w:p>
            <w:r>
              <w:t xml:space="preserve">Dictar los módulos de competencias digitales y de comunicación y atención al cliente (parte de las 120 horas de formación por participante).</w:t>
            </w:r>
          </w:p>
        </w:tc>
        <w:tc>
          <w:tcPr>
            <w:tcW w:w="0" w:type="auto"/>
          </w:tcPr>
          <w:p>
            <w:r>
              <w:t xml:space="preserve">Registro de asistencia y evaluación de los módulos por cohorte.</w:t>
            </w:r>
          </w:p>
        </w:tc>
      </w:tr>
      <w:tr>
        <w:tc>
          <w:tcPr>
            <w:tcW w:w="0" w:type="auto"/>
          </w:tcPr>
          <w:p>
            <w:r>
              <w:t xml:space="preserve">Intermediación laboral (quienes buscan empleo)</w:t>
            </w:r>
          </w:p>
        </w:tc>
        <w:tc>
          <w:tcPr>
            <w:tcW w:w="0" w:type="auto"/>
          </w:tcPr>
          <w:p>
            <w:r>
              <w:t xml:space="preserve">Remitir y acompañar a los participantes que buscan empleo hacia las vacantes de los empleadores aliados.</w:t>
            </w:r>
          </w:p>
        </w:tc>
        <w:tc>
          <w:tcPr>
            <w:tcW w:w="0" w:type="auto"/>
          </w:tcPr>
          <w:p>
            <w:r>
              <w:t xml:space="preserve">Remisiones a vacantes y contrataciones registradas.</w:t>
            </w:r>
          </w:p>
        </w:tc>
      </w:tr>
    </w:tbl>
    <w:p>
      <w:pPr>
        <w:pStyle w:val="Heading1"/>
      </w:pPr>
      <w:r>
        <w:t xml:space="preserve">Responsabilidades</w:t>
      </w:r>
    </w:p>
    <w:tbl>
      <w:tblPr>
        <w:tblBorders>
          <w:top w:val="single" w:sz="5"/>
          <w:bottom w:val="single" w:sz="5"/>
          <w:left w:val="single" w:sz="5"/>
          <w:right w:val="single" w:sz="5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Integrante</w:t>
            </w:r>
          </w:p>
        </w:tc>
        <w:tc>
          <w:tcPr>
            <w:tcW w:w="0" w:type="auto"/>
          </w:tcPr>
          <w:p>
            <w:r>
              <w:t xml:space="preserve">Responsabilidad</w:t>
            </w:r>
          </w:p>
        </w:tc>
        <w:tc>
          <w:tcPr>
            <w:tcW w:w="0" w:type="auto"/>
          </w:tcPr>
          <w:p>
            <w:r>
              <w:t xml:space="preserve">Actividades asociadas</w:t>
            </w:r>
          </w:p>
        </w:tc>
      </w:tr>
      <w:tr>
        <w:tc>
          <w:tcPr>
            <w:tcW w:w="0" w:type="auto"/>
          </w:tcPr>
          <w:p>
            <w:r>
              <w:t xml:space="preserve">Fabián Andrés Pérez González</w:t>
            </w:r>
          </w:p>
        </w:tc>
        <w:tc>
          <w:tcPr>
            <w:tcW w:w="0" w:type="auto"/>
          </w:tcPr>
          <w:p>
            <w:r>
              <w:t xml:space="preserve">Coordinación general del proyecto: conformación del equipo, control del cronograma y comunicación con aliados.</w:t>
            </w:r>
          </w:p>
        </w:tc>
        <w:tc>
          <w:tcPr>
            <w:tcW w:w="0" w:type="auto"/>
          </w:tcPr>
          <w:p>
            <w:r>
              <w:t xml:space="preserve">Conformar el equipo y planear el calendario de las 9 cohortes </w:t>
            </w:r>
          </w:p>
        </w:tc>
      </w:tr>
      <w:tr>
        <w:tc>
          <w:tcPr>
            <w:tcW w:w="0" w:type="auto"/>
          </w:tcPr>
          <w:p>
            <w:r>
              <w:t xml:space="preserve">Stephany Alejandra Acevedo Cortés</w:t>
            </w:r>
          </w:p>
        </w:tc>
        <w:tc>
          <w:tcPr>
            <w:tcW w:w="0" w:type="auto"/>
          </w:tcPr>
          <w:p>
            <w:r>
              <w:t xml:space="preserve">Orientación laboral y formación modular: convenios con entidades de formación, orientación y calidad de los módulos.</w:t>
            </w:r>
          </w:p>
        </w:tc>
        <w:tc>
          <w:tcPr>
            <w:tcW w:w="0" w:type="auto"/>
          </w:tcPr>
          <w:p>
            <w:r>
              <w:t xml:space="preserve">Convenios con entidades de formación. Orientación laboral y planes individuales. Módulos de competencias digitales y de comunicación y atención al cliente .</w:t>
            </w:r>
          </w:p>
        </w:tc>
      </w:tr>
      <w:tr>
        <w:tc>
          <w:tcPr>
            <w:tcW w:w="0" w:type="auto"/>
          </w:tcPr>
          <w:p>
            <w:r>
              <w:t xml:space="preserve">María Alejandra Barbosa Naranjo</w:t>
            </w:r>
          </w:p>
        </w:tc>
        <w:tc>
          <w:tcPr>
            <w:tcW w:w="0" w:type="auto"/>
          </w:tcPr>
          <w:p>
            <w:r>
              <w:t xml:space="preserve">Vinculación laboral y enlaces territoriales: relación con empleadores y convocatoria en las zonas.</w:t>
            </w:r>
          </w:p>
        </w:tc>
        <w:tc>
          <w:tcPr>
            <w:tcW w:w="0" w:type="auto"/>
          </w:tcPr>
          <w:p>
            <w:r>
              <w:t xml:space="preserve">Convenios con empleadores. Convocatoria de jóvenes por zona con los enlaces territoriales. Remisión y acompañamiento de quienes buscan empleo.</w:t>
            </w:r>
          </w:p>
        </w:tc>
      </w:tr>
      <w:tr>
        <w:tc>
          <w:tcPr>
            <w:tcW w:w="0" w:type="auto"/>
          </w:tcPr>
          <w:p>
            <w:r>
              <w:t xml:space="preserve">Andrés Felipe Salazar Gallego</w:t>
            </w:r>
          </w:p>
        </w:tc>
        <w:tc>
          <w:tcPr>
            <w:tcW w:w="0" w:type="auto"/>
          </w:tcPr>
          <w:p>
            <w:r>
              <w:t xml:space="preserve">Datos y registro de información: base de participantes y control de las evidencias del proyecto.</w:t>
            </w:r>
          </w:p>
        </w:tc>
        <w:tc>
          <w:tcPr>
            <w:tcW w:w="0" w:type="auto"/>
          </w:tcPr>
          <w:p>
            <w:r>
              <w:t xml:space="preserve">Registro de jóvenes inscritos por zona. Registro de asistencia y de los 360 planes individuales. Registro de asistencia y evaluación de los módulos por cohorte. Registro de remisiones a vacantes y contrataciones.</w:t>
            </w:r>
          </w:p>
        </w:tc>
      </w:tr>
    </w:tbl>
    <w:p>
      <w:pPr>
        <w:pStyle w:val="Heading1"/>
      </w:pPr>
      <w:r>
        <w:t xml:space="preserve">Necesidades de monitoreo</w:t>
      </w:r>
    </w:p>
    <w:tbl>
      <w:tblPr>
        <w:tblBorders>
          <w:top w:val="single" w:sz="5"/>
          <w:bottom w:val="single" w:sz="5"/>
          <w:left w:val="single" w:sz="5"/>
          <w:right w:val="single" w:sz="5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Aspecto por monitorear</w:t>
            </w:r>
          </w:p>
        </w:tc>
        <w:tc>
          <w:tcPr>
            <w:tcW w:w="0" w:type="auto"/>
          </w:tcPr>
          <w:p>
            <w:r>
              <w:t xml:space="preserve">Información requerida</w:t>
            </w:r>
          </w:p>
        </w:tc>
        <w:tc>
          <w:tcPr>
            <w:tcW w:w="0" w:type="auto"/>
          </w:tcPr>
          <w:p>
            <w:r>
              <w:t xml:space="preserve">Cómo se actualizará</w:t>
            </w:r>
          </w:p>
        </w:tc>
      </w:tr>
      <w:tr>
        <w:tc>
          <w:tcPr>
            <w:tcW w:w="0" w:type="auto"/>
          </w:tcPr>
          <w:p>
            <w:r>
              <w:t xml:space="preserve">Avance de etapas e hitos del cronograma.</w:t>
            </w:r>
          </w:p>
          <w:p>
            <w:r>
              <w:t xml:space="preserve"> </w:t>
            </w:r>
          </w:p>
        </w:tc>
        <w:tc>
          <w:tcPr>
            <w:tcW w:w="0" w:type="auto"/>
          </w:tcPr>
          <w:p>
            <w:r>
              <w:t xml:space="preserve"> Etapa (0 a 5), fecha planificada y fecha real de cada hito, estado (no iniciado, en curso, cerrado) y dependencias que lo condicionan.</w:t>
            </w:r>
          </w:p>
        </w:tc>
        <w:tc>
          <w:tcPr>
            <w:tcW w:w="0" w:type="auto"/>
          </w:tcPr>
          <w:p>
            <w:r>
              <w:t xml:space="preserve">Cada etapa es un hito (milestone) de GitHub. La coordinación lo actualiza al cerrar cada hito y revisa las fechas cada semana</w:t>
            </w:r>
          </w:p>
        </w:tc>
      </w:tr>
      <w:tr>
        <w:tc>
          <w:tcPr>
            <w:tcW w:w="0" w:type="auto"/>
          </w:tcPr>
          <w:p>
            <w:r>
              <w:t xml:space="preserve">Entregables E1 a E6.</w:t>
            </w:r>
          </w:p>
        </w:tc>
        <w:tc>
          <w:tcPr>
            <w:tcW w:w="0" w:type="auto"/>
          </w:tcPr>
          <w:p>
            <w:r>
              <w:t xml:space="preserve">stado de cada entregable (pendiente, en elaboración, entregado, aprobado), responsable, fecha comprometida y enlace al archivo.</w:t>
            </w:r>
          </w:p>
        </w:tc>
        <w:tc>
          <w:tcPr>
            <w:tcW w:w="0" w:type="auto"/>
          </w:tcPr>
          <w:p>
            <w:r>
              <w:t xml:space="preserve">Un issue por entregable, con casillas de verificación para sus partes. Quien lo elabora actualiza el estado y la coordinación lo cierra al aprobarlo.</w:t>
            </w:r>
          </w:p>
        </w:tc>
      </w:tr>
      <w:tr>
        <w:tc>
          <w:tcPr>
            <w:tcW w:w="0" w:type="auto"/>
          </w:tcPr>
          <w:p>
            <w:r>
              <w:t xml:space="preserve">Convenios con aliados y cupos de práctica o vacantes.</w:t>
            </w:r>
          </w:p>
        </w:tc>
        <w:tc>
          <w:tcPr>
            <w:tcW w:w="0" w:type="auto"/>
          </w:tcPr>
          <w:p>
            <w:r>
              <w:t xml:space="preserve">Aliados contactados y convenios firmados, cupos comprometidos frente a la meta de 60 y fecha de cada acuerdo.</w:t>
            </w:r>
          </w:p>
          <w:p>
            <w:r>
              <w:t xml:space="preserve"> </w:t>
            </w:r>
          </w:p>
        </w:tc>
        <w:tc>
          <w:tcPr>
            <w:tcW w:w="0" w:type="auto"/>
          </w:tcPr>
          <w:p>
            <w:r>
              <w:t xml:space="preserve">Un issue por aliado, con etiquetas de estado. El gestor de vinculación lo actualiza en cada contacto o firma.</w:t>
            </w:r>
          </w:p>
        </w:tc>
      </w:tr>
      <w:tr>
        <w:tc>
          <w:tcPr>
            <w:tcW w:w="0" w:type="auto"/>
          </w:tcPr>
          <w:p>
            <w:r>
              <w:t xml:space="preserve">Convocatoria, registro y cohortes</w:t>
            </w:r>
          </w:p>
        </w:tc>
        <w:tc>
          <w:tcPr>
            <w:tcW w:w="0" w:type="auto"/>
          </w:tcPr>
          <w:p>
            <w:r>
              <w:t xml:space="preserve">Inscritos frente a los 360 cupos, por perfil y dominio, y cohortes conformadas, en ejecución o cerradas con sus fechas de inicio y fin.</w:t>
            </w:r>
          </w:p>
        </w:tc>
        <w:tc>
          <w:tcPr>
            <w:tcW w:w="0" w:type="auto"/>
          </w:tcPr>
          <w:p>
            <w:r>
              <w:t xml:space="preserve">Un issue por cohorte y un tablero (project board) con columnas por estado. Los enlaces territoriales y la coordinación lo actualizan al registrar participantes y al iniciar o cerrar cada cohorte.</w:t>
            </w:r>
          </w:p>
        </w:tc>
      </w:tr>
      <w:tr>
        <w:tc>
          <w:tcPr>
            <w:tcW w:w="0" w:type="auto"/>
          </w:tcPr>
          <w:p>
            <w:r>
              <w:t xml:space="preserve">Bloqueos y riesgos activos (R1 a R8)</w:t>
            </w:r>
          </w:p>
        </w:tc>
        <w:tc>
          <w:tcPr>
            <w:tcW w:w="0" w:type="auto"/>
          </w:tcPr>
          <w:p>
            <w:r>
              <w:t xml:space="preserve">Descripción del bloqueo o riesgo, fecha de aparición, responsable de resolverlo, medida de mitigación aplicada y estado.</w:t>
            </w:r>
          </w:p>
          <w:p>
            <w:r>
              <w:t xml:space="preserve"> </w:t>
            </w:r>
          </w:p>
        </w:tc>
        <w:tc>
          <w:tcPr>
            <w:tcW w:w="0" w:type="auto"/>
          </w:tcPr>
          <w:p>
            <w:r>
              <w:t xml:space="preserve">Issues con la etiqueta «bloqueo» o «riesgo». Cualquier integrante los abre al detectarlos y la coordinación los revisa cada semana y en el comité de seguimiento trimestral.</w:t>
            </w:r>
          </w:p>
        </w:tc>
      </w:tr>
      <w:tr>
        <w:tc>
          <w:tcPr>
            <w:tcW w:w="0" w:type="auto"/>
          </w:tcPr>
          <w:p>
            <w:r>
              <w:t xml:space="preserve">Decisiones y pendientes de aprobación</w:t>
            </w:r>
          </w:p>
        </w:tc>
        <w:tc>
          <w:tcPr>
            <w:tcW w:w="0" w:type="auto"/>
          </w:tcPr>
          <w:p>
            <w:r>
              <w:t xml:space="preserve">Decisión por tomar o tomada (por ejemplo, valores unitarios del presupuesto, distribución de cupos, nombre del equipo, módulos técnicos tras el contraste con la demanda), fecha, responsable y sustento.</w:t>
            </w:r>
          </w:p>
        </w:tc>
        <w:tc>
          <w:tcPr>
            <w:tcW w:w="0" w:type="auto"/>
          </w:tcPr>
          <w:p>
            <w:r>
              <w:t xml:space="preserve"> Issues con la etiqueta «decisión». Se cierran al registrar quién decidió y cuándo, y el historial queda en los comentarios.</w:t>
            </w:r>
          </w:p>
        </w:tc>
      </w:tr>
    </w:tbl>
    <w:p>
      <w:pPr>
        <w:pStyle w:val="Heading1"/>
      </w:pPr>
      <w:r>
        <w:t xml:space="preserve">Insumos de San Gabriel</w:t>
      </w:r>
    </w:p>
    <w:tbl>
      <w:tblPr>
        <w:tblBorders>
          <w:top w:val="single" w:sz="5"/>
          <w:bottom w:val="single" w:sz="5"/>
          <w:left w:val="single" w:sz="5"/>
          <w:right w:val="single" w:sz="5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Insumo de San Gabriel</w:t>
            </w:r>
          </w:p>
        </w:tc>
        <w:tc>
          <w:tcPr>
            <w:tcW w:w="0" w:type="auto"/>
          </w:tcPr>
          <w:p>
            <w:r>
              <w:t xml:space="preserve">Utilidad en el sistema</w:t>
            </w:r>
          </w:p>
        </w:tc>
        <w:tc>
          <w:tcPr>
            <w:tcW w:w="0" w:type="auto"/>
          </w:tcPr>
          <w:p>
            <w:r>
              <w:t xml:space="preserve">Ubicación o enlace</w:t>
            </w:r>
          </w:p>
        </w:tc>
      </w:tr>
      <w:tr>
        <w:tc>
          <w:tcPr>
            <w:tcW w:w="0" w:type="auto"/>
          </w:tcPr>
          <w:p>
            <w:r>
              <w:t xml:space="preserve">Base sintética de la encuesta de juventudes </w:t>
            </w:r>
          </w:p>
        </w:tc>
        <w:tc>
          <w:tcPr>
            <w:tcW w:w="0" w:type="auto"/>
          </w:tcPr>
          <w:p>
            <w:r>
              <w:t xml:space="preserve">Fue la fuente del diagnóstico. Se recalcularon frecuencias ponderadas, cruces por perfil y dominio territorial, y se hicieron chequeos de consistencia. De ahí salieron el problema central y la justificación, la distribución de cupos y los módulos de formación del proyecto.</w:t>
            </w:r>
          </w:p>
        </w:tc>
        <w:tc>
          <w:tcPr>
            <w:tcW w:w="0" w:type="auto"/>
          </w:tcPr>
          <w:p>
            <w:r>
              <w:t xml:space="preserve">Carpeta Compartida :https://ucatolicaeduco-my.sharepoint.com/:x:/r/personal/saacevedo88_ucatolica_edu_co/Documents/01_PJtra002_260917/01_PJtra002_Base_sintetica_v01.xlsx?d=w0cb619b4ae7144369930926936e1f5ab&amp;csf=1&amp;web=1&amp;e=njGkLJ&amp;nav=MTVfezAwMDAwMDAwLTAwMDEtMDAwMC0wMDAwLTAwMDAwMDAwMDAwMH0</w:t>
            </w:r>
          </w:p>
        </w:tc>
      </w:tr>
      <w:tr>
        <w:tc>
          <w:tcPr>
            <w:tcW w:w="0" w:type="auto"/>
          </w:tcPr>
          <w:p>
            <w:r>
              <w:t xml:space="preserve">Informe preliminar descriptivo de la Encuesta de Juventudes (empleabilidad juvenil).</w:t>
            </w:r>
          </w:p>
        </w:tc>
        <w:tc>
          <w:tcPr>
            <w:tcW w:w="0" w:type="auto"/>
          </w:tcPr>
          <w:p>
            <w:r>
              <w:t xml:space="preserve">Aportó el contexto, los hallazgos, las interpretaciones y las limitaciones. Sus cifras se contrastaron con la base y coincidieron. Sirvió para sustentar la justificación, los riesgos y las restricciones del canvas.</w:t>
            </w:r>
          </w:p>
        </w:tc>
        <w:tc>
          <w:tcPr>
            <w:tcW w:w="0" w:type="auto"/>
          </w:tcPr>
          <w:p>
            <w:r>
              <w:t xml:space="preserve">Carpeta compartida:https://ucatolicaeduco-my.sharepoint.com/:w:/r/personal/saacevedo88_ucatolica_edu_co/Documents/01_PJtra002_260917/01_PJtra002_Informe%20preliminar%20descriptivo_v01.docx?d=wa1ee0f6a502242819cf0361114e3a382&amp;csf=1&amp;web=1&amp;e=Rwn4zc</w:t>
            </w:r>
          </w:p>
        </w:tc>
      </w:tr>
      <w:tr>
        <w:tc>
          <w:tcPr>
            <w:tcW w:w="0" w:type="auto"/>
          </w:tcPr>
          <w:p>
            <w:r>
              <w:t xml:space="preserve"> Plantilla Project Model Canvas (versión 1.0) de la Alcaldía.</w:t>
            </w:r>
          </w:p>
        </w:tc>
        <w:tc>
          <w:tcPr>
            <w:tcW w:w="0" w:type="auto"/>
          </w:tcPr>
          <w:p>
            <w:r>
              <w:t xml:space="preserve">Formato resumido y claro sobre la propuesta de proyecto Se diligenciaron sus 13 componentes conservando la estructura, y es el documento final que resume la propuesta.</w:t>
            </w:r>
          </w:p>
        </w:tc>
        <w:tc>
          <w:tcPr>
            <w:tcW w:w="0" w:type="auto"/>
          </w:tcPr>
          <w:p>
            <w:r>
              <w:t xml:space="preserve">Carpeta compartida :https://ucatolicaeduco-my.sharepoint.com/:w:/r/personal/saacevedo88_ucatolica_edu_co/Documents/01_PJtra002_260917/PMC_San_Gabriel_V1_Formulacion_Final.docx?d=w74c1db4c316247008513b3ba04b6eebd&amp;csf=1&amp;web=1&amp;e=KiOtiZ</w:t>
            </w:r>
          </w:p>
        </w:tc>
      </w:tr>
    </w:tbl>
    <w:p>
      <w:pPr>
        <w:pStyle w:val="Heading1"/>
      </w:pPr>
      <w:r>
        <w:t xml:space="preserve">Ecosistema digital</w:t>
      </w:r>
    </w:p>
    <w:tbl>
      <w:tblPr>
        <w:tblBorders>
          <w:top w:val="single" w:sz="5"/>
          <w:bottom w:val="single" w:sz="5"/>
          <w:left w:val="single" w:sz="5"/>
          <w:right w:val="single" w:sz="5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Herramienta</w:t>
            </w:r>
          </w:p>
        </w:tc>
        <w:tc>
          <w:tcPr>
            <w:tcW w:w="0" w:type="auto"/>
          </w:tcPr>
          <w:p>
            <w:r>
              <w:t xml:space="preserve">Función prevista</w:t>
            </w:r>
          </w:p>
        </w:tc>
        <w:tc>
          <w:tcPr>
            <w:tcW w:w="0" w:type="auto"/>
          </w:tcPr>
          <w:p>
            <w:r>
              <w:t xml:space="preserve">Información o producto aportado</w:t>
            </w:r>
          </w:p>
        </w:tc>
      </w:tr>
      <w:tr>
        <w:tc>
          <w:tcPr>
            <w:tcW w:w="0" w:type="auto"/>
          </w:tcPr>
          <w:p>
            <w:r>
              <w:t xml:space="preserve">Almacenamiento y gestión documental colaborativa-Carpeta compartida Share Point</w:t>
            </w:r>
          </w:p>
        </w:tc>
        <w:tc>
          <w:tcPr>
            <w:tcW w:w="0" w:type="auto"/>
          </w:tcPr>
          <w:p>
            <w:r>
              <w:t xml:space="preserve">Centralizar, organizar y compartir los documentos técnicos, administrativos y metodológicos del proyecto, facilitando el acceso a la información, la colaboración entre los integrantes y la consulta de evidencias durante la ejecución.</w:t>
            </w:r>
          </w:p>
        </w:tc>
        <w:tc>
          <w:tcPr>
            <w:tcW w:w="0" w:type="auto"/>
          </w:tcPr>
          <w:p>
            <w:r>
              <w:t xml:space="preserve"> Carpeta colaborativa con documentos de formulación, cronogramas, instrumentos de recolección de información, informes de avance, actas de reunión, soportes de actividades y productos entregables.</w:t>
            </w:r>
          </w:p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ChatGPT – Asistente de inteligencia artificial para análisis y apoyo técnico.</w:t>
            </w:r>
          </w:p>
        </w:tc>
        <w:tc>
          <w:tcPr>
            <w:tcW w:w="0" w:type="auto"/>
          </w:tcPr>
          <w:p>
            <w:r>
              <w:t xml:space="preserve">Apoyar la estructuración de actividades, revisión de documentos, sistematización de información, formulación de indicadores y elaboración de informes de seguimiento. Su utilización estará sujeta a la revisión y validación del equipo, evitando incorporar información personal o sensible de los beneficiarios.</w:t>
            </w:r>
          </w:p>
        </w:tc>
        <w:tc>
          <w:tcPr>
            <w:tcW w:w="0" w:type="auto"/>
          </w:tcPr>
          <w:p>
            <w:r>
              <w:t xml:space="preserve">Borradores de documentos técnicos, matrices de seguimiento, propuestas de indicadores, síntesis de información, recomendaciones operativas e insumos para la elaboración de informes.</w:t>
            </w:r>
          </w:p>
        </w:tc>
      </w:tr>
      <w:tr>
        <w:tc>
          <w:tcPr>
            <w:tcW w:w="0" w:type="auto"/>
          </w:tcPr>
          <w:p>
            <w:r>
              <w:t xml:space="preserve">Microsoft Excel – Gestión, análisis y visualización de información.</w:t>
            </w:r>
          </w:p>
        </w:tc>
        <w:tc>
          <w:tcPr>
            <w:tcW w:w="0" w:type="auto"/>
          </w:tcPr>
          <w:p>
            <w:r>
              <w:t xml:space="preserve">Consolidar y analizar información relacionada con la población joven beneficiaria, las actividades ejecutadas, las metas programadas y los indicadores del proyecto. Facilitar la identificación de avances, desviaciones y necesidades de ajuste mediante tablas dinámicas, gráficos y matrices de control.</w:t>
            </w:r>
          </w:p>
        </w:tc>
        <w:tc>
          <w:tcPr>
            <w:tcW w:w="0" w:type="auto"/>
          </w:tcPr>
          <w:p>
            <w:r>
              <w:t xml:space="preserve">Bases de datos consolidadas, matrices de indicadores, tableros de seguimiento, gráficos de avance, reportes de cumplimiento de metas y análisis descriptivos de resultados.</w:t>
            </w:r>
          </w:p>
        </w:tc>
      </w:tr>
      <w:tr>
        <w:tc>
          <w:tcPr>
            <w:tcW w:w="0" w:type="auto"/>
          </w:tcPr>
          <w:p>
            <w:r>
              <w:t xml:space="preserve">Microsoft Teams o Google Meet – Comunicación y coordinación del equipo</w:t>
            </w:r>
          </w:p>
        </w:tc>
        <w:tc>
          <w:tcPr>
            <w:tcW w:w="0" w:type="auto"/>
          </w:tcPr>
          <w:p>
            <w:r>
              <w:t xml:space="preserve">Facilitar reuniones periódicas de coordinación, revisión de compromisos, socialización de avances y toma de decisiones entre los integrantes del equipo. Permitir el seguimiento de actividades y la identificación oportuna de dificultades durante la ejecución.</w:t>
            </w:r>
          </w:p>
        </w:tc>
        <w:tc>
          <w:tcPr>
            <w:tcW w:w="0" w:type="auto"/>
          </w:tcPr>
          <w:p>
            <w:r>
              <w:t xml:space="preserve">Actas de reunión, acuerdos de trabajo, compromisos asignados, decisiones documentadas y reportes de seguimiento a las actividades del proyecto</w:t>
            </w:r>
          </w:p>
        </w:tc>
      </w:tr>
    </w:tbl>
    <w:p>
      <w:pPr>
        <w:pStyle w:val="Heading1"/>
      </w:pPr>
      <w:r>
        <w:t xml:space="preserve">Preparación y decisiones pendientes</w:t>
      </w:r>
    </w:p>
    <w:p>
      <w:r>
        <w:t xml:space="preserve">Información requerida para monitorear</w:t>
      </w:r>
    </w:p>
    <w:p>
      <w:r>
        <w:t xml:space="preserve">Numero de convenios firmados y numero de vacantes contratadas o aseguradas.</w:t>
      </w:r>
    </w:p>
    <w:p>
      <w:r>
        <w:t xml:space="preserve">•	Porcentajes de asistencia y participación.</w:t>
      </w:r>
    </w:p>
    <w:p>
      <w:r>
        <w:t xml:space="preserve">•	Cumplimiento (tiempo y rubros) de las cuotas de financiación.</w:t>
      </w:r>
    </w:p>
    <w:p>
      <w:r>
        <w:t xml:space="preserve">•	Cumplimiento de las metas fijadas en las fechas establecidas a través de entregables.</w:t>
      </w:r>
    </w:p>
    <w:p>
      <w:r>
        <w:t xml:space="preserve">•	Numero de participantes efectivos vs mínimos presupuestados por etapa.</w:t>
      </w:r>
    </w:p>
    <w:p>
      <w:r>
        <w:t xml:space="preserve">•	Verificación de impacto de incentivos a los participantes (apoyo de transporte, fondo de cuidado)</w:t>
      </w:r>
    </w:p>
    <w:p>
      <w:r>
        <w:t xml:space="preserve">Incidencias previstas</w:t>
      </w:r>
    </w:p>
    <w:p>
      <w:r>
        <w:t xml:space="preserve">Baja participación o deserción.</w:t>
      </w:r>
    </w:p>
    <w:p>
      <w:r>
        <w:t xml:space="preserve">•	Falta o retraso de financiación.</w:t>
      </w:r>
    </w:p>
    <w:p>
      <w:r>
        <w:t xml:space="preserve">Decisiones para GitHub I</w:t>
      </w:r>
    </w:p>
    <w:p>
      <w:r>
        <w:t xml:space="preserve">Estructura del repositorio y cómo leer los insumos</w:t>
      </w:r>
    </w:p>
    <w:tbl>
      <w:tblPr>
        <w:tblBorders>
          <w:top w:val="single" w:sz="5"/>
          <w:bottom w:val="single" w:sz="5"/>
          <w:left w:val="single" w:sz="5"/>
          <w:right w:val="single" w:sz="5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Condición de preparación</w:t>
            </w:r>
          </w:p>
        </w:tc>
        <w:tc>
          <w:tcPr>
            <w:tcW w:w="0" w:type="auto"/>
          </w:tcPr>
          <w:p>
            <w:r>
              <w:t xml:space="preserve">Comprobación</w:t>
            </w:r>
          </w:p>
        </w:tc>
      </w:tr>
      <w:tr>
        <w:tc>
          <w:tcPr>
            <w:tcW w:w="0" w:type="auto"/>
          </w:tcPr>
          <w:p>
            <w:r>
              <w:t xml:space="preserve">Los cuatro integrantes disponen de cuenta de GitHub.</w:t>
            </w:r>
          </w:p>
        </w:tc>
        <w:tc>
          <w:tcPr>
            <w:tcW w:w="0" w:type="auto"/>
          </w:tcPr>
          <w:p>
            <w:r>
              <w:t xml:space="preserve">Sí</w:t>
            </w:r>
          </w:p>
        </w:tc>
      </w:tr>
      <w:tr>
        <w:tc>
          <w:tcPr>
            <w:tcW w:w="0" w:type="auto"/>
          </w:tcPr>
          <w:p>
            <w:r>
              <w:t xml:space="preserve">Los insumos pertinentes del Laboratorio están localizables.</w:t>
            </w:r>
          </w:p>
        </w:tc>
        <w:tc>
          <w:tcPr>
            <w:tcW w:w="0" w:type="auto"/>
          </w:tcPr>
          <w:p>
            <w:r>
              <w:t xml:space="preserve">Sí</w:t>
            </w:r>
          </w:p>
        </w:tc>
      </w:tr>
      <w:tr>
        <w:tc>
          <w:tcPr>
            <w:tcW w:w="0" w:type="auto"/>
          </w:tcPr>
          <w:p>
            <w:r>
              <w:t xml:space="preserve">El equipo puede acceder a la carpeta colaborativa.</w:t>
            </w:r>
          </w:p>
        </w:tc>
        <w:tc>
          <w:tcPr>
            <w:tcW w:w="0" w:type="auto"/>
          </w:tcPr>
          <w:p>
            <w:r>
              <w:t xml:space="preserve">Sí</w:t>
            </w:r>
          </w:p>
        </w:tc>
      </w:tr>
      <w:tr>
        <w:tc>
          <w:tcPr>
            <w:tcW w:w="0" w:type="auto"/>
          </w:tcPr>
          <w:p>
            <w:r>
              <w:t xml:space="preserve">Las actividades corresponden a la ejecución del proyecto, no al Laboratorio.</w:t>
            </w:r>
          </w:p>
        </w:tc>
        <w:tc>
          <w:tcPr>
            <w:tcW w:w="0" w:type="auto"/>
          </w:tcPr>
          <w:p>
            <w:r>
              <w:t xml:space="preserve">Sí</w:t>
            </w:r>
          </w:p>
        </w:tc>
      </w:tr>
    </w:tbl>
    <w:sectPr>
      <w:pgSz w:w="12240" w:h="15840"/>
      <w:pgMar w:top="1200" w:right="1200" w:bottom="1200" w:left="12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2"/>
    </w:rPr>
  </w:style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