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r>
        <w:rPr/>
        <w:t>Technical Assessment</w:t>
      </w:r>
    </w:p>
    <w:p>
      <w:pPr>
        <w:pStyle w:val="Normal"/>
        <w:rPr/>
      </w:pPr>
      <w:r>
        <w:rPr/>
        <w:t xml:space="preserve">Thank you for your interest in a position with the Charles River Development (CRD) / Alpha Platform Engineering organization! </w:t>
      </w:r>
    </w:p>
    <w:p>
      <w:pPr>
        <w:pStyle w:val="Normal"/>
        <w:rPr/>
      </w:pPr>
      <w:r>
        <w:rPr/>
        <w:t xml:space="preserve">As a part of our technical interview process, we would like to ask each candidate to participate in a </w:t>
      </w:r>
      <w:r>
        <w:rPr>
          <w:i/>
          <w:iCs/>
        </w:rPr>
        <w:t>technical assessment exercise</w:t>
      </w:r>
      <w:r>
        <w:rPr/>
        <w:t xml:space="preserve">. </w:t>
      </w:r>
    </w:p>
    <w:p>
      <w:pPr>
        <w:pStyle w:val="Normal"/>
        <w:rPr/>
      </w:pPr>
      <w:r>
        <w:rPr/>
        <w:t>Please read through the problem below and answer the questions highlighted in yellow</w:t>
      </w:r>
    </w:p>
    <w:p>
      <w:pPr>
        <w:pStyle w:val="Normal"/>
        <w:rPr/>
      </w:pPr>
      <w:r>
        <w:rPr/>
        <w:t>Account ABC holds these securities - IBM, MSFT, ORCL, AAPL, HD</w:t>
      </w:r>
    </w:p>
    <w:tbl>
      <w:tblPr>
        <w:tblW w:w="907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993"/>
        <w:gridCol w:w="1008"/>
        <w:gridCol w:w="957"/>
        <w:gridCol w:w="1053"/>
        <w:gridCol w:w="1584"/>
        <w:gridCol w:w="944"/>
        <w:gridCol w:w="1536"/>
      </w:tblGrid>
      <w:tr>
        <w:trPr>
          <w:trHeight w:val="1200" w:hRule="atLeast"/>
        </w:trPr>
        <w:tc>
          <w:tcPr>
            <w:tcW w:w="19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Account- ABC with $100K in total asset (100% is vested)</w:t>
            </w:r>
          </w:p>
        </w:tc>
        <w:tc>
          <w:tcPr>
            <w:tcW w:w="1008" w:type="dxa"/>
            <w:tcBorders>
              <w:top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 </w:t>
            </w:r>
            <w:r>
              <w:rPr>
                <w:rFonts w:eastAsia="Times New Roman" w:cs="Times New Roman" w:ascii="Aptos Narrow" w:hAnsi="Aptos Narrow"/>
                <w:b/>
                <w:bCs/>
                <w:color w:val="000000"/>
                <w:kern w:val="0"/>
                <w:sz w:val="22"/>
                <w:szCs w:val="22"/>
                <w14:ligatures w14:val="none"/>
              </w:rPr>
              <w:t>Security</w:t>
            </w:r>
          </w:p>
        </w:tc>
        <w:tc>
          <w:tcPr>
            <w:tcW w:w="957" w:type="dxa"/>
            <w:tcBorders>
              <w:top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bookmarkStart w:id="0" w:name="__DdeLink__258_126979977"/>
            <w:r>
              <w:rPr>
                <w:rFonts w:eastAsia="Times New Roman" w:cs="Times New Roman" w:ascii="Aptos Narrow" w:hAnsi="Aptos Narrow"/>
                <w:b/>
                <w:bCs/>
                <w:color w:val="000000"/>
                <w:kern w:val="0"/>
                <w:sz w:val="22"/>
                <w:szCs w:val="22"/>
                <w14:ligatures w14:val="none"/>
              </w:rPr>
              <w:t>target</w:t>
            </w:r>
            <w:bookmarkEnd w:id="0"/>
            <w:r>
              <w:rPr>
                <w:rFonts w:eastAsia="Times New Roman" w:cs="Times New Roman" w:ascii="Aptos Narrow" w:hAnsi="Aptos Narrow"/>
                <w:b/>
                <w:bCs/>
                <w:color w:val="000000"/>
                <w:kern w:val="0"/>
                <w:sz w:val="22"/>
                <w:szCs w:val="22"/>
                <w14:ligatures w14:val="none"/>
              </w:rPr>
              <w:t>%</w:t>
            </w:r>
          </w:p>
        </w:tc>
        <w:tc>
          <w:tcPr>
            <w:tcW w:w="1053" w:type="dxa"/>
            <w:tcBorders>
              <w:top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current%</w:t>
            </w:r>
          </w:p>
        </w:tc>
        <w:tc>
          <w:tcPr>
            <w:tcW w:w="1584" w:type="dxa"/>
            <w:tcBorders>
              <w:top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target Variance</w:t>
            </w:r>
          </w:p>
        </w:tc>
        <w:tc>
          <w:tcPr>
            <w:tcW w:w="944" w:type="dxa"/>
            <w:tcBorders>
              <w:top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unit price</w:t>
            </w:r>
          </w:p>
        </w:tc>
        <w:tc>
          <w:tcPr>
            <w:tcW w:w="1536" w:type="dxa"/>
            <w:tcBorders>
              <w:top w:val="single" w:sz="4" w:space="0" w:color="000000"/>
              <w:bottom w:val="single" w:sz="4" w:space="0" w:color="000000"/>
              <w:end w:val="single" w:sz="4" w:space="0" w:color="000000"/>
            </w:tcBorders>
            <w:shd w:color="000000" w:fill="FFFF00" w:val="clear"/>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Output - Number of shares to buy/sell</w:t>
            </w:r>
          </w:p>
        </w:tc>
      </w:tr>
      <w:tr>
        <w:trPr>
          <w:trHeight w:val="300" w:hRule="atLeast"/>
        </w:trPr>
        <w:tc>
          <w:tcPr>
            <w:tcW w:w="1993" w:type="dxa"/>
            <w:tcBorders>
              <w:start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 </w:t>
            </w:r>
          </w:p>
        </w:tc>
        <w:tc>
          <w:tcPr>
            <w:tcW w:w="1008" w:type="dxa"/>
            <w:tcBorders>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IBM</w:t>
            </w:r>
          </w:p>
        </w:tc>
        <w:tc>
          <w:tcPr>
            <w:tcW w:w="957"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20</w:t>
            </w:r>
          </w:p>
        </w:tc>
        <w:tc>
          <w:tcPr>
            <w:tcW w:w="1053"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10</w:t>
            </w:r>
          </w:p>
        </w:tc>
        <w:tc>
          <w:tcPr>
            <w:tcW w:w="1584"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-10</w:t>
            </w:r>
          </w:p>
        </w:tc>
        <w:tc>
          <w:tcPr>
            <w:tcW w:w="944"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150</w:t>
            </w:r>
          </w:p>
        </w:tc>
        <w:tc>
          <w:tcPr>
            <w:tcW w:w="1536" w:type="dxa"/>
            <w:tcBorders>
              <w:bottom w:val="single" w:sz="4" w:space="0" w:color="000000"/>
              <w:end w:val="single" w:sz="4" w:space="0" w:color="000000"/>
            </w:tcBorders>
            <w:shd w:color="000000" w:fill="FFFF00" w:val="clear"/>
            <w:vAlign w:val="center"/>
          </w:tcPr>
          <w:p>
            <w:pPr>
              <w:pStyle w:val="Normal"/>
              <w:spacing w:lineRule="auto" w:line="240" w:before="0" w:after="0"/>
              <w:rPr>
                <w:b/>
                <w:bCs/>
              </w:rPr>
            </w:pPr>
            <w:r>
              <w:rPr>
                <w:rFonts w:eastAsia="Times New Roman" w:cs="Times New Roman" w:ascii="Aptos Narrow" w:hAnsi="Aptos Narrow"/>
                <w:b/>
                <w:bCs/>
                <w:color w:val="000000"/>
                <w:kern w:val="0"/>
                <w:sz w:val="22"/>
                <w:szCs w:val="22"/>
                <w14:ligatures w14:val="none"/>
              </w:rPr>
              <w:t>66.67 -ve</w:t>
            </w:r>
          </w:p>
        </w:tc>
      </w:tr>
      <w:tr>
        <w:trPr>
          <w:trHeight w:val="300" w:hRule="atLeast"/>
        </w:trPr>
        <w:tc>
          <w:tcPr>
            <w:tcW w:w="1993" w:type="dxa"/>
            <w:tcBorders>
              <w:start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 </w:t>
            </w:r>
          </w:p>
        </w:tc>
        <w:tc>
          <w:tcPr>
            <w:tcW w:w="1008" w:type="dxa"/>
            <w:tcBorders>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MSFT</w:t>
            </w:r>
          </w:p>
        </w:tc>
        <w:tc>
          <w:tcPr>
            <w:tcW w:w="957"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20</w:t>
            </w:r>
          </w:p>
        </w:tc>
        <w:tc>
          <w:tcPr>
            <w:tcW w:w="1053"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20</w:t>
            </w:r>
          </w:p>
        </w:tc>
        <w:tc>
          <w:tcPr>
            <w:tcW w:w="1584"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0</w:t>
            </w:r>
          </w:p>
        </w:tc>
        <w:tc>
          <w:tcPr>
            <w:tcW w:w="944"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90</w:t>
            </w:r>
          </w:p>
        </w:tc>
        <w:tc>
          <w:tcPr>
            <w:tcW w:w="1536" w:type="dxa"/>
            <w:tcBorders>
              <w:bottom w:val="single" w:sz="4" w:space="0" w:color="000000"/>
              <w:end w:val="single" w:sz="4" w:space="0" w:color="000000"/>
            </w:tcBorders>
            <w:shd w:color="000000" w:fill="FFFF00" w:val="clear"/>
            <w:vAlign w:val="center"/>
          </w:tcPr>
          <w:p>
            <w:pPr>
              <w:pStyle w:val="Normal"/>
              <w:spacing w:lineRule="auto" w:line="240" w:before="0" w:after="0"/>
              <w:rPr>
                <w:b/>
                <w:bCs/>
              </w:rPr>
            </w:pPr>
            <w:r>
              <w:rPr>
                <w:rFonts w:eastAsia="Times New Roman" w:cs="Times New Roman" w:ascii="Aptos Narrow" w:hAnsi="Aptos Narrow"/>
                <w:b/>
                <w:bCs/>
                <w:color w:val="000000"/>
                <w:kern w:val="0"/>
                <w:sz w:val="22"/>
                <w:szCs w:val="22"/>
                <w14:ligatures w14:val="none"/>
              </w:rPr>
              <w:t>0</w:t>
            </w:r>
          </w:p>
        </w:tc>
      </w:tr>
      <w:tr>
        <w:trPr>
          <w:trHeight w:val="300" w:hRule="atLeast"/>
        </w:trPr>
        <w:tc>
          <w:tcPr>
            <w:tcW w:w="1993" w:type="dxa"/>
            <w:tcBorders>
              <w:start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 </w:t>
            </w:r>
          </w:p>
        </w:tc>
        <w:tc>
          <w:tcPr>
            <w:tcW w:w="1008" w:type="dxa"/>
            <w:tcBorders>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ORCL</w:t>
            </w:r>
          </w:p>
        </w:tc>
        <w:tc>
          <w:tcPr>
            <w:tcW w:w="957"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20</w:t>
            </w:r>
          </w:p>
        </w:tc>
        <w:tc>
          <w:tcPr>
            <w:tcW w:w="1053"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30</w:t>
            </w:r>
          </w:p>
        </w:tc>
        <w:tc>
          <w:tcPr>
            <w:tcW w:w="1584"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10</w:t>
            </w:r>
          </w:p>
        </w:tc>
        <w:tc>
          <w:tcPr>
            <w:tcW w:w="944"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220</w:t>
            </w:r>
          </w:p>
        </w:tc>
        <w:tc>
          <w:tcPr>
            <w:tcW w:w="1536" w:type="dxa"/>
            <w:tcBorders>
              <w:bottom w:val="single" w:sz="4" w:space="0" w:color="000000"/>
              <w:end w:val="single" w:sz="4" w:space="0" w:color="000000"/>
            </w:tcBorders>
            <w:shd w:color="000000" w:fill="FFFF00" w:val="clear"/>
            <w:vAlign w:val="center"/>
          </w:tcPr>
          <w:p>
            <w:pPr>
              <w:pStyle w:val="Normal"/>
              <w:spacing w:lineRule="auto" w:line="240" w:before="0" w:after="0"/>
              <w:rPr>
                <w:b/>
                <w:bCs/>
              </w:rPr>
            </w:pPr>
            <w:r>
              <w:rPr>
                <w:rFonts w:eastAsia="Times New Roman" w:cs="Times New Roman" w:ascii="Aptos Narrow" w:hAnsi="Aptos Narrow"/>
                <w:b/>
                <w:bCs/>
                <w:color w:val="000000"/>
                <w:kern w:val="0"/>
                <w:sz w:val="22"/>
                <w:szCs w:val="22"/>
                <w14:ligatures w14:val="none"/>
              </w:rPr>
              <w:t xml:space="preserve">45.45 </w:t>
            </w:r>
            <w:r>
              <w:rPr>
                <w:rFonts w:eastAsia="Times New Roman" w:cs="Times New Roman" w:ascii="Aptos Narrow" w:hAnsi="Aptos Narrow"/>
                <w:b/>
                <w:bCs/>
                <w:color w:val="000000"/>
                <w:kern w:val="0"/>
                <w:sz w:val="22"/>
                <w:szCs w:val="22"/>
                <w14:ligatures w14:val="none"/>
              </w:rPr>
              <w:t>+</w:t>
            </w:r>
            <w:r>
              <w:rPr>
                <w:rFonts w:eastAsia="Times New Roman" w:cs="Times New Roman" w:ascii="Aptos Narrow" w:hAnsi="Aptos Narrow"/>
                <w:b/>
                <w:bCs/>
                <w:color w:val="000000"/>
                <w:kern w:val="0"/>
                <w:sz w:val="22"/>
                <w:szCs w:val="22"/>
                <w14:ligatures w14:val="none"/>
              </w:rPr>
              <w:t>ve</w:t>
            </w:r>
          </w:p>
        </w:tc>
      </w:tr>
      <w:tr>
        <w:trPr>
          <w:trHeight w:val="300" w:hRule="atLeast"/>
        </w:trPr>
        <w:tc>
          <w:tcPr>
            <w:tcW w:w="1993" w:type="dxa"/>
            <w:tcBorders>
              <w:start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 </w:t>
            </w:r>
          </w:p>
        </w:tc>
        <w:tc>
          <w:tcPr>
            <w:tcW w:w="1008" w:type="dxa"/>
            <w:tcBorders>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AAPL</w:t>
            </w:r>
          </w:p>
        </w:tc>
        <w:tc>
          <w:tcPr>
            <w:tcW w:w="957"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20</w:t>
            </w:r>
          </w:p>
        </w:tc>
        <w:tc>
          <w:tcPr>
            <w:tcW w:w="1053"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20</w:t>
            </w:r>
          </w:p>
        </w:tc>
        <w:tc>
          <w:tcPr>
            <w:tcW w:w="1584"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0</w:t>
            </w:r>
          </w:p>
        </w:tc>
        <w:tc>
          <w:tcPr>
            <w:tcW w:w="944"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450</w:t>
            </w:r>
          </w:p>
        </w:tc>
        <w:tc>
          <w:tcPr>
            <w:tcW w:w="1536" w:type="dxa"/>
            <w:tcBorders>
              <w:bottom w:val="single" w:sz="4" w:space="0" w:color="000000"/>
              <w:end w:val="single" w:sz="4" w:space="0" w:color="000000"/>
            </w:tcBorders>
            <w:shd w:color="000000" w:fill="FFFF00" w:val="clear"/>
            <w:vAlign w:val="center"/>
          </w:tcPr>
          <w:p>
            <w:pPr>
              <w:pStyle w:val="Normal"/>
              <w:spacing w:lineRule="auto" w:line="240" w:before="0" w:after="0"/>
              <w:rPr>
                <w:b/>
                <w:bCs/>
              </w:rPr>
            </w:pPr>
            <w:r>
              <w:rPr>
                <w:rFonts w:eastAsia="Times New Roman" w:cs="Times New Roman" w:ascii="Aptos Narrow" w:hAnsi="Aptos Narrow"/>
                <w:b/>
                <w:bCs/>
                <w:color w:val="000000"/>
                <w:kern w:val="0"/>
                <w:sz w:val="22"/>
                <w:szCs w:val="22"/>
                <w14:ligatures w14:val="none"/>
              </w:rPr>
              <w:t>0</w:t>
            </w:r>
          </w:p>
        </w:tc>
      </w:tr>
      <w:tr>
        <w:trPr>
          <w:trHeight w:val="300" w:hRule="atLeast"/>
        </w:trPr>
        <w:tc>
          <w:tcPr>
            <w:tcW w:w="1993" w:type="dxa"/>
            <w:tcBorders>
              <w:start w:val="single" w:sz="4" w:space="0" w:color="000000"/>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 </w:t>
            </w:r>
          </w:p>
        </w:tc>
        <w:tc>
          <w:tcPr>
            <w:tcW w:w="1008" w:type="dxa"/>
            <w:tcBorders>
              <w:bottom w:val="single" w:sz="4" w:space="0" w:color="000000"/>
              <w:end w:val="single" w:sz="4" w:space="0" w:color="000000"/>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HD</w:t>
            </w:r>
          </w:p>
        </w:tc>
        <w:tc>
          <w:tcPr>
            <w:tcW w:w="957"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20</w:t>
            </w:r>
          </w:p>
        </w:tc>
        <w:tc>
          <w:tcPr>
            <w:tcW w:w="1053"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20</w:t>
            </w:r>
          </w:p>
        </w:tc>
        <w:tc>
          <w:tcPr>
            <w:tcW w:w="1584"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0</w:t>
            </w:r>
          </w:p>
        </w:tc>
        <w:tc>
          <w:tcPr>
            <w:tcW w:w="944" w:type="dxa"/>
            <w:tcBorders>
              <w:bottom w:val="single" w:sz="4" w:space="0" w:color="000000"/>
              <w:end w:val="single" w:sz="4" w:space="0" w:color="000000"/>
            </w:tcBorders>
            <w:vAlign w:val="center"/>
          </w:tcPr>
          <w:p>
            <w:pPr>
              <w:pStyle w:val="Normal"/>
              <w:spacing w:lineRule="auto" w:line="240" w:before="0" w:after="0"/>
              <w:jc w:val="end"/>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70</w:t>
            </w:r>
          </w:p>
        </w:tc>
        <w:tc>
          <w:tcPr>
            <w:tcW w:w="1536" w:type="dxa"/>
            <w:tcBorders>
              <w:bottom w:val="single" w:sz="4" w:space="0" w:color="000000"/>
              <w:end w:val="single" w:sz="4" w:space="0" w:color="000000"/>
            </w:tcBorders>
            <w:shd w:color="000000" w:fill="FFFF00" w:val="clear"/>
            <w:vAlign w:val="center"/>
          </w:tcPr>
          <w:p>
            <w:pPr>
              <w:pStyle w:val="Normal"/>
              <w:spacing w:lineRule="auto" w:line="240" w:before="0" w:after="0"/>
              <w:rPr>
                <w:b/>
                <w:bCs/>
              </w:rPr>
            </w:pPr>
            <w:r>
              <w:rPr>
                <w:rFonts w:eastAsia="Times New Roman" w:cs="Times New Roman" w:ascii="Aptos Narrow" w:hAnsi="Aptos Narrow"/>
                <w:b/>
                <w:bCs/>
                <w:color w:val="000000"/>
                <w:kern w:val="0"/>
                <w:sz w:val="22"/>
                <w:szCs w:val="22"/>
                <w14:ligatures w14:val="none"/>
              </w:rPr>
              <w:t>0</w:t>
            </w:r>
            <w:r>
              <w:rPr>
                <w:rFonts w:eastAsia="Times New Roman" w:cs="Times New Roman" w:ascii="Aptos Narrow" w:hAnsi="Aptos Narrow"/>
                <w:b/>
                <w:bCs/>
                <w:color w:val="000000"/>
                <w:kern w:val="0"/>
                <w:sz w:val="22"/>
                <w:szCs w:val="22"/>
                <w14:ligatures w14:val="none"/>
              </w:rPr>
              <w:t> </w:t>
            </w:r>
          </w:p>
        </w:tc>
      </w:tr>
      <w:tr>
        <w:trPr>
          <w:trHeight w:val="300" w:hRule="exact"/>
        </w:trPr>
        <w:tc>
          <w:tcPr>
            <w:tcW w:w="1993" w:type="dxa"/>
            <w:tcBorders/>
            <w:vAlign w:val="center"/>
          </w:tcPr>
          <w:p>
            <w:pPr>
              <w:pStyle w:val="Normal"/>
              <w:spacing w:lineRule="auto" w:line="240" w:before="0" w:after="0"/>
              <w:rPr>
                <w:rFonts w:ascii="Aptos Narrow" w:hAnsi="Aptos Narrow" w:eastAsia="Times New Roman" w:cs="Times New Roman"/>
                <w:color w:val="000000"/>
                <w:kern w:val="0"/>
                <w:sz w:val="22"/>
                <w:szCs w:val="22"/>
                <w14:ligatures w14:val="none"/>
              </w:rPr>
            </w:pPr>
            <w:r>
              <w:rPr>
                <w:rFonts w:eastAsia="Times New Roman" w:cs="Times New Roman" w:ascii="Aptos Narrow" w:hAnsi="Aptos Narrow"/>
                <w:color w:val="000000"/>
                <w:kern w:val="0"/>
                <w:sz w:val="22"/>
                <w:szCs w:val="22"/>
                <w14:ligatures w14:val="none"/>
              </w:rPr>
            </w:r>
          </w:p>
        </w:tc>
        <w:tc>
          <w:tcPr>
            <w:tcW w:w="1008"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957"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053"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584"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944"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536"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r>
      <w:tr>
        <w:trPr>
          <w:trHeight w:val="582" w:hRule="atLeast"/>
        </w:trPr>
        <w:tc>
          <w:tcPr>
            <w:tcW w:w="3001" w:type="dxa"/>
            <w:gridSpan w:val="2"/>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t>Total Asset - $100,000</w:t>
            </w:r>
          </w:p>
        </w:tc>
        <w:tc>
          <w:tcPr>
            <w:tcW w:w="957" w:type="dxa"/>
            <w:tcBorders/>
            <w:vAlign w:val="center"/>
          </w:tcPr>
          <w:p>
            <w:pPr>
              <w:pStyle w:val="Normal"/>
              <w:spacing w:lineRule="auto" w:line="240" w:before="0" w:after="0"/>
              <w:rPr>
                <w:rFonts w:ascii="Aptos Narrow" w:hAnsi="Aptos Narrow" w:eastAsia="Times New Roman" w:cs="Times New Roman"/>
                <w:b/>
                <w:bCs/>
                <w:color w:val="000000"/>
                <w:kern w:val="0"/>
                <w:sz w:val="22"/>
                <w:szCs w:val="22"/>
                <w14:ligatures w14:val="none"/>
              </w:rPr>
            </w:pPr>
            <w:r>
              <w:rPr>
                <w:rFonts w:eastAsia="Times New Roman" w:cs="Times New Roman" w:ascii="Aptos Narrow" w:hAnsi="Aptos Narrow"/>
                <w:b/>
                <w:bCs/>
                <w:color w:val="000000"/>
                <w:kern w:val="0"/>
                <w:sz w:val="22"/>
                <w:szCs w:val="22"/>
                <w14:ligatures w14:val="none"/>
              </w:rPr>
            </w:r>
          </w:p>
        </w:tc>
        <w:tc>
          <w:tcPr>
            <w:tcW w:w="1053"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584"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944"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536"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r>
      <w:tr>
        <w:trPr>
          <w:trHeight w:val="582" w:hRule="atLeast"/>
        </w:trPr>
        <w:tc>
          <w:tcPr>
            <w:tcW w:w="5011" w:type="dxa"/>
            <w:gridSpan w:val="4"/>
            <w:tcBorders/>
            <w:vAlign w:val="center"/>
          </w:tcPr>
          <w:p>
            <w:pPr>
              <w:pStyle w:val="Normal"/>
              <w:spacing w:lineRule="auto" w:line="240" w:before="0" w:after="0"/>
              <w:rPr>
                <w:rFonts w:ascii="Aptos Narrow" w:hAnsi="Aptos Narrow" w:eastAsia="Times New Roman" w:cs="Times New Roman"/>
                <w:color w:val="000000"/>
                <w:kern w:val="0"/>
                <w:sz w:val="22"/>
                <w:szCs w:val="22"/>
                <w14:ligatures w14:val="none"/>
              </w:rPr>
            </w:pPr>
            <w:r>
              <w:rPr>
                <w:rFonts w:eastAsia="Times New Roman" w:cs="Times New Roman" w:ascii="Aptos Narrow" w:hAnsi="Aptos Narrow"/>
                <w:color w:val="000000"/>
                <w:kern w:val="0"/>
                <w:sz w:val="22"/>
                <w:szCs w:val="22"/>
                <w14:ligatures w14:val="none"/>
              </w:rPr>
              <w:t>target% indicates what % of total assets, you should hold in your acct</w:t>
            </w:r>
          </w:p>
        </w:tc>
        <w:tc>
          <w:tcPr>
            <w:tcW w:w="1584" w:type="dxa"/>
            <w:tcBorders/>
            <w:vAlign w:val="center"/>
          </w:tcPr>
          <w:p>
            <w:pPr>
              <w:pStyle w:val="Normal"/>
              <w:spacing w:lineRule="auto" w:line="240" w:before="0" w:after="0"/>
              <w:rPr>
                <w:rFonts w:ascii="Aptos Narrow" w:hAnsi="Aptos Narrow" w:eastAsia="Times New Roman" w:cs="Times New Roman"/>
                <w:color w:val="000000"/>
                <w:kern w:val="0"/>
                <w:sz w:val="22"/>
                <w:szCs w:val="22"/>
                <w14:ligatures w14:val="none"/>
              </w:rPr>
            </w:pPr>
            <w:r>
              <w:rPr>
                <w:rFonts w:eastAsia="Times New Roman" w:cs="Times New Roman" w:ascii="Aptos Narrow" w:hAnsi="Aptos Narrow"/>
                <w:color w:val="000000"/>
                <w:kern w:val="0"/>
                <w:sz w:val="22"/>
                <w:szCs w:val="22"/>
                <w14:ligatures w14:val="none"/>
              </w:rPr>
            </w:r>
          </w:p>
        </w:tc>
        <w:tc>
          <w:tcPr>
            <w:tcW w:w="944"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536"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r>
      <w:tr>
        <w:trPr>
          <w:trHeight w:val="582" w:hRule="atLeast"/>
        </w:trPr>
        <w:tc>
          <w:tcPr>
            <w:tcW w:w="5011" w:type="dxa"/>
            <w:gridSpan w:val="4"/>
            <w:tcBorders/>
            <w:vAlign w:val="center"/>
          </w:tcPr>
          <w:p>
            <w:pPr>
              <w:pStyle w:val="Normal"/>
              <w:spacing w:lineRule="auto" w:line="240" w:before="0" w:after="0"/>
              <w:rPr>
                <w:rFonts w:ascii="Aptos Narrow" w:hAnsi="Aptos Narrow" w:eastAsia="Times New Roman" w:cs="Times New Roman"/>
                <w:color w:val="000000"/>
                <w:kern w:val="0"/>
                <w:sz w:val="22"/>
                <w:szCs w:val="22"/>
                <w14:ligatures w14:val="none"/>
              </w:rPr>
            </w:pPr>
            <w:r>
              <w:rPr>
                <w:rFonts w:eastAsia="Times New Roman" w:cs="Times New Roman" w:ascii="Aptos Narrow" w:hAnsi="Aptos Narrow"/>
                <w:color w:val="000000"/>
                <w:kern w:val="0"/>
                <w:sz w:val="22"/>
                <w:szCs w:val="22"/>
                <w14:ligatures w14:val="none"/>
              </w:rPr>
              <w:t>current% shows what % of total assets, you currently have in your Acct</w:t>
            </w:r>
          </w:p>
        </w:tc>
        <w:tc>
          <w:tcPr>
            <w:tcW w:w="1584" w:type="dxa"/>
            <w:tcBorders/>
            <w:vAlign w:val="center"/>
          </w:tcPr>
          <w:p>
            <w:pPr>
              <w:pStyle w:val="Normal"/>
              <w:spacing w:lineRule="auto" w:line="240" w:before="0" w:after="0"/>
              <w:rPr>
                <w:rFonts w:ascii="Aptos Narrow" w:hAnsi="Aptos Narrow" w:eastAsia="Times New Roman" w:cs="Times New Roman"/>
                <w:color w:val="000000"/>
                <w:kern w:val="0"/>
                <w:sz w:val="22"/>
                <w:szCs w:val="22"/>
                <w14:ligatures w14:val="none"/>
              </w:rPr>
            </w:pPr>
            <w:r>
              <w:rPr>
                <w:rFonts w:eastAsia="Times New Roman" w:cs="Times New Roman" w:ascii="Aptos Narrow" w:hAnsi="Aptos Narrow"/>
                <w:color w:val="000000"/>
                <w:kern w:val="0"/>
                <w:sz w:val="22"/>
                <w:szCs w:val="22"/>
                <w14:ligatures w14:val="none"/>
              </w:rPr>
            </w:r>
          </w:p>
        </w:tc>
        <w:tc>
          <w:tcPr>
            <w:tcW w:w="944"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536"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r>
      <w:tr>
        <w:trPr>
          <w:trHeight w:val="582" w:hRule="atLeast"/>
        </w:trPr>
        <w:tc>
          <w:tcPr>
            <w:tcW w:w="9075" w:type="dxa"/>
            <w:gridSpan w:val="7"/>
            <w:tcBorders/>
            <w:vAlign w:val="center"/>
          </w:tcPr>
          <w:p>
            <w:pPr>
              <w:pStyle w:val="Normal"/>
              <w:spacing w:lineRule="auto" w:line="240" w:before="0" w:after="0"/>
              <w:rPr>
                <w:rFonts w:ascii="Aptos Narrow" w:hAnsi="Aptos Narrow" w:eastAsia="Times New Roman" w:cs="Times New Roman"/>
                <w:color w:val="000000"/>
                <w:kern w:val="0"/>
                <w:sz w:val="22"/>
                <w:szCs w:val="22"/>
                <w14:ligatures w14:val="none"/>
              </w:rPr>
            </w:pPr>
            <w:r>
              <w:rPr>
                <w:rFonts w:eastAsia="Times New Roman" w:cs="Times New Roman" w:ascii="Aptos Narrow" w:hAnsi="Aptos Narrow"/>
                <w:color w:val="000000"/>
                <w:kern w:val="0"/>
                <w:sz w:val="22"/>
                <w:szCs w:val="22"/>
                <w14:ligatures w14:val="none"/>
              </w:rPr>
              <w:t>target Variance shows how much deviation you have, (-ve) var means you need to buy (+ve) var means you need to sell</w:t>
            </w:r>
          </w:p>
        </w:tc>
      </w:tr>
      <w:tr>
        <w:trPr>
          <w:trHeight w:val="300" w:hRule="exact"/>
        </w:trPr>
        <w:tc>
          <w:tcPr>
            <w:tcW w:w="1993" w:type="dxa"/>
            <w:tcBorders/>
            <w:vAlign w:val="center"/>
          </w:tcPr>
          <w:p>
            <w:pPr>
              <w:pStyle w:val="Normal"/>
              <w:spacing w:lineRule="auto" w:line="240" w:before="0" w:after="0"/>
              <w:rPr>
                <w:rFonts w:ascii="Aptos Narrow" w:hAnsi="Aptos Narrow" w:eastAsia="Times New Roman" w:cs="Times New Roman"/>
                <w:color w:val="000000"/>
                <w:kern w:val="0"/>
                <w:sz w:val="22"/>
                <w:szCs w:val="22"/>
                <w14:ligatures w14:val="none"/>
              </w:rPr>
            </w:pPr>
            <w:r>
              <w:rPr>
                <w:rFonts w:eastAsia="Times New Roman" w:cs="Times New Roman" w:ascii="Aptos Narrow" w:hAnsi="Aptos Narrow"/>
                <w:color w:val="000000"/>
                <w:kern w:val="0"/>
                <w:sz w:val="22"/>
                <w:szCs w:val="22"/>
                <w14:ligatures w14:val="none"/>
              </w:rPr>
            </w:r>
          </w:p>
        </w:tc>
        <w:tc>
          <w:tcPr>
            <w:tcW w:w="1008"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957"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053"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584"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944"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536"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r>
      <w:tr>
        <w:trPr>
          <w:trHeight w:val="582" w:hRule="atLeast"/>
        </w:trPr>
        <w:tc>
          <w:tcPr>
            <w:tcW w:w="3001" w:type="dxa"/>
            <w:gridSpan w:val="2"/>
            <w:tcBorders/>
            <w:shd w:color="000000" w:fill="FFFF00" w:val="clear"/>
            <w:vAlign w:val="center"/>
          </w:tcPr>
          <w:p>
            <w:pPr>
              <w:pStyle w:val="Normal"/>
              <w:spacing w:lineRule="auto" w:line="240" w:before="0" w:after="0"/>
              <w:rPr>
                <w:rFonts w:ascii="Aptos Narrow" w:hAnsi="Aptos Narrow" w:eastAsia="Times New Roman" w:cs="Times New Roman"/>
                <w:color w:val="000000"/>
                <w:kern w:val="0"/>
                <w:sz w:val="22"/>
                <w:szCs w:val="22"/>
                <w14:ligatures w14:val="none"/>
              </w:rPr>
            </w:pPr>
            <w:r>
              <w:rPr>
                <w:rFonts w:eastAsia="Times New Roman" w:cs="Times New Roman" w:ascii="Aptos Narrow" w:hAnsi="Aptos Narrow"/>
                <w:color w:val="000000"/>
                <w:kern w:val="0"/>
                <w:sz w:val="22"/>
                <w:szCs w:val="22"/>
                <w14:ligatures w14:val="none"/>
              </w:rPr>
              <w:t>What do you have to do to get to zero target variance?</w:t>
            </w:r>
          </w:p>
        </w:tc>
        <w:tc>
          <w:tcPr>
            <w:tcW w:w="957" w:type="dxa"/>
            <w:tcBorders/>
            <w:vAlign w:val="center"/>
          </w:tcPr>
          <w:p>
            <w:pPr>
              <w:pStyle w:val="Normal"/>
              <w:spacing w:lineRule="auto" w:line="240" w:before="0" w:after="0"/>
              <w:rPr>
                <w:rFonts w:ascii="Aptos Narrow" w:hAnsi="Aptos Narrow" w:eastAsia="Times New Roman" w:cs="Times New Roman"/>
                <w:color w:val="000000"/>
                <w:kern w:val="0"/>
                <w:sz w:val="22"/>
                <w:szCs w:val="22"/>
                <w14:ligatures w14:val="none"/>
              </w:rPr>
            </w:pPr>
            <w:r>
              <w:rPr>
                <w:rFonts w:eastAsia="Times New Roman" w:cs="Times New Roman" w:ascii="Aptos Narrow" w:hAnsi="Aptos Narrow"/>
                <w:color w:val="000000"/>
                <w:kern w:val="0"/>
                <w:sz w:val="22"/>
                <w:szCs w:val="22"/>
                <w14:ligatures w14:val="none"/>
              </w:rPr>
            </w:r>
          </w:p>
        </w:tc>
        <w:tc>
          <w:tcPr>
            <w:tcW w:w="1053"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584"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944"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c>
          <w:tcPr>
            <w:tcW w:w="1536" w:type="dxa"/>
            <w:tcBorders/>
            <w:vAlign w:val="center"/>
          </w:tcPr>
          <w:p>
            <w:pPr>
              <w:pStyle w:val="Normal"/>
              <w:spacing w:lineRule="auto" w:line="240" w:before="0" w:after="0"/>
              <w:rPr>
                <w:rFonts w:ascii="Times New Roman" w:hAnsi="Times New Roman" w:eastAsia="Times New Roman" w:cs="Times New Roman"/>
                <w:kern w:val="0"/>
                <w:sz w:val="20"/>
                <w:szCs w:val="20"/>
                <w14:ligatures w14:val="none"/>
              </w:rPr>
            </w:pPr>
            <w:r>
              <w:rPr>
                <w:rFonts w:eastAsia="Times New Roman" w:cs="Times New Roman" w:ascii="Times New Roman" w:hAnsi="Times New Roman"/>
                <w:kern w:val="0"/>
                <w:sz w:val="20"/>
                <w:szCs w:val="20"/>
                <w14:ligatures w14:val="none"/>
              </w:rPr>
            </w:r>
          </w:p>
        </w:tc>
      </w:tr>
    </w:tbl>
    <w:p>
      <w:pPr>
        <w:pStyle w:val="Normal"/>
        <w:rPr/>
      </w:pPr>
      <w:r>
        <w:rPr/>
      </w:r>
    </w:p>
    <w:p>
      <w:pPr>
        <w:pStyle w:val="Normal"/>
        <w:rPr>
          <w:b/>
          <w:bCs/>
        </w:rPr>
      </w:pPr>
      <w:r>
        <w:rPr>
          <w:b/>
          <w:bCs/>
        </w:rPr>
        <w:t xml:space="preserve">Buy and sell fractional shares to get Zero variance otherwise the account will either be under or over the total asset allocation. </w:t>
        <w:br/>
        <w:t>IBM shares must be purchased.</w:t>
        <w:br/>
        <w:t xml:space="preserve">Oracle shares must be sold </w:t>
        <w:br/>
        <w:t>to bring current % inline with targets.</w:t>
      </w:r>
    </w:p>
    <w:p>
      <w:pPr>
        <w:pStyle w:val="Normal"/>
        <w:rPr/>
      </w:pPr>
      <w:r>
        <w:rPr/>
      </w:r>
    </w:p>
    <w:p>
      <w:pPr>
        <w:pStyle w:val="Normal"/>
        <w:rPr/>
      </w:pPr>
      <w:r>
        <w:rPr/>
      </w:r>
    </w:p>
    <w:p>
      <w:pPr>
        <w:pStyle w:val="Normal"/>
        <w:rPr/>
      </w:pPr>
      <w:r>
        <w:rPr/>
      </w:r>
    </w:p>
    <w:p>
      <w:pPr>
        <w:pStyle w:val="Normal"/>
        <w:rPr/>
      </w:pPr>
      <w:r>
        <w:rPr/>
        <w:t xml:space="preserve">Assume that this rebalancing problem is your team’s application that you are going to test, please write your manual test cases and automated test cases to test the application. </w:t>
      </w:r>
    </w:p>
    <w:p>
      <w:pPr>
        <w:pStyle w:val="Normal"/>
        <w:numPr>
          <w:ilvl w:val="0"/>
          <w:numId w:val="3"/>
        </w:numPr>
        <w:rPr/>
      </w:pPr>
      <w:r>
        <w:rPr/>
        <w:t>Recommended time for this task is 4-5 hours, please feel free to research.</w:t>
      </w:r>
    </w:p>
    <w:p>
      <w:pPr>
        <w:pStyle w:val="Normal"/>
        <w:numPr>
          <w:ilvl w:val="0"/>
          <w:numId w:val="1"/>
        </w:numPr>
        <w:rPr/>
      </w:pPr>
      <w:r>
        <w:rPr/>
        <w:t>You can use any language/testing tool to code your automated test cases for this scenario and make any reasonable assumptions and upload them to GitHub and share the URL.</w:t>
      </w:r>
    </w:p>
    <w:p>
      <w:pPr>
        <w:pStyle w:val="Normal"/>
        <w:numPr>
          <w:ilvl w:val="0"/>
          <w:numId w:val="1"/>
        </w:numPr>
        <w:rPr/>
      </w:pPr>
      <w:r>
        <w:rPr/>
        <w:t>The tests should validate that the total number of shares to buy and sell for each security is correct, as this is the application’s output.</w:t>
      </w:r>
    </w:p>
    <w:p>
      <w:pPr>
        <w:pStyle w:val="Normal"/>
        <w:numPr>
          <w:ilvl w:val="0"/>
          <w:numId w:val="1"/>
        </w:numPr>
        <w:rPr/>
      </w:pPr>
      <w:r>
        <w:rPr/>
        <w:t>Please be prepared to discuss the logic, test cases and coded implementation during the interview.</w:t>
      </w:r>
    </w:p>
    <w:p>
      <w:pPr>
        <w:pStyle w:val="Normal"/>
        <w:rPr/>
      </w:pPr>
      <w:r>
        <w:rPr/>
        <w:t>**If you make any assumptions, please note that.</w:t>
        <w:br/>
        <w:br/>
      </w:r>
      <w:r>
        <w:rPr>
          <w:b/>
          <w:bCs/>
        </w:rPr>
        <w:t>Manula test cases.</w:t>
        <w:br/>
        <w:br/>
        <w:t>Test 1: verify the page consistancy with the product documents for visual layout, Include inconsitat capitalisation and spelling.</w:t>
        <w:br/>
        <w:br/>
        <w:t>Test2: verify the total Target Assets  correctly add up to the 100%</w:t>
      </w:r>
    </w:p>
    <w:p>
      <w:pPr>
        <w:pStyle w:val="Normal"/>
        <w:rPr>
          <w:b/>
          <w:bCs/>
        </w:rPr>
      </w:pPr>
      <w:r>
        <w:rPr>
          <w:b/>
          <w:bCs/>
        </w:rPr>
        <w:t>Test3: verify the total held assets correctly add up to 100%</w:t>
      </w:r>
    </w:p>
    <w:p>
      <w:pPr>
        <w:pStyle w:val="Normal"/>
        <w:rPr>
          <w:b/>
          <w:bCs/>
        </w:rPr>
      </w:pPr>
      <w:r>
        <w:rPr>
          <w:b/>
          <w:bCs/>
        </w:rPr>
        <w:t>Test4: verify the variance between held and target are correct.</w:t>
      </w:r>
    </w:p>
    <w:p>
      <w:pPr>
        <w:pStyle w:val="Normal"/>
        <w:spacing w:before="0" w:after="160"/>
        <w:rPr>
          <w:b/>
          <w:bCs/>
        </w:rPr>
      </w:pPr>
      <w:r>
        <w:rPr>
          <w:b/>
          <w:bCs/>
        </w:rPr>
        <w:t>Test5: verify the corective action to achive target assets is correctly calculated. The cash value of the variance divided by the share price should return the number of shares to buy or sell. (the vairance is a precentage of the total asset fund.)</w:t>
      </w:r>
    </w:p>
    <w:sectPr>
      <w:footerReference w:type="even" r:id="rId2"/>
      <w:footerReference w:type="default" r:id="rId3"/>
      <w:footerReference w:type="first" r:id="rId4"/>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Aptos Narrow">
    <w:charset w:val="01" w:characterSet="utf-8"/>
    <w:family w:val="swiss"/>
    <w:pitch w:val="variable"/>
  </w:font>
  <w:font w:name="Times New Roman">
    <w:charset w:val="01" w:characterSet="utf-8"/>
    <w:family w:val="roman"/>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11430" simplePos="0" relativeHeight="3" behindDoc="1" locked="0" layoutInCell="0" allowOverlap="1" wp14:anchorId="3EFCA727">
              <wp:simplePos x="0" y="0"/>
              <wp:positionH relativeFrom="page">
                <wp:align>center</wp:align>
              </wp:positionH>
              <wp:positionV relativeFrom="page">
                <wp:align>bottom</wp:align>
              </wp:positionV>
              <wp:extent cx="1626235" cy="352425"/>
              <wp:effectExtent l="635" t="635" r="0" b="0"/>
              <wp:wrapNone/>
              <wp:docPr id="1" name="Text Box 2" descr="Information Classification *General"/>
              <a:graphic xmlns:a="http://schemas.openxmlformats.org/drawingml/2006/main">
                <a:graphicData uri="http://schemas.microsoft.com/office/word/2010/wordprocessingShape">
                  <wps:wsp>
                    <wps:cNvSpPr/>
                    <wps:spPr>
                      <a:xfrm>
                        <a:off x="0" y="0"/>
                        <a:ext cx="1626120" cy="352440"/>
                      </a:xfrm>
                      <a:prstGeom prst="rect">
                        <a:avLst/>
                      </a:prstGeom>
                      <a:noFill/>
                      <a:ln w="0">
                        <a:noFill/>
                      </a:ln>
                    </wps:spPr>
                    <wps:style>
                      <a:lnRef idx="0"/>
                      <a:fillRef idx="0"/>
                      <a:effectRef idx="0"/>
                      <a:fontRef idx="minor"/>
                    </wps:style>
                    <wps:txbx>
                      <w:txbxContent>
                        <w:p>
                          <w:pPr>
                            <w:pStyle w:val="FrameContents"/>
                            <w:spacing w:before="0" w:after="0"/>
                            <w:rPr>
                              <w:rFonts w:ascii="Calibri" w:hAnsi="Calibri" w:eastAsia="Calibri" w:cs="Calibri"/>
                              <w:color w:val="008000"/>
                              <w:sz w:val="18"/>
                              <w:szCs w:val="18"/>
                            </w:rPr>
                          </w:pPr>
                          <w:r>
                            <w:rPr>
                              <w:rFonts w:eastAsia="Calibri" w:cs="Calibri" w:ascii="Calibri" w:hAnsi="Calibri"/>
                              <w:color w:val="008000"/>
                              <w:sz w:val="18"/>
                              <w:szCs w:val="18"/>
                            </w:rPr>
                            <w:t>Information Classification *General</w:t>
                          </w:r>
                        </w:p>
                      </w:txbxContent>
                    </wps:txbx>
                    <wps:bodyPr lIns="0" tIns="0" rIns="0" bIns="190440" anchor="b">
                      <a:prstTxWarp prst="textNoShape"/>
                      <a:spAutoFit/>
                    </wps:bodyPr>
                  </wps:wsp>
                </a:graphicData>
              </a:graphic>
            </wp:anchor>
          </w:drawing>
        </mc:Choice>
        <mc:Fallback>
          <w:pict>
            <v:rect id="shape_0" stroked="f" o:allowincell="f" style="position:absolute;margin-left:0pt;margin-top:0pt;width:128pt;height:27.7pt;mso-wrap-style:none;v-text-anchor:bottom;mso-position-horizontal:center;mso-position-horizontal-relative:page;mso-position-vertical:bottom;mso-position-vertical-relative:page" wp14:anchorId="3EFCA727">
              <v:fill o:detectmouseclick="t" on="false"/>
              <v:stroke color="#3465a4" joinstyle="round" endcap="flat"/>
              <v:textbox>
                <w:txbxContent>
                  <w:p>
                    <w:pPr>
                      <w:pStyle w:val="FrameContents"/>
                      <w:spacing w:before="0" w:after="0"/>
                      <w:rPr>
                        <w:rFonts w:ascii="Calibri" w:hAnsi="Calibri" w:eastAsia="Calibri" w:cs="Calibri"/>
                        <w:color w:val="008000"/>
                        <w:sz w:val="18"/>
                        <w:szCs w:val="18"/>
                      </w:rPr>
                    </w:pPr>
                    <w:r>
                      <w:rPr>
                        <w:rFonts w:eastAsia="Calibri" w:cs="Calibri" w:ascii="Calibri" w:hAnsi="Calibri"/>
                        <w:color w:val="008000"/>
                        <w:sz w:val="18"/>
                        <w:szCs w:val="18"/>
                      </w:rPr>
                      <w:t>Information Classification *General</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12065" simplePos="0" relativeHeight="8" behindDoc="1" locked="0" layoutInCell="0" allowOverlap="1" wp14:anchorId="794771D7">
              <wp:simplePos x="0" y="0"/>
              <wp:positionH relativeFrom="page">
                <wp:align>center</wp:align>
              </wp:positionH>
              <wp:positionV relativeFrom="page">
                <wp:align>bottom</wp:align>
              </wp:positionV>
              <wp:extent cx="1892300" cy="344805"/>
              <wp:effectExtent l="0" t="635" r="0" b="0"/>
              <wp:wrapNone/>
              <wp:docPr id="2" name="Text Box 3" descr="Information Classification *General"/>
              <a:graphic xmlns:a="http://schemas.openxmlformats.org/drawingml/2006/main">
                <a:graphicData uri="http://schemas.microsoft.com/office/word/2010/wordprocessingShape">
                  <wps:wsp>
                    <wps:cNvSpPr/>
                    <wps:spPr>
                      <a:xfrm>
                        <a:off x="0" y="0"/>
                        <a:ext cx="1892160" cy="344880"/>
                      </a:xfrm>
                      <a:prstGeom prst="rect">
                        <a:avLst/>
                      </a:prstGeom>
                      <a:noFill/>
                      <a:ln w="0">
                        <a:noFill/>
                      </a:ln>
                    </wps:spPr>
                    <wps:style>
                      <a:lnRef idx="0"/>
                      <a:fillRef idx="0"/>
                      <a:effectRef idx="0"/>
                      <a:fontRef idx="minor"/>
                    </wps:style>
                    <wps:txbx>
                      <w:txbxContent>
                        <w:p>
                          <w:pPr>
                            <w:pStyle w:val="FrameContents"/>
                            <w:spacing w:before="0" w:after="0"/>
                            <w:rPr>
                              <w:rFonts w:ascii="Calibri" w:hAnsi="Calibri" w:eastAsia="Calibri" w:cs="Calibri"/>
                              <w:color w:val="008000"/>
                              <w:sz w:val="18"/>
                              <w:szCs w:val="18"/>
                            </w:rPr>
                          </w:pPr>
                          <w:r>
                            <w:rPr>
                              <w:rFonts w:eastAsia="Calibri" w:cs="Calibri" w:ascii="Calibri" w:hAnsi="Calibri"/>
                              <w:color w:val="008000"/>
                              <w:sz w:val="18"/>
                              <w:szCs w:val="18"/>
                            </w:rPr>
                            <w:t>Information Classification *General</w:t>
                          </w:r>
                        </w:p>
                      </w:txbxContent>
                    </wps:txbx>
                    <wps:bodyPr lIns="0" tIns="0" rIns="0" bIns="190440" anchor="b">
                      <a:prstTxWarp prst="textNoShape"/>
                      <a:spAutoFit/>
                    </wps:bodyPr>
                  </wps:wsp>
                </a:graphicData>
              </a:graphic>
            </wp:anchor>
          </w:drawing>
        </mc:Choice>
        <mc:Fallback>
          <w:pict>
            <v:rect id="shape_0" stroked="f" o:allowincell="f" style="position:absolute;margin-left:231.5pt;margin-top:764.8pt;width:148.95pt;height:27.1pt;mso-wrap-style:none;v-text-anchor:bottom;mso-position-horizontal:center;mso-position-horizontal-relative:page;mso-position-vertical:bottom;mso-position-vertical-relative:page" wp14:anchorId="794771D7">
              <v:fill o:detectmouseclick="t" on="false"/>
              <v:stroke color="#3465a4" joinstyle="round" endcap="flat"/>
              <v:textbox>
                <w:txbxContent>
                  <w:p>
                    <w:pPr>
                      <w:pStyle w:val="FrameContents"/>
                      <w:spacing w:before="0" w:after="0"/>
                      <w:rPr>
                        <w:rFonts w:ascii="Calibri" w:hAnsi="Calibri" w:eastAsia="Calibri" w:cs="Calibri"/>
                        <w:color w:val="008000"/>
                        <w:sz w:val="18"/>
                        <w:szCs w:val="18"/>
                      </w:rPr>
                    </w:pPr>
                    <w:r>
                      <w:rPr>
                        <w:rFonts w:eastAsia="Calibri" w:cs="Calibri" w:ascii="Calibri" w:hAnsi="Calibri"/>
                        <w:color w:val="008000"/>
                        <w:sz w:val="18"/>
                        <w:szCs w:val="18"/>
                      </w:rPr>
                      <w:t>Information Classification *General</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12065" simplePos="0" relativeHeight="8" behindDoc="1" locked="0" layoutInCell="0" allowOverlap="1" wp14:anchorId="794771D7">
              <wp:simplePos x="0" y="0"/>
              <wp:positionH relativeFrom="page">
                <wp:align>center</wp:align>
              </wp:positionH>
              <wp:positionV relativeFrom="page">
                <wp:align>bottom</wp:align>
              </wp:positionV>
              <wp:extent cx="1892300" cy="344805"/>
              <wp:effectExtent l="0" t="635" r="0" b="0"/>
              <wp:wrapNone/>
              <wp:docPr id="3" name="Text Box 3" descr="Information Classification *General"/>
              <a:graphic xmlns:a="http://schemas.openxmlformats.org/drawingml/2006/main">
                <a:graphicData uri="http://schemas.microsoft.com/office/word/2010/wordprocessingShape">
                  <wps:wsp>
                    <wps:cNvSpPr/>
                    <wps:spPr>
                      <a:xfrm>
                        <a:off x="0" y="0"/>
                        <a:ext cx="1892160" cy="344880"/>
                      </a:xfrm>
                      <a:prstGeom prst="rect">
                        <a:avLst/>
                      </a:prstGeom>
                      <a:noFill/>
                      <a:ln w="0">
                        <a:noFill/>
                      </a:ln>
                    </wps:spPr>
                    <wps:style>
                      <a:lnRef idx="0"/>
                      <a:fillRef idx="0"/>
                      <a:effectRef idx="0"/>
                      <a:fontRef idx="minor"/>
                    </wps:style>
                    <wps:txbx>
                      <w:txbxContent>
                        <w:p>
                          <w:pPr>
                            <w:pStyle w:val="FrameContents"/>
                            <w:spacing w:before="0" w:after="0"/>
                            <w:rPr>
                              <w:rFonts w:ascii="Calibri" w:hAnsi="Calibri" w:eastAsia="Calibri" w:cs="Calibri"/>
                              <w:color w:val="008000"/>
                              <w:sz w:val="18"/>
                              <w:szCs w:val="18"/>
                            </w:rPr>
                          </w:pPr>
                          <w:r>
                            <w:rPr>
                              <w:rFonts w:eastAsia="Calibri" w:cs="Calibri" w:ascii="Calibri" w:hAnsi="Calibri"/>
                              <w:color w:val="008000"/>
                              <w:sz w:val="18"/>
                              <w:szCs w:val="18"/>
                            </w:rPr>
                            <w:t>Information Classification *General</w:t>
                          </w:r>
                        </w:p>
                      </w:txbxContent>
                    </wps:txbx>
                    <wps:bodyPr lIns="0" tIns="0" rIns="0" bIns="190440" anchor="b">
                      <a:prstTxWarp prst="textNoShape"/>
                      <a:spAutoFit/>
                    </wps:bodyPr>
                  </wps:wsp>
                </a:graphicData>
              </a:graphic>
            </wp:anchor>
          </w:drawing>
        </mc:Choice>
        <mc:Fallback>
          <w:pict>
            <v:rect id="shape_0" stroked="f" o:allowincell="f" style="position:absolute;margin-left:231.5pt;margin-top:764.8pt;width:148.95pt;height:27.1pt;mso-wrap-style:none;v-text-anchor:bottom;mso-position-horizontal:center;mso-position-horizontal-relative:page;mso-position-vertical:bottom;mso-position-vertical-relative:page" wp14:anchorId="794771D7">
              <v:fill o:detectmouseclick="t" on="false"/>
              <v:stroke color="#3465a4" joinstyle="round" endcap="flat"/>
              <v:textbox>
                <w:txbxContent>
                  <w:p>
                    <w:pPr>
                      <w:pStyle w:val="FrameContents"/>
                      <w:spacing w:before="0" w:after="0"/>
                      <w:rPr>
                        <w:rFonts w:ascii="Calibri" w:hAnsi="Calibri" w:eastAsia="Calibri" w:cs="Calibri"/>
                        <w:color w:val="008000"/>
                        <w:sz w:val="18"/>
                        <w:szCs w:val="18"/>
                      </w:rPr>
                    </w:pPr>
                    <w:r>
                      <w:rPr>
                        <w:rFonts w:eastAsia="Calibri" w:cs="Calibri" w:ascii="Calibri" w:hAnsi="Calibri"/>
                        <w:color w:val="008000"/>
                        <w:sz w:val="18"/>
                        <w:szCs w:val="18"/>
                      </w:rPr>
                      <w:t>Information Classification *General</w:t>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7f54c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7f54c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7f54c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7f54c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7f54c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7f54c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f54c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f54c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f54c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f54c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7f54c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7f54c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7f54c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7f54c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7f54c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7f54c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7f54c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7f54c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7f54c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f54c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7f54c3"/>
    <w:rPr>
      <w:i/>
      <w:iCs/>
      <w:color w:themeColor="text1" w:themeTint="bf" w:val="404040"/>
    </w:rPr>
  </w:style>
  <w:style w:type="character" w:styleId="IntenseEmphasis">
    <w:name w:val="Intense Emphasis"/>
    <w:basedOn w:val="DefaultParagraphFont"/>
    <w:uiPriority w:val="21"/>
    <w:qFormat/>
    <w:rsid w:val="007f54c3"/>
    <w:rPr>
      <w:i/>
      <w:iCs/>
      <w:color w:themeColor="accent1" w:themeShade="bf" w:val="0F4761"/>
    </w:rPr>
  </w:style>
  <w:style w:type="character" w:styleId="IntenseQuoteChar" w:customStyle="1">
    <w:name w:val="Intense Quote Char"/>
    <w:basedOn w:val="DefaultParagraphFont"/>
    <w:link w:val="IntenseQuote"/>
    <w:uiPriority w:val="30"/>
    <w:qFormat/>
    <w:rsid w:val="007f54c3"/>
    <w:rPr>
      <w:i/>
      <w:iCs/>
      <w:color w:themeColor="accent1" w:themeShade="bf" w:val="0F4761"/>
    </w:rPr>
  </w:style>
  <w:style w:type="character" w:styleId="IntenseReference">
    <w:name w:val="Intense Reference"/>
    <w:basedOn w:val="DefaultParagraphFont"/>
    <w:uiPriority w:val="32"/>
    <w:qFormat/>
    <w:rsid w:val="007f54c3"/>
    <w:rPr>
      <w:b/>
      <w:bCs/>
      <w:smallCaps/>
      <w:color w:themeColor="accent1" w:themeShade="bf" w:val="0F4761"/>
      <w:spacing w:val="5"/>
    </w:rPr>
  </w:style>
  <w:style w:type="character" w:styleId="FooterChar" w:customStyle="1">
    <w:name w:val="Footer Char"/>
    <w:basedOn w:val="DefaultParagraphFont"/>
    <w:link w:val="Footer"/>
    <w:uiPriority w:val="99"/>
    <w:qFormat/>
    <w:rsid w:val="009547c2"/>
    <w:rPr/>
  </w:style>
  <w:style w:type="character" w:styleId="HeaderChar" w:customStyle="1">
    <w:name w:val="Header Char"/>
    <w:basedOn w:val="DefaultParagraphFont"/>
    <w:link w:val="Header"/>
    <w:uiPriority w:val="99"/>
    <w:semiHidden/>
    <w:qFormat/>
    <w:rsid w:val="00cc2a89"/>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f54c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f54c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f54c3"/>
    <w:pPr>
      <w:spacing w:before="160" w:after="160"/>
      <w:jc w:val="center"/>
    </w:pPr>
    <w:rPr>
      <w:i/>
      <w:iCs/>
      <w:color w:themeColor="text1" w:themeTint="bf" w:val="404040"/>
    </w:rPr>
  </w:style>
  <w:style w:type="paragraph" w:styleId="ListParagraph">
    <w:name w:val="List Paragraph"/>
    <w:basedOn w:val="Normal"/>
    <w:uiPriority w:val="34"/>
    <w:qFormat/>
    <w:rsid w:val="007f54c3"/>
    <w:pPr>
      <w:spacing w:before="0" w:after="160"/>
      <w:ind w:start="720"/>
      <w:contextualSpacing/>
    </w:pPr>
    <w:rPr/>
  </w:style>
  <w:style w:type="paragraph" w:styleId="IntenseQuote">
    <w:name w:val="Intense Quote"/>
    <w:basedOn w:val="Normal"/>
    <w:next w:val="Normal"/>
    <w:link w:val="IntenseQuoteChar"/>
    <w:uiPriority w:val="30"/>
    <w:qFormat/>
    <w:rsid w:val="007f54c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Footer">
    <w:name w:val="footer"/>
    <w:basedOn w:val="Normal"/>
    <w:link w:val="FooterChar"/>
    <w:uiPriority w:val="99"/>
    <w:unhideWhenUsed/>
    <w:rsid w:val="009547c2"/>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semiHidden/>
    <w:unhideWhenUsed/>
    <w:rsid w:val="00cc2a89"/>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499</TotalTime>
  <Application>LibreOffice/26.2.6.3$Linux_X86_64 LibreOffice_project/f58cec7047c8c23ebe1a1fb1be361bbdc44a7ca5</Application>
  <AppVersion>15.0000</AppVersion>
  <Pages>3</Pages>
  <Words>455</Words>
  <Characters>2216</Characters>
  <CharactersWithSpaces>2623</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2026-04-07T12:07:00Z</dcterms:created>
  <dc:creator>Sowmya Sharma</dc:creator>
  <dc:description/>
  <dc:language>en-IE</dc:language>
  <cp:lastModifiedBy/>
  <dcterms:modified xsi:type="dcterms:W3CDTF">2026-10-29T16:16:22Z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FontProps">
    <vt:lpwstr>#008000,9,Calibri</vt:lpwstr>
  </property>
  <property fmtid="{D5CDD505-2E9C-101B-9397-08002B2CF9AE}" pid="3" name="ClassificationContentMarkingFooterShapeIds">
    <vt:lpwstr>2213a2fd,3208f147,73a330ae</vt:lpwstr>
  </property>
  <property fmtid="{D5CDD505-2E9C-101B-9397-08002B2CF9AE}" pid="4" name="ClassificationContentMarkingFooterText">
    <vt:lpwstr>Information Classification *General</vt:lpwstr>
  </property>
  <property fmtid="{D5CDD505-2E9C-101B-9397-08002B2CF9AE}" pid="5" name="MSIP_Label_60b373ea-f9db-41ff-9716-6c6a4d740828_ActionId">
    <vt:lpwstr>f432be60-f318-409e-8bc8-df4cc1b34fab</vt:lpwstr>
  </property>
  <property fmtid="{D5CDD505-2E9C-101B-9397-08002B2CF9AE}" pid="6" name="MSIP_Label_60b373ea-f9db-41ff-9716-6c6a4d740828_ContentBits">
    <vt:lpwstr>2</vt:lpwstr>
  </property>
  <property fmtid="{D5CDD505-2E9C-101B-9397-08002B2CF9AE}" pid="7" name="MSIP_Label_60b373ea-f9db-41ff-9716-6c6a4d740828_Enabled">
    <vt:lpwstr>true</vt:lpwstr>
  </property>
  <property fmtid="{D5CDD505-2E9C-101B-9397-08002B2CF9AE}" pid="8" name="MSIP_Label_60b373ea-f9db-41ff-9716-6c6a4d740828_Method">
    <vt:lpwstr>Privileged</vt:lpwstr>
  </property>
  <property fmtid="{D5CDD505-2E9C-101B-9397-08002B2CF9AE}" pid="9" name="MSIP_Label_60b373ea-f9db-41ff-9716-6c6a4d740828_Name">
    <vt:lpwstr>public</vt:lpwstr>
  </property>
  <property fmtid="{D5CDD505-2E9C-101B-9397-08002B2CF9AE}" pid="10" name="MSIP_Label_60b373ea-f9db-41ff-9716-6c6a4d740828_SetDate">
    <vt:lpwstr>2024-11-04T20:02:10Z</vt:lpwstr>
  </property>
  <property fmtid="{D5CDD505-2E9C-101B-9397-08002B2CF9AE}" pid="11" name="MSIP_Label_60b373ea-f9db-41ff-9716-6c6a4d740828_SiteId">
    <vt:lpwstr>cbf6410b-fe4c-4b4c-8420-3f69a6ce199e</vt:lpwstr>
  </property>
  <property fmtid="{D5CDD505-2E9C-101B-9397-08002B2CF9AE}" pid="12" name="_AdHocReviewCycleID">
    <vt:i4>294036256</vt:i4>
  </property>
  <property fmtid="{D5CDD505-2E9C-101B-9397-08002B2CF9AE}" pid="13" name="_AuthorEmail">
    <vt:lpwstr>RucJain@crd.com</vt:lpwstr>
  </property>
  <property fmtid="{D5CDD505-2E9C-101B-9397-08002B2CF9AE}" pid="14" name="_AuthorEmailDisplayName">
    <vt:lpwstr>Ruchika Jain</vt:lpwstr>
  </property>
  <property fmtid="{D5CDD505-2E9C-101B-9397-08002B2CF9AE}" pid="15" name="_EmailSubject">
    <vt:lpwstr>[EXTERNAL]  Re: CRD/ State Street -QA Automation Team Lead role</vt:lpwstr>
  </property>
  <property fmtid="{D5CDD505-2E9C-101B-9397-08002B2CF9AE}" pid="16" name="_NewReviewCycle">
    <vt:lpwstr/>
  </property>
  <property fmtid="{D5CDD505-2E9C-101B-9397-08002B2CF9AE}" pid="17" name="_PreviousAdHocReviewCycleID">
    <vt:i4>2121091676</vt:i4>
  </property>
</Properties>
</file>