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555"/>
        <w:gridCol w:w="7795"/>
      </w:tblGrid>
      <w:tr w:rsidR="00966B7F" w14:paraId="56EE8239" w14:textId="77777777" w:rsidTr="00FC61E5">
        <w:tc>
          <w:tcPr>
            <w:tcW w:w="1555" w:type="dxa"/>
          </w:tcPr>
          <w:p w14:paraId="158A8026" w14:textId="7A05EB7C" w:rsidR="00966B7F" w:rsidRPr="00FC61E5" w:rsidRDefault="00966B7F">
            <w:pPr>
              <w:rPr>
                <w:b/>
                <w:bCs/>
              </w:rPr>
            </w:pPr>
            <w:r w:rsidRPr="00FC61E5">
              <w:rPr>
                <w:b/>
                <w:bCs/>
              </w:rPr>
              <w:t>Column label</w:t>
            </w:r>
          </w:p>
        </w:tc>
        <w:tc>
          <w:tcPr>
            <w:tcW w:w="7795" w:type="dxa"/>
          </w:tcPr>
          <w:p w14:paraId="7D62EB6C" w14:textId="53189500" w:rsidR="00966B7F" w:rsidRPr="00FC61E5" w:rsidRDefault="00966B7F">
            <w:pPr>
              <w:rPr>
                <w:b/>
                <w:bCs/>
              </w:rPr>
            </w:pPr>
            <w:r w:rsidRPr="00FC61E5">
              <w:rPr>
                <w:b/>
                <w:bCs/>
              </w:rPr>
              <w:t>meaning</w:t>
            </w:r>
          </w:p>
        </w:tc>
      </w:tr>
      <w:tr w:rsidR="00966B7F" w14:paraId="74D672BC" w14:textId="77777777" w:rsidTr="00FC61E5">
        <w:tc>
          <w:tcPr>
            <w:tcW w:w="1555" w:type="dxa"/>
          </w:tcPr>
          <w:p w14:paraId="1706A571" w14:textId="13845C46" w:rsidR="00966B7F" w:rsidRDefault="00966B7F">
            <w:r w:rsidRPr="00966B7F">
              <w:t>FULL_LABEL</w:t>
            </w:r>
          </w:p>
        </w:tc>
        <w:tc>
          <w:tcPr>
            <w:tcW w:w="7795" w:type="dxa"/>
          </w:tcPr>
          <w:p w14:paraId="7505A6A1" w14:textId="7DCE6117" w:rsidR="00966B7F" w:rsidRDefault="00966B7F">
            <w:r>
              <w:rPr>
                <w:rFonts w:ascii="Century Gothic" w:hAnsi="Century Gothic"/>
                <w:color w:val="444444"/>
                <w:sz w:val="20"/>
                <w:szCs w:val="20"/>
                <w:shd w:val="clear" w:color="auto" w:fill="F6F6F6"/>
              </w:rPr>
              <w:t xml:space="preserve">The full Vegetation Map label. It contains the polygon id, Opening number, species composition, projected age, projected height, site index and crown closure, and indicator of shrub, herb, </w:t>
            </w:r>
            <w:proofErr w:type="spellStart"/>
            <w:r>
              <w:rPr>
                <w:rFonts w:ascii="Century Gothic" w:hAnsi="Century Gothic"/>
                <w:color w:val="444444"/>
                <w:sz w:val="20"/>
                <w:szCs w:val="20"/>
                <w:shd w:val="clear" w:color="auto" w:fill="F6F6F6"/>
              </w:rPr>
              <w:t>bryoid</w:t>
            </w:r>
            <w:proofErr w:type="spellEnd"/>
            <w:r>
              <w:rPr>
                <w:rFonts w:ascii="Century Gothic" w:hAnsi="Century Gothic"/>
                <w:color w:val="444444"/>
                <w:sz w:val="20"/>
                <w:szCs w:val="20"/>
                <w:shd w:val="clear" w:color="auto" w:fill="F6F6F6"/>
              </w:rPr>
              <w:t>, or non vegetative components, and the historic disturbance and forest management activities. It is at most 8 lines. Back slashes represent carriage returns.</w:t>
            </w:r>
          </w:p>
        </w:tc>
      </w:tr>
      <w:tr w:rsidR="00966B7F" w14:paraId="4D1CE1C4" w14:textId="77777777" w:rsidTr="00FC61E5">
        <w:tc>
          <w:tcPr>
            <w:tcW w:w="1555" w:type="dxa"/>
          </w:tcPr>
          <w:p w14:paraId="61FC8710" w14:textId="648CD17F" w:rsidR="00966B7F" w:rsidRDefault="00966B7F">
            <w:r w:rsidRPr="00966B7F">
              <w:t>BASAL_AREA</w:t>
            </w:r>
          </w:p>
        </w:tc>
        <w:tc>
          <w:tcPr>
            <w:tcW w:w="7795" w:type="dxa"/>
          </w:tcPr>
          <w:p w14:paraId="2FD658E4" w14:textId="4DF4FDF2" w:rsidR="00966B7F" w:rsidRDefault="00966B7F">
            <w:r>
              <w:rPr>
                <w:rFonts w:ascii="Century Gothic" w:hAnsi="Century Gothic"/>
                <w:color w:val="444444"/>
                <w:sz w:val="20"/>
                <w:szCs w:val="20"/>
                <w:shd w:val="clear" w:color="auto" w:fill="F6F6F6"/>
              </w:rPr>
              <w:t>Confidence indices are a subjective value that reflect confidence of the photo interpreter in the estimation of basal area for each layer.</w:t>
            </w:r>
          </w:p>
        </w:tc>
      </w:tr>
      <w:tr w:rsidR="00966B7F" w14:paraId="22104A26" w14:textId="77777777" w:rsidTr="00FC61E5">
        <w:tc>
          <w:tcPr>
            <w:tcW w:w="1555" w:type="dxa"/>
          </w:tcPr>
          <w:p w14:paraId="680E0C38" w14:textId="53B3407A" w:rsidR="00966B7F" w:rsidRDefault="00966B7F">
            <w:r w:rsidRPr="00966B7F">
              <w:t>LBL_TEND</w:t>
            </w:r>
          </w:p>
        </w:tc>
        <w:tc>
          <w:tcPr>
            <w:tcW w:w="7795" w:type="dxa"/>
          </w:tcPr>
          <w:p w14:paraId="7DF7AF62" w14:textId="4FA4B66F" w:rsidR="00966B7F" w:rsidRDefault="00966B7F">
            <w:r>
              <w:rPr>
                <w:rFonts w:ascii="Century Gothic" w:hAnsi="Century Gothic"/>
                <w:color w:val="444444"/>
                <w:sz w:val="20"/>
                <w:szCs w:val="20"/>
                <w:shd w:val="clear" w:color="auto" w:fill="F6F6F6"/>
              </w:rPr>
              <w:t>The disturbance history described as a list of abbreviations for the techniques along with the years each technique was employed. Possible values are B (wildfire), BE (escaped burn), BG (ground burn), BR (range burn), BW (wildlife burn), D (disease), F (flooding), I (insect), K (fume kill), L (logging), L% (logged with percentage), R (site rehabilitation), S (slide), and W (wind throw).</w:t>
            </w:r>
          </w:p>
        </w:tc>
      </w:tr>
      <w:tr w:rsidR="00966B7F" w14:paraId="1DF69763" w14:textId="77777777" w:rsidTr="00FC61E5">
        <w:tc>
          <w:tcPr>
            <w:tcW w:w="1555" w:type="dxa"/>
          </w:tcPr>
          <w:p w14:paraId="65F95DE8" w14:textId="08E1C381" w:rsidR="00966B7F" w:rsidRDefault="00966B7F">
            <w:r w:rsidRPr="00966B7F">
              <w:t>Q_DIAM_125</w:t>
            </w:r>
          </w:p>
        </w:tc>
        <w:tc>
          <w:tcPr>
            <w:tcW w:w="7795" w:type="dxa"/>
          </w:tcPr>
          <w:p w14:paraId="2A947FC6" w14:textId="70630F18" w:rsidR="00966B7F" w:rsidRDefault="00966B7F">
            <w:r>
              <w:rPr>
                <w:rFonts w:ascii="Century Gothic" w:hAnsi="Century Gothic"/>
                <w:color w:val="444444"/>
                <w:sz w:val="20"/>
                <w:szCs w:val="20"/>
                <w:shd w:val="clear" w:color="auto" w:fill="F6F6F6"/>
              </w:rPr>
              <w:t xml:space="preserve">The quadratic mean stand diameter (breast </w:t>
            </w:r>
            <w:bookmarkStart w:id="0" w:name="_GoBack"/>
            <w:r>
              <w:rPr>
                <w:rFonts w:ascii="Century Gothic" w:hAnsi="Century Gothic"/>
                <w:color w:val="444444"/>
                <w:sz w:val="20"/>
                <w:szCs w:val="20"/>
                <w:shd w:val="clear" w:color="auto" w:fill="F6F6F6"/>
              </w:rPr>
              <w:t>height</w:t>
            </w:r>
            <w:bookmarkEnd w:id="0"/>
            <w:r>
              <w:rPr>
                <w:rFonts w:ascii="Century Gothic" w:hAnsi="Century Gothic"/>
                <w:color w:val="444444"/>
                <w:sz w:val="20"/>
                <w:szCs w:val="20"/>
                <w:shd w:val="clear" w:color="auto" w:fill="F6F6F6"/>
              </w:rPr>
              <w:t>), at the projection date, based on the 22.5 cm utilization level. Calculated for Rank 1 stands only, type id (TYPID) 1 through 3.</w:t>
            </w:r>
          </w:p>
        </w:tc>
      </w:tr>
      <w:tr w:rsidR="00966B7F" w14:paraId="790EC067" w14:textId="77777777" w:rsidTr="00FC61E5">
        <w:tc>
          <w:tcPr>
            <w:tcW w:w="1555" w:type="dxa"/>
          </w:tcPr>
          <w:p w14:paraId="181A7D3F" w14:textId="4C7A2B53" w:rsidR="00966B7F" w:rsidRDefault="00966B7F">
            <w:r w:rsidRPr="00966B7F">
              <w:t>Q_DIAM_175</w:t>
            </w:r>
          </w:p>
        </w:tc>
        <w:tc>
          <w:tcPr>
            <w:tcW w:w="7795" w:type="dxa"/>
          </w:tcPr>
          <w:p w14:paraId="4B4389EA" w14:textId="58B3F128" w:rsidR="00966B7F" w:rsidRPr="00966B7F" w:rsidRDefault="00966B7F" w:rsidP="00966B7F">
            <w:pPr>
              <w:spacing w:after="300" w:line="300" w:lineRule="atLeast"/>
              <w:rPr>
                <w:rFonts w:ascii="Century Gothic" w:hAnsi="Century Gothic"/>
                <w:color w:val="444444"/>
                <w:sz w:val="20"/>
                <w:szCs w:val="20"/>
              </w:rPr>
            </w:pPr>
            <w:r>
              <w:rPr>
                <w:rFonts w:ascii="Century Gothic" w:hAnsi="Century Gothic"/>
                <w:color w:val="444444"/>
                <w:sz w:val="20"/>
                <w:szCs w:val="20"/>
              </w:rPr>
              <w:t>The quadratic mean stand diameter (breast height), at the projection date, based on the 17.5 cm utilization level. Calculated for Rank 1 stands only, Type id (TYPID) for 1 through 3.</w:t>
            </w:r>
          </w:p>
        </w:tc>
      </w:tr>
      <w:tr w:rsidR="00966B7F" w14:paraId="21974F86" w14:textId="77777777" w:rsidTr="00FC61E5">
        <w:tc>
          <w:tcPr>
            <w:tcW w:w="1555" w:type="dxa"/>
          </w:tcPr>
          <w:p w14:paraId="45F82CEC" w14:textId="2C8C0DF5" w:rsidR="00966B7F" w:rsidRDefault="00966B7F">
            <w:r w:rsidRPr="00966B7F">
              <w:t>Q_DIAM_225</w:t>
            </w:r>
          </w:p>
        </w:tc>
        <w:tc>
          <w:tcPr>
            <w:tcW w:w="7795" w:type="dxa"/>
          </w:tcPr>
          <w:p w14:paraId="5CE03D2A" w14:textId="17527152" w:rsidR="00966B7F" w:rsidRPr="00966B7F" w:rsidRDefault="00966B7F" w:rsidP="00966B7F">
            <w:pPr>
              <w:spacing w:after="300" w:line="300" w:lineRule="atLeast"/>
              <w:rPr>
                <w:rFonts w:ascii="Century Gothic" w:hAnsi="Century Gothic"/>
                <w:color w:val="444444"/>
                <w:sz w:val="20"/>
                <w:szCs w:val="20"/>
              </w:rPr>
            </w:pPr>
            <w:r>
              <w:rPr>
                <w:rFonts w:ascii="Century Gothic" w:hAnsi="Century Gothic"/>
                <w:color w:val="444444"/>
                <w:sz w:val="20"/>
                <w:szCs w:val="20"/>
              </w:rPr>
              <w:t>The quadratic mean stand diameter (breast height), at the projection date, based on the 22.5 cm utilization level.</w:t>
            </w:r>
            <w:r w:rsidR="007005CB">
              <w:rPr>
                <w:rFonts w:ascii="Century Gothic" w:hAnsi="Century Gothic"/>
                <w:color w:val="444444"/>
                <w:sz w:val="20"/>
                <w:szCs w:val="20"/>
              </w:rPr>
              <w:t xml:space="preserve"> </w:t>
            </w:r>
            <w:proofErr w:type="gramStart"/>
            <w:r>
              <w:rPr>
                <w:rFonts w:ascii="Century Gothic" w:hAnsi="Century Gothic"/>
                <w:color w:val="444444"/>
                <w:sz w:val="20"/>
                <w:szCs w:val="20"/>
              </w:rPr>
              <w:t>Calculated</w:t>
            </w:r>
            <w:proofErr w:type="gramEnd"/>
            <w:r>
              <w:rPr>
                <w:rFonts w:ascii="Century Gothic" w:hAnsi="Century Gothic"/>
                <w:color w:val="444444"/>
                <w:sz w:val="20"/>
                <w:szCs w:val="20"/>
              </w:rPr>
              <w:t xml:space="preserve"> for Rank 1 stands only, type id (TYPID) 1 through 3.</w:t>
            </w:r>
          </w:p>
        </w:tc>
      </w:tr>
      <w:tr w:rsidR="00966B7F" w14:paraId="7C6A3DF0" w14:textId="77777777" w:rsidTr="00FC61E5">
        <w:tc>
          <w:tcPr>
            <w:tcW w:w="1555" w:type="dxa"/>
          </w:tcPr>
          <w:p w14:paraId="44D2844C" w14:textId="14A7E4B5" w:rsidR="00966B7F" w:rsidRDefault="00966B7F">
            <w:r w:rsidRPr="00966B7F">
              <w:t>PROJ_AGE_1</w:t>
            </w:r>
          </w:p>
        </w:tc>
        <w:tc>
          <w:tcPr>
            <w:tcW w:w="7795" w:type="dxa"/>
          </w:tcPr>
          <w:p w14:paraId="5B2A2F6D" w14:textId="26295A35" w:rsidR="00966B7F" w:rsidRDefault="00966B7F">
            <w:r>
              <w:rPr>
                <w:rFonts w:ascii="Century Gothic" w:hAnsi="Century Gothic"/>
                <w:color w:val="444444"/>
                <w:sz w:val="20"/>
                <w:szCs w:val="20"/>
                <w:shd w:val="clear" w:color="auto" w:fill="F6F6F6"/>
              </w:rPr>
              <w:t>The age projected to the adjustment area ground sample date, for Species 1.</w:t>
            </w:r>
          </w:p>
        </w:tc>
      </w:tr>
      <w:tr w:rsidR="00966B7F" w14:paraId="049AFB5E" w14:textId="77777777" w:rsidTr="00FC61E5">
        <w:tc>
          <w:tcPr>
            <w:tcW w:w="1555" w:type="dxa"/>
          </w:tcPr>
          <w:p w14:paraId="12D71C1F" w14:textId="1B76C652" w:rsidR="00966B7F" w:rsidRDefault="00966B7F">
            <w:r w:rsidRPr="00966B7F">
              <w:t>PROJ_HT_1</w:t>
            </w:r>
          </w:p>
        </w:tc>
        <w:tc>
          <w:tcPr>
            <w:tcW w:w="7795" w:type="dxa"/>
          </w:tcPr>
          <w:p w14:paraId="615E9585" w14:textId="7D577990" w:rsidR="00966B7F" w:rsidRDefault="00966B7F">
            <w:r>
              <w:rPr>
                <w:rFonts w:ascii="Century Gothic" w:hAnsi="Century Gothic"/>
                <w:color w:val="444444"/>
                <w:sz w:val="20"/>
                <w:szCs w:val="20"/>
                <w:shd w:val="clear" w:color="auto" w:fill="F6F6F6"/>
              </w:rPr>
              <w:t>The height projected to the adjustment area ground sample date, for Species 1.</w:t>
            </w:r>
          </w:p>
        </w:tc>
      </w:tr>
      <w:tr w:rsidR="00966B7F" w14:paraId="20C32AA8" w14:textId="77777777" w:rsidTr="00FC61E5">
        <w:tc>
          <w:tcPr>
            <w:tcW w:w="1555" w:type="dxa"/>
          </w:tcPr>
          <w:p w14:paraId="48A9F5C7" w14:textId="3F29BDDA" w:rsidR="00966B7F" w:rsidRDefault="00966B7F">
            <w:r w:rsidRPr="00966B7F">
              <w:t>LVLSP1_125</w:t>
            </w:r>
          </w:p>
        </w:tc>
        <w:tc>
          <w:tcPr>
            <w:tcW w:w="7795" w:type="dxa"/>
          </w:tcPr>
          <w:p w14:paraId="3B46A8B6" w14:textId="4D4A49A1" w:rsidR="00966B7F" w:rsidRPr="00966B7F" w:rsidRDefault="00966B7F" w:rsidP="00966B7F">
            <w:pPr>
              <w:spacing w:after="300" w:line="300" w:lineRule="atLeast"/>
              <w:rPr>
                <w:rFonts w:ascii="Century Gothic" w:hAnsi="Century Gothic"/>
                <w:color w:val="444444"/>
                <w:sz w:val="20"/>
                <w:szCs w:val="20"/>
              </w:rPr>
            </w:pPr>
            <w:r>
              <w:rPr>
                <w:rFonts w:ascii="Century Gothic" w:hAnsi="Century Gothic"/>
                <w:color w:val="444444"/>
                <w:sz w:val="20"/>
                <w:szCs w:val="20"/>
              </w:rPr>
              <w:t>Net live volume per hectare of the leading species determined by percent basal area of the tree layer at the 12.5 cm utilization level.</w:t>
            </w:r>
          </w:p>
        </w:tc>
      </w:tr>
      <w:tr w:rsidR="00966B7F" w14:paraId="52DEB2C2" w14:textId="77777777" w:rsidTr="00FC61E5">
        <w:tc>
          <w:tcPr>
            <w:tcW w:w="1555" w:type="dxa"/>
          </w:tcPr>
          <w:p w14:paraId="7A482F04" w14:textId="56A200CA" w:rsidR="00966B7F" w:rsidRDefault="00966B7F">
            <w:r w:rsidRPr="00966B7F">
              <w:t>LVLSP1_175</w:t>
            </w:r>
          </w:p>
        </w:tc>
        <w:tc>
          <w:tcPr>
            <w:tcW w:w="7795" w:type="dxa"/>
          </w:tcPr>
          <w:p w14:paraId="3E40B14D" w14:textId="22A84E12" w:rsidR="00966B7F" w:rsidRPr="00966B7F" w:rsidRDefault="00966B7F" w:rsidP="00966B7F">
            <w:pPr>
              <w:spacing w:after="300" w:line="300" w:lineRule="atLeast"/>
              <w:rPr>
                <w:rFonts w:ascii="Century Gothic" w:hAnsi="Century Gothic"/>
                <w:color w:val="444444"/>
                <w:sz w:val="20"/>
                <w:szCs w:val="20"/>
              </w:rPr>
            </w:pPr>
            <w:r>
              <w:rPr>
                <w:rFonts w:ascii="Century Gothic" w:hAnsi="Century Gothic"/>
                <w:color w:val="444444"/>
                <w:sz w:val="20"/>
                <w:szCs w:val="20"/>
              </w:rPr>
              <w:br/>
              <w:t>Net live volume per hectare of the leading species determined by percent basal area of the tree layer at the 17.5 cm utilization level.</w:t>
            </w:r>
          </w:p>
        </w:tc>
      </w:tr>
      <w:tr w:rsidR="00966B7F" w14:paraId="3FD954EF" w14:textId="77777777" w:rsidTr="00FC61E5">
        <w:tc>
          <w:tcPr>
            <w:tcW w:w="1555" w:type="dxa"/>
          </w:tcPr>
          <w:p w14:paraId="447CA9DF" w14:textId="614391CE" w:rsidR="00966B7F" w:rsidRDefault="00966B7F">
            <w:r w:rsidRPr="00966B7F">
              <w:t>LVLSP1_225</w:t>
            </w:r>
          </w:p>
        </w:tc>
        <w:tc>
          <w:tcPr>
            <w:tcW w:w="7795" w:type="dxa"/>
          </w:tcPr>
          <w:p w14:paraId="7D8DB157" w14:textId="1070772D" w:rsidR="00966B7F" w:rsidRPr="00966B7F" w:rsidRDefault="00966B7F" w:rsidP="00966B7F">
            <w:pPr>
              <w:spacing w:after="300" w:line="300" w:lineRule="atLeast"/>
              <w:rPr>
                <w:rFonts w:ascii="Century Gothic" w:hAnsi="Century Gothic"/>
                <w:color w:val="444444"/>
                <w:sz w:val="20"/>
                <w:szCs w:val="20"/>
              </w:rPr>
            </w:pPr>
            <w:r>
              <w:rPr>
                <w:rFonts w:ascii="Century Gothic" w:hAnsi="Century Gothic"/>
                <w:color w:val="444444"/>
                <w:sz w:val="20"/>
                <w:szCs w:val="20"/>
              </w:rPr>
              <w:t>Net live volume per hectare of the leading species determined by percent basal area of the tree layer at the 22.5 cm utilization level.</w:t>
            </w:r>
          </w:p>
        </w:tc>
      </w:tr>
      <w:tr w:rsidR="00966B7F" w14:paraId="2BF3A45B" w14:textId="77777777" w:rsidTr="00FC61E5">
        <w:tc>
          <w:tcPr>
            <w:tcW w:w="1555" w:type="dxa"/>
          </w:tcPr>
          <w:p w14:paraId="0F9C3842" w14:textId="119A1ED1" w:rsidR="00966B7F" w:rsidRDefault="00966B7F">
            <w:r w:rsidRPr="00966B7F">
              <w:t>LVLSP2_125</w:t>
            </w:r>
          </w:p>
        </w:tc>
        <w:tc>
          <w:tcPr>
            <w:tcW w:w="7795" w:type="dxa"/>
          </w:tcPr>
          <w:p w14:paraId="7726F0DF" w14:textId="738A4245" w:rsidR="00966B7F" w:rsidRPr="00966B7F" w:rsidRDefault="00966B7F" w:rsidP="00966B7F">
            <w:pPr>
              <w:spacing w:after="300" w:line="300" w:lineRule="atLeast"/>
              <w:rPr>
                <w:rFonts w:ascii="Century Gothic" w:hAnsi="Century Gothic"/>
                <w:color w:val="444444"/>
                <w:sz w:val="20"/>
                <w:szCs w:val="20"/>
              </w:rPr>
            </w:pPr>
            <w:r>
              <w:rPr>
                <w:rFonts w:ascii="Century Gothic" w:hAnsi="Century Gothic"/>
                <w:color w:val="444444"/>
                <w:sz w:val="20"/>
                <w:szCs w:val="20"/>
              </w:rPr>
              <w:t>Net live volume per hectare of the second species determined by percent basal area of the tree layer at the 12.5 cm utilization level.</w:t>
            </w:r>
          </w:p>
        </w:tc>
      </w:tr>
      <w:tr w:rsidR="00966B7F" w14:paraId="062BDE4E" w14:textId="77777777" w:rsidTr="00FC61E5">
        <w:tc>
          <w:tcPr>
            <w:tcW w:w="1555" w:type="dxa"/>
          </w:tcPr>
          <w:p w14:paraId="3CF50EF3" w14:textId="71B6FAC1" w:rsidR="00966B7F" w:rsidRDefault="00966B7F">
            <w:r w:rsidRPr="00966B7F">
              <w:t>LVLSP</w:t>
            </w:r>
            <w:r>
              <w:t>2</w:t>
            </w:r>
            <w:r w:rsidRPr="00966B7F">
              <w:t>_175</w:t>
            </w:r>
          </w:p>
        </w:tc>
        <w:tc>
          <w:tcPr>
            <w:tcW w:w="7795" w:type="dxa"/>
          </w:tcPr>
          <w:p w14:paraId="204B5C97" w14:textId="08D3820A" w:rsidR="00966B7F" w:rsidRDefault="00966B7F">
            <w:r>
              <w:rPr>
                <w:rFonts w:ascii="Century Gothic" w:hAnsi="Century Gothic"/>
                <w:color w:val="444444"/>
                <w:sz w:val="20"/>
                <w:szCs w:val="20"/>
                <w:shd w:val="clear" w:color="auto" w:fill="F6F6F6"/>
              </w:rPr>
              <w:t>Net live volume per hectare of the second species determined by percent basal area of the tree layer at the 17.5 cm utilization level.</w:t>
            </w:r>
          </w:p>
        </w:tc>
      </w:tr>
      <w:tr w:rsidR="00966B7F" w14:paraId="4C96B65E" w14:textId="77777777" w:rsidTr="00FC61E5">
        <w:tc>
          <w:tcPr>
            <w:tcW w:w="1555" w:type="dxa"/>
          </w:tcPr>
          <w:p w14:paraId="5BFC1AD2" w14:textId="0C0678E5" w:rsidR="00966B7F" w:rsidRDefault="00966B7F">
            <w:r w:rsidRPr="00966B7F">
              <w:t>LVLSP2_225</w:t>
            </w:r>
          </w:p>
        </w:tc>
        <w:tc>
          <w:tcPr>
            <w:tcW w:w="7795" w:type="dxa"/>
          </w:tcPr>
          <w:p w14:paraId="719DC4E0" w14:textId="76AF1E0D" w:rsidR="00966B7F" w:rsidRPr="00966B7F" w:rsidRDefault="00966B7F" w:rsidP="00966B7F">
            <w:pPr>
              <w:spacing w:after="300" w:line="300" w:lineRule="atLeast"/>
              <w:rPr>
                <w:rFonts w:ascii="Century Gothic" w:hAnsi="Century Gothic"/>
                <w:color w:val="444444"/>
                <w:sz w:val="20"/>
                <w:szCs w:val="20"/>
              </w:rPr>
            </w:pPr>
            <w:r>
              <w:rPr>
                <w:rFonts w:ascii="Century Gothic" w:hAnsi="Century Gothic"/>
                <w:color w:val="444444"/>
                <w:sz w:val="20"/>
                <w:szCs w:val="20"/>
              </w:rPr>
              <w:t>Net live volume per hectare of the second species determined by percent basal area of the tree layer at the 22.5 cm utilization level.</w:t>
            </w:r>
          </w:p>
        </w:tc>
      </w:tr>
      <w:tr w:rsidR="00966B7F" w14:paraId="4AF31E54" w14:textId="77777777" w:rsidTr="00FC61E5">
        <w:tc>
          <w:tcPr>
            <w:tcW w:w="1555" w:type="dxa"/>
          </w:tcPr>
          <w:p w14:paraId="4CDF0AB1" w14:textId="339928EA" w:rsidR="00966B7F" w:rsidRDefault="00966B7F">
            <w:r w:rsidRPr="00966B7F">
              <w:t>N_LOG_DATE</w:t>
            </w:r>
          </w:p>
        </w:tc>
        <w:tc>
          <w:tcPr>
            <w:tcW w:w="7795" w:type="dxa"/>
          </w:tcPr>
          <w:p w14:paraId="23A9FA46" w14:textId="5F85A360" w:rsidR="00966B7F" w:rsidRDefault="00966B7F">
            <w:r>
              <w:rPr>
                <w:rFonts w:ascii="Century Gothic" w:hAnsi="Century Gothic"/>
                <w:color w:val="444444"/>
                <w:sz w:val="20"/>
                <w:szCs w:val="20"/>
                <w:shd w:val="clear" w:color="auto" w:fill="F6F6F6"/>
              </w:rPr>
              <w:t>Represents the polygons earliest non-logging disturbance date.</w:t>
            </w:r>
          </w:p>
        </w:tc>
      </w:tr>
      <w:tr w:rsidR="00966B7F" w14:paraId="2384346C" w14:textId="77777777" w:rsidTr="00FC61E5">
        <w:tc>
          <w:tcPr>
            <w:tcW w:w="1555" w:type="dxa"/>
          </w:tcPr>
          <w:p w14:paraId="6BDF609E" w14:textId="63E85F1D" w:rsidR="00966B7F" w:rsidRDefault="00966B7F">
            <w:r w:rsidRPr="00966B7F">
              <w:lastRenderedPageBreak/>
              <w:t>REF_YR_ID</w:t>
            </w:r>
          </w:p>
        </w:tc>
        <w:tc>
          <w:tcPr>
            <w:tcW w:w="7795" w:type="dxa"/>
          </w:tcPr>
          <w:p w14:paraId="738A8103" w14:textId="1CE5CFB0" w:rsidR="00966B7F" w:rsidRPr="00966B7F" w:rsidRDefault="00966B7F" w:rsidP="00966B7F">
            <w:pPr>
              <w:spacing w:after="300" w:line="300" w:lineRule="atLeast"/>
              <w:rPr>
                <w:rFonts w:ascii="Century Gothic" w:hAnsi="Century Gothic"/>
                <w:color w:val="444444"/>
                <w:sz w:val="20"/>
                <w:szCs w:val="20"/>
              </w:rPr>
            </w:pPr>
            <w:r>
              <w:rPr>
                <w:rFonts w:ascii="Century Gothic" w:hAnsi="Century Gothic"/>
                <w:color w:val="444444"/>
                <w:sz w:val="20"/>
                <w:szCs w:val="20"/>
              </w:rPr>
              <w:t>The year of the source data on which the interpretation is based. Known as the "Reference Year" in the VIF file.</w:t>
            </w:r>
          </w:p>
        </w:tc>
      </w:tr>
      <w:tr w:rsidR="00966B7F" w14:paraId="3BB04387" w14:textId="77777777" w:rsidTr="00FC61E5">
        <w:tc>
          <w:tcPr>
            <w:tcW w:w="1555" w:type="dxa"/>
          </w:tcPr>
          <w:p w14:paraId="21DBCF1B" w14:textId="7EE8EC80" w:rsidR="00966B7F" w:rsidRDefault="00966B7F">
            <w:r w:rsidRPr="00966B7F">
              <w:t>ATRIB_DATE</w:t>
            </w:r>
          </w:p>
        </w:tc>
        <w:tc>
          <w:tcPr>
            <w:tcW w:w="7795" w:type="dxa"/>
          </w:tcPr>
          <w:p w14:paraId="08A4F74F" w14:textId="23344852" w:rsidR="00966B7F" w:rsidRPr="00966B7F" w:rsidRDefault="00966B7F" w:rsidP="00966B7F">
            <w:pPr>
              <w:spacing w:after="300" w:line="300" w:lineRule="atLeast"/>
              <w:rPr>
                <w:rFonts w:ascii="Century Gothic" w:hAnsi="Century Gothic"/>
                <w:color w:val="444444"/>
                <w:sz w:val="20"/>
                <w:szCs w:val="20"/>
              </w:rPr>
            </w:pPr>
            <w:r>
              <w:rPr>
                <w:rFonts w:ascii="Century Gothic" w:hAnsi="Century Gothic"/>
                <w:color w:val="444444"/>
                <w:sz w:val="20"/>
                <w:szCs w:val="20"/>
              </w:rPr>
              <w:t xml:space="preserve">The date that the information about this polygon </w:t>
            </w:r>
            <w:proofErr w:type="gramStart"/>
            <w:r>
              <w:rPr>
                <w:rFonts w:ascii="Century Gothic" w:hAnsi="Century Gothic"/>
                <w:color w:val="444444"/>
                <w:sz w:val="20"/>
                <w:szCs w:val="20"/>
              </w:rPr>
              <w:t>is considered to be</w:t>
            </w:r>
            <w:proofErr w:type="gramEnd"/>
            <w:r>
              <w:rPr>
                <w:rFonts w:ascii="Century Gothic" w:hAnsi="Century Gothic"/>
                <w:color w:val="444444"/>
                <w:sz w:val="20"/>
                <w:szCs w:val="20"/>
              </w:rPr>
              <w:t xml:space="preserve"> based on. This is not currently populated in the LRDW.</w:t>
            </w:r>
          </w:p>
        </w:tc>
      </w:tr>
      <w:tr w:rsidR="00966B7F" w14:paraId="0E31D919" w14:textId="77777777" w:rsidTr="00FC61E5">
        <w:tc>
          <w:tcPr>
            <w:tcW w:w="1555" w:type="dxa"/>
          </w:tcPr>
          <w:p w14:paraId="741B63DD" w14:textId="345C4765" w:rsidR="00966B7F" w:rsidRDefault="00966B7F">
            <w:r w:rsidRPr="00966B7F">
              <w:t>PROJ_DATE</w:t>
            </w:r>
          </w:p>
        </w:tc>
        <w:tc>
          <w:tcPr>
            <w:tcW w:w="7795" w:type="dxa"/>
          </w:tcPr>
          <w:p w14:paraId="59D2FC9C" w14:textId="71D17799" w:rsidR="00966B7F" w:rsidRPr="00FC61E5" w:rsidRDefault="00FC61E5" w:rsidP="00FC61E5">
            <w:pPr>
              <w:spacing w:after="300" w:line="300" w:lineRule="atLeast"/>
              <w:rPr>
                <w:rFonts w:ascii="Century Gothic" w:hAnsi="Century Gothic"/>
                <w:color w:val="444444"/>
                <w:sz w:val="20"/>
                <w:szCs w:val="20"/>
              </w:rPr>
            </w:pPr>
            <w:r>
              <w:rPr>
                <w:rFonts w:ascii="Century Gothic" w:hAnsi="Century Gothic"/>
                <w:color w:val="444444"/>
                <w:sz w:val="20"/>
                <w:szCs w:val="20"/>
              </w:rPr>
              <w:t>The date to which time dependent stand information is projected. Attributes that are projected to a future date include: - Age, - Age Class, - Height, - Height Class, - Type Identity, - Stocking Class, etc.</w:t>
            </w:r>
          </w:p>
        </w:tc>
      </w:tr>
      <w:tr w:rsidR="00966B7F" w14:paraId="74232671" w14:textId="77777777" w:rsidTr="00FC61E5">
        <w:tc>
          <w:tcPr>
            <w:tcW w:w="1555" w:type="dxa"/>
          </w:tcPr>
          <w:p w14:paraId="29624131" w14:textId="4CA2A5A0" w:rsidR="00966B7F" w:rsidRDefault="00966B7F">
            <w:r w:rsidRPr="00966B7F">
              <w:t>N_LOG_DIST</w:t>
            </w:r>
          </w:p>
        </w:tc>
        <w:tc>
          <w:tcPr>
            <w:tcW w:w="7795" w:type="dxa"/>
          </w:tcPr>
          <w:p w14:paraId="396BB59D" w14:textId="74F65ABB" w:rsidR="00966B7F" w:rsidRPr="00966B7F" w:rsidRDefault="00966B7F" w:rsidP="00966B7F">
            <w:pPr>
              <w:spacing w:after="300" w:line="300" w:lineRule="atLeast"/>
              <w:rPr>
                <w:rFonts w:ascii="Century Gothic" w:hAnsi="Century Gothic"/>
                <w:color w:val="444444"/>
                <w:sz w:val="20"/>
                <w:szCs w:val="20"/>
              </w:rPr>
            </w:pPr>
            <w:r>
              <w:rPr>
                <w:rFonts w:ascii="Century Gothic" w:hAnsi="Century Gothic"/>
                <w:color w:val="444444"/>
                <w:sz w:val="20"/>
                <w:szCs w:val="20"/>
              </w:rPr>
              <w:t>Represents the polygons earliest non-logging disturbance date.</w:t>
            </w:r>
          </w:p>
        </w:tc>
      </w:tr>
      <w:tr w:rsidR="00966B7F" w14:paraId="4225E137" w14:textId="77777777" w:rsidTr="00FC61E5">
        <w:tc>
          <w:tcPr>
            <w:tcW w:w="1555" w:type="dxa"/>
          </w:tcPr>
          <w:p w14:paraId="0386B829" w14:textId="2C3B939C" w:rsidR="00966B7F" w:rsidRDefault="00966B7F">
            <w:r w:rsidRPr="00966B7F">
              <w:t>HRVSTDT</w:t>
            </w:r>
          </w:p>
        </w:tc>
        <w:tc>
          <w:tcPr>
            <w:tcW w:w="7795" w:type="dxa"/>
          </w:tcPr>
          <w:p w14:paraId="6253C127" w14:textId="044B3C3B" w:rsidR="00966B7F" w:rsidRDefault="00966B7F">
            <w:r>
              <w:rPr>
                <w:rFonts w:ascii="Century Gothic" w:hAnsi="Century Gothic"/>
                <w:color w:val="444444"/>
                <w:sz w:val="20"/>
                <w:szCs w:val="20"/>
                <w:shd w:val="clear" w:color="auto" w:fill="F6F6F6"/>
              </w:rPr>
              <w:t>The date in which the polygon was last harvested.</w:t>
            </w:r>
          </w:p>
        </w:tc>
      </w:tr>
      <w:tr w:rsidR="00966B7F" w14:paraId="02B9F7EA" w14:textId="77777777" w:rsidTr="00FC61E5">
        <w:tc>
          <w:tcPr>
            <w:tcW w:w="1555" w:type="dxa"/>
          </w:tcPr>
          <w:p w14:paraId="423DD1F9" w14:textId="63E74BA7" w:rsidR="00966B7F" w:rsidRDefault="00966B7F">
            <w:r w:rsidRPr="00966B7F">
              <w:t>SPEC_CD_1</w:t>
            </w:r>
          </w:p>
        </w:tc>
        <w:tc>
          <w:tcPr>
            <w:tcW w:w="7795" w:type="dxa"/>
          </w:tcPr>
          <w:p w14:paraId="58AD12E0" w14:textId="667A878F" w:rsidR="00966B7F" w:rsidRDefault="00966B7F">
            <w:r>
              <w:rPr>
                <w:rFonts w:ascii="Century Gothic" w:hAnsi="Century Gothic"/>
                <w:color w:val="444444"/>
                <w:sz w:val="20"/>
                <w:szCs w:val="20"/>
                <w:shd w:val="clear" w:color="auto" w:fill="F6F6F6"/>
              </w:rPr>
              <w:t>The code indicating the type of tree species predominate or leading in the tree layer. A "leading" species is identified as being the highest percent basal area or, if a very young stand, the relative number of stems per hectare. Species are described in terms of Genus, Species and variety.</w:t>
            </w:r>
          </w:p>
        </w:tc>
      </w:tr>
      <w:tr w:rsidR="00966B7F" w14:paraId="52725BFA" w14:textId="77777777" w:rsidTr="00FC61E5">
        <w:tc>
          <w:tcPr>
            <w:tcW w:w="1555" w:type="dxa"/>
          </w:tcPr>
          <w:p w14:paraId="33688BFF" w14:textId="24855E9A" w:rsidR="00966B7F" w:rsidRDefault="00966B7F">
            <w:r w:rsidRPr="00966B7F">
              <w:t>SPEC_PCT_1</w:t>
            </w:r>
          </w:p>
        </w:tc>
        <w:tc>
          <w:tcPr>
            <w:tcW w:w="7795" w:type="dxa"/>
          </w:tcPr>
          <w:p w14:paraId="4CCF9420" w14:textId="513A7CFD" w:rsidR="00966B7F" w:rsidRDefault="00966B7F">
            <w:r>
              <w:rPr>
                <w:rFonts w:ascii="Century Gothic" w:hAnsi="Century Gothic"/>
                <w:color w:val="444444"/>
                <w:sz w:val="20"/>
                <w:szCs w:val="20"/>
                <w:shd w:val="clear" w:color="auto" w:fill="F6F6F6"/>
              </w:rPr>
              <w:t>Percentages of the layer that the leading species occupies. For older stands, tree species percentage is based on percent basal area or, if a very young stand, the relative number of stems per hectare. Tree species percentage is estimated to the nearest percent for all living trees above a specified diameter.</w:t>
            </w:r>
          </w:p>
        </w:tc>
      </w:tr>
      <w:tr w:rsidR="00966B7F" w14:paraId="043ADE6E" w14:textId="77777777" w:rsidTr="00FC61E5">
        <w:tc>
          <w:tcPr>
            <w:tcW w:w="1555" w:type="dxa"/>
          </w:tcPr>
          <w:p w14:paraId="083F632F" w14:textId="0525C2D9" w:rsidR="00966B7F" w:rsidRDefault="00966B7F">
            <w:r w:rsidRPr="00966B7F">
              <w:t>SPEC_CD_2</w:t>
            </w:r>
          </w:p>
        </w:tc>
        <w:tc>
          <w:tcPr>
            <w:tcW w:w="7795" w:type="dxa"/>
          </w:tcPr>
          <w:p w14:paraId="02CCC1FE" w14:textId="469C3E8F" w:rsidR="00966B7F" w:rsidRDefault="005C24E7">
            <w:r>
              <w:t>For the “</w:t>
            </w:r>
            <w:r>
              <w:rPr>
                <w:rFonts w:ascii="Century Gothic" w:hAnsi="Century Gothic"/>
                <w:color w:val="444444"/>
                <w:sz w:val="20"/>
                <w:szCs w:val="20"/>
                <w:shd w:val="clear" w:color="auto" w:fill="F6F6F6"/>
              </w:rPr>
              <w:t>second most dominate tree species”</w:t>
            </w:r>
          </w:p>
        </w:tc>
      </w:tr>
      <w:tr w:rsidR="005C24E7" w14:paraId="465E0559" w14:textId="77777777" w:rsidTr="00FC61E5">
        <w:tc>
          <w:tcPr>
            <w:tcW w:w="1555" w:type="dxa"/>
          </w:tcPr>
          <w:p w14:paraId="6173DB6E" w14:textId="0C14F3A5" w:rsidR="005C24E7" w:rsidRDefault="005C24E7" w:rsidP="005C24E7">
            <w:r w:rsidRPr="00966B7F">
              <w:t>SPEC_PCT_2</w:t>
            </w:r>
          </w:p>
        </w:tc>
        <w:tc>
          <w:tcPr>
            <w:tcW w:w="7795" w:type="dxa"/>
          </w:tcPr>
          <w:p w14:paraId="34B60802" w14:textId="24FDA59F" w:rsidR="005C24E7" w:rsidRDefault="005C24E7" w:rsidP="005C24E7">
            <w:r>
              <w:t>For the “</w:t>
            </w:r>
            <w:r>
              <w:rPr>
                <w:rFonts w:ascii="Century Gothic" w:hAnsi="Century Gothic"/>
                <w:color w:val="444444"/>
                <w:sz w:val="20"/>
                <w:szCs w:val="20"/>
                <w:shd w:val="clear" w:color="auto" w:fill="F6F6F6"/>
              </w:rPr>
              <w:t>second most dominate tree species”</w:t>
            </w:r>
          </w:p>
        </w:tc>
      </w:tr>
      <w:tr w:rsidR="005C24E7" w14:paraId="693D437D" w14:textId="77777777" w:rsidTr="00FC61E5">
        <w:tc>
          <w:tcPr>
            <w:tcW w:w="1555" w:type="dxa"/>
          </w:tcPr>
          <w:p w14:paraId="20001242" w14:textId="434AB184" w:rsidR="005C24E7" w:rsidRDefault="005C24E7" w:rsidP="005C24E7">
            <w:r w:rsidRPr="00966B7F">
              <w:t>SPEC_CD_3</w:t>
            </w:r>
          </w:p>
        </w:tc>
        <w:tc>
          <w:tcPr>
            <w:tcW w:w="7795" w:type="dxa"/>
          </w:tcPr>
          <w:p w14:paraId="3DC9292C" w14:textId="0713CFDA" w:rsidR="005C24E7" w:rsidRDefault="005C24E7" w:rsidP="005C24E7">
            <w:r>
              <w:t>For the “</w:t>
            </w:r>
            <w:r>
              <w:rPr>
                <w:rFonts w:ascii="Century Gothic" w:hAnsi="Century Gothic"/>
                <w:color w:val="444444"/>
                <w:sz w:val="20"/>
                <w:szCs w:val="20"/>
                <w:shd w:val="clear" w:color="auto" w:fill="F6F6F6"/>
              </w:rPr>
              <w:t>third most dominate tree species”</w:t>
            </w:r>
          </w:p>
        </w:tc>
      </w:tr>
      <w:tr w:rsidR="005C24E7" w14:paraId="7CC47A56" w14:textId="77777777" w:rsidTr="00FC61E5">
        <w:tc>
          <w:tcPr>
            <w:tcW w:w="1555" w:type="dxa"/>
          </w:tcPr>
          <w:p w14:paraId="7AAE7858" w14:textId="2B4094F6" w:rsidR="005C24E7" w:rsidRPr="00966B7F" w:rsidRDefault="005C24E7" w:rsidP="005C24E7">
            <w:r w:rsidRPr="00966B7F">
              <w:t>SPEC_PCT_3</w:t>
            </w:r>
          </w:p>
        </w:tc>
        <w:tc>
          <w:tcPr>
            <w:tcW w:w="7795" w:type="dxa"/>
          </w:tcPr>
          <w:p w14:paraId="124BB0A6" w14:textId="355E62F3" w:rsidR="005C24E7" w:rsidRDefault="005C24E7" w:rsidP="005C24E7">
            <w:r>
              <w:t>For the “</w:t>
            </w:r>
            <w:r>
              <w:rPr>
                <w:rFonts w:ascii="Century Gothic" w:hAnsi="Century Gothic"/>
                <w:color w:val="444444"/>
                <w:sz w:val="20"/>
                <w:szCs w:val="20"/>
                <w:shd w:val="clear" w:color="auto" w:fill="F6F6F6"/>
              </w:rPr>
              <w:t>third most dominate tree species”</w:t>
            </w:r>
          </w:p>
        </w:tc>
      </w:tr>
      <w:tr w:rsidR="00FC61E5" w14:paraId="397E4A49" w14:textId="77777777" w:rsidTr="00FC61E5">
        <w:tc>
          <w:tcPr>
            <w:tcW w:w="1555" w:type="dxa"/>
          </w:tcPr>
          <w:p w14:paraId="7911803E" w14:textId="13282596" w:rsidR="00FC61E5" w:rsidRPr="00966B7F" w:rsidRDefault="00FC61E5" w:rsidP="005C24E7">
            <w:r>
              <w:rPr>
                <w:rFonts w:ascii="Century Gothic" w:hAnsi="Century Gothic"/>
                <w:color w:val="444444"/>
                <w:sz w:val="20"/>
                <w:szCs w:val="20"/>
                <w:shd w:val="clear" w:color="auto" w:fill="F6F6F6"/>
              </w:rPr>
              <w:t>LIVE_STEMS</w:t>
            </w:r>
          </w:p>
        </w:tc>
        <w:tc>
          <w:tcPr>
            <w:tcW w:w="7795" w:type="dxa"/>
          </w:tcPr>
          <w:p w14:paraId="2F71BD77" w14:textId="4DCF87D0" w:rsidR="00FC61E5" w:rsidRDefault="00FC61E5" w:rsidP="005C24E7">
            <w:r>
              <w:rPr>
                <w:rFonts w:ascii="Century Gothic" w:hAnsi="Century Gothic"/>
                <w:color w:val="444444"/>
                <w:sz w:val="20"/>
                <w:szCs w:val="20"/>
                <w:shd w:val="clear" w:color="auto" w:fill="F6F6F6"/>
              </w:rPr>
              <w:t>The average number of living trees visible to the photo interpreter in the dominant, codominant and high intermediate crown positions in each tree layer in the polygon. It is expressed as stems per hectare.</w:t>
            </w:r>
          </w:p>
        </w:tc>
      </w:tr>
      <w:tr w:rsidR="00FC61E5" w14:paraId="422527DA" w14:textId="77777777" w:rsidTr="00FC61E5">
        <w:tc>
          <w:tcPr>
            <w:tcW w:w="1555" w:type="dxa"/>
          </w:tcPr>
          <w:p w14:paraId="72869CD2" w14:textId="3D2C4B35" w:rsidR="00FC61E5" w:rsidRDefault="00FC61E5" w:rsidP="005C24E7">
            <w:pPr>
              <w:rPr>
                <w:rFonts w:ascii="Century Gothic" w:hAnsi="Century Gothic"/>
                <w:color w:val="444444"/>
                <w:sz w:val="20"/>
                <w:szCs w:val="20"/>
                <w:shd w:val="clear" w:color="auto" w:fill="F6F6F6"/>
              </w:rPr>
            </w:pPr>
            <w:r>
              <w:rPr>
                <w:rFonts w:ascii="Century Gothic" w:hAnsi="Century Gothic"/>
                <w:color w:val="444444"/>
                <w:sz w:val="20"/>
                <w:szCs w:val="20"/>
                <w:shd w:val="clear" w:color="auto" w:fill="F6F6F6"/>
              </w:rPr>
              <w:t>DEAD_STEMS</w:t>
            </w:r>
          </w:p>
        </w:tc>
        <w:tc>
          <w:tcPr>
            <w:tcW w:w="7795" w:type="dxa"/>
          </w:tcPr>
          <w:p w14:paraId="313B11C3" w14:textId="6A5637FB" w:rsidR="00FC61E5" w:rsidRPr="00FC61E5" w:rsidRDefault="00FC61E5" w:rsidP="00FC61E5">
            <w:pPr>
              <w:spacing w:after="300" w:line="300" w:lineRule="atLeast"/>
              <w:rPr>
                <w:rFonts w:ascii="Century Gothic" w:hAnsi="Century Gothic"/>
                <w:color w:val="444444"/>
                <w:sz w:val="20"/>
                <w:szCs w:val="20"/>
              </w:rPr>
            </w:pPr>
            <w:r>
              <w:rPr>
                <w:rFonts w:ascii="Century Gothic" w:hAnsi="Century Gothic"/>
                <w:color w:val="444444"/>
                <w:sz w:val="20"/>
                <w:szCs w:val="20"/>
              </w:rPr>
              <w:t xml:space="preserve">The number of VRI dead tree stems on </w:t>
            </w:r>
            <w:proofErr w:type="gramStart"/>
            <w:r>
              <w:rPr>
                <w:rFonts w:ascii="Century Gothic" w:hAnsi="Century Gothic"/>
                <w:color w:val="444444"/>
                <w:sz w:val="20"/>
                <w:szCs w:val="20"/>
              </w:rPr>
              <w:t>an</w:t>
            </w:r>
            <w:proofErr w:type="gramEnd"/>
            <w:r>
              <w:rPr>
                <w:rFonts w:ascii="Century Gothic" w:hAnsi="Century Gothic"/>
                <w:color w:val="444444"/>
                <w:sz w:val="20"/>
                <w:szCs w:val="20"/>
              </w:rPr>
              <w:t xml:space="preserve"> unitary per hectare basis.</w:t>
            </w:r>
          </w:p>
        </w:tc>
      </w:tr>
      <w:tr w:rsidR="006E43E3" w14:paraId="6B595FD8" w14:textId="77777777" w:rsidTr="00FC61E5">
        <w:tc>
          <w:tcPr>
            <w:tcW w:w="1555" w:type="dxa"/>
          </w:tcPr>
          <w:p w14:paraId="13AC0182" w14:textId="59075622" w:rsidR="006E43E3" w:rsidRDefault="006E43E3" w:rsidP="005C24E7">
            <w:pPr>
              <w:rPr>
                <w:rFonts w:ascii="Century Gothic" w:hAnsi="Century Gothic"/>
                <w:color w:val="444444"/>
                <w:sz w:val="20"/>
                <w:szCs w:val="20"/>
                <w:shd w:val="clear" w:color="auto" w:fill="F6F6F6"/>
              </w:rPr>
            </w:pPr>
            <w:r w:rsidRPr="006E43E3">
              <w:rPr>
                <w:rFonts w:ascii="Century Gothic" w:hAnsi="Century Gothic"/>
                <w:color w:val="444444"/>
                <w:sz w:val="20"/>
                <w:szCs w:val="20"/>
                <w:shd w:val="clear" w:color="auto" w:fill="F6F6F6"/>
              </w:rPr>
              <w:t>DVLSP1_125</w:t>
            </w:r>
          </w:p>
        </w:tc>
        <w:tc>
          <w:tcPr>
            <w:tcW w:w="7795" w:type="dxa"/>
          </w:tcPr>
          <w:p w14:paraId="48C2919F" w14:textId="0654542A" w:rsidR="006E43E3" w:rsidRDefault="006E43E3" w:rsidP="00FC61E5">
            <w:pPr>
              <w:spacing w:after="300" w:line="300" w:lineRule="atLeast"/>
              <w:rPr>
                <w:rFonts w:ascii="Century Gothic" w:hAnsi="Century Gothic"/>
                <w:color w:val="444444"/>
                <w:sz w:val="20"/>
                <w:szCs w:val="20"/>
              </w:rPr>
            </w:pPr>
            <w:r>
              <w:rPr>
                <w:rFonts w:ascii="Century Gothic" w:hAnsi="Century Gothic"/>
                <w:color w:val="444444"/>
                <w:sz w:val="20"/>
                <w:szCs w:val="20"/>
              </w:rPr>
              <w:t>Net dead volume per hectare of the leading species determined by percent basal area of the tree layer at the 12.5 cm utilization level and at the year of death.</w:t>
            </w:r>
          </w:p>
        </w:tc>
      </w:tr>
      <w:tr w:rsidR="006E43E3" w14:paraId="690CA21B" w14:textId="77777777" w:rsidTr="00FC61E5">
        <w:tc>
          <w:tcPr>
            <w:tcW w:w="1555" w:type="dxa"/>
          </w:tcPr>
          <w:p w14:paraId="4C02B0F9" w14:textId="6F734589" w:rsidR="006E43E3" w:rsidRDefault="006E43E3" w:rsidP="005C24E7">
            <w:pPr>
              <w:rPr>
                <w:rFonts w:ascii="Century Gothic" w:hAnsi="Century Gothic"/>
                <w:color w:val="444444"/>
                <w:sz w:val="20"/>
                <w:szCs w:val="20"/>
                <w:shd w:val="clear" w:color="auto" w:fill="F6F6F6"/>
              </w:rPr>
            </w:pPr>
            <w:r w:rsidRPr="006E43E3">
              <w:rPr>
                <w:rFonts w:ascii="Century Gothic" w:hAnsi="Century Gothic"/>
                <w:color w:val="444444"/>
                <w:sz w:val="20"/>
                <w:szCs w:val="20"/>
                <w:shd w:val="clear" w:color="auto" w:fill="F6F6F6"/>
              </w:rPr>
              <w:t>DVLSP1_1</w:t>
            </w:r>
            <w:r>
              <w:rPr>
                <w:rFonts w:ascii="Century Gothic" w:hAnsi="Century Gothic"/>
                <w:color w:val="444444"/>
                <w:sz w:val="20"/>
                <w:szCs w:val="20"/>
                <w:shd w:val="clear" w:color="auto" w:fill="F6F6F6"/>
              </w:rPr>
              <w:t>75</w:t>
            </w:r>
          </w:p>
        </w:tc>
        <w:tc>
          <w:tcPr>
            <w:tcW w:w="7795" w:type="dxa"/>
          </w:tcPr>
          <w:p w14:paraId="1E4C1D4C" w14:textId="08E89C3E" w:rsidR="006E43E3" w:rsidRDefault="006E43E3" w:rsidP="00FC61E5">
            <w:pPr>
              <w:spacing w:after="300" w:line="300" w:lineRule="atLeast"/>
              <w:rPr>
                <w:rFonts w:ascii="Century Gothic" w:hAnsi="Century Gothic"/>
                <w:color w:val="444444"/>
                <w:sz w:val="20"/>
                <w:szCs w:val="20"/>
              </w:rPr>
            </w:pPr>
            <w:r>
              <w:rPr>
                <w:rFonts w:ascii="Century Gothic" w:hAnsi="Century Gothic"/>
                <w:color w:val="444444"/>
                <w:sz w:val="20"/>
                <w:szCs w:val="20"/>
              </w:rPr>
              <w:t>Etc.</w:t>
            </w:r>
          </w:p>
        </w:tc>
      </w:tr>
      <w:tr w:rsidR="006E43E3" w14:paraId="630002B6" w14:textId="77777777" w:rsidTr="00FC61E5">
        <w:tc>
          <w:tcPr>
            <w:tcW w:w="1555" w:type="dxa"/>
          </w:tcPr>
          <w:p w14:paraId="742F3CD0" w14:textId="7C4FA967" w:rsidR="006E43E3" w:rsidRDefault="006E43E3" w:rsidP="005C24E7">
            <w:pPr>
              <w:rPr>
                <w:rFonts w:ascii="Century Gothic" w:hAnsi="Century Gothic"/>
                <w:color w:val="444444"/>
                <w:sz w:val="20"/>
                <w:szCs w:val="20"/>
                <w:shd w:val="clear" w:color="auto" w:fill="F6F6F6"/>
              </w:rPr>
            </w:pPr>
            <w:r w:rsidRPr="006E43E3">
              <w:rPr>
                <w:rFonts w:ascii="Century Gothic" w:hAnsi="Century Gothic"/>
                <w:color w:val="444444"/>
                <w:sz w:val="20"/>
                <w:szCs w:val="20"/>
                <w:shd w:val="clear" w:color="auto" w:fill="F6F6F6"/>
              </w:rPr>
              <w:t>DVLSP1_</w:t>
            </w:r>
            <w:r>
              <w:rPr>
                <w:rFonts w:ascii="Century Gothic" w:hAnsi="Century Gothic"/>
                <w:color w:val="444444"/>
                <w:sz w:val="20"/>
                <w:szCs w:val="20"/>
                <w:shd w:val="clear" w:color="auto" w:fill="F6F6F6"/>
              </w:rPr>
              <w:t>2</w:t>
            </w:r>
            <w:r w:rsidRPr="006E43E3">
              <w:rPr>
                <w:rFonts w:ascii="Century Gothic" w:hAnsi="Century Gothic"/>
                <w:color w:val="444444"/>
                <w:sz w:val="20"/>
                <w:szCs w:val="20"/>
                <w:shd w:val="clear" w:color="auto" w:fill="F6F6F6"/>
              </w:rPr>
              <w:t>25</w:t>
            </w:r>
          </w:p>
        </w:tc>
        <w:tc>
          <w:tcPr>
            <w:tcW w:w="7795" w:type="dxa"/>
          </w:tcPr>
          <w:p w14:paraId="533CEA94" w14:textId="3D1AEE0A" w:rsidR="006E43E3" w:rsidRDefault="006E43E3" w:rsidP="00FC61E5">
            <w:pPr>
              <w:spacing w:after="300" w:line="300" w:lineRule="atLeast"/>
              <w:rPr>
                <w:rFonts w:ascii="Century Gothic" w:hAnsi="Century Gothic"/>
                <w:color w:val="444444"/>
                <w:sz w:val="20"/>
                <w:szCs w:val="20"/>
              </w:rPr>
            </w:pPr>
            <w:r>
              <w:rPr>
                <w:rFonts w:ascii="Century Gothic" w:hAnsi="Century Gothic"/>
                <w:color w:val="444444"/>
                <w:sz w:val="20"/>
                <w:szCs w:val="20"/>
              </w:rPr>
              <w:t>Etc.</w:t>
            </w:r>
          </w:p>
        </w:tc>
      </w:tr>
    </w:tbl>
    <w:p w14:paraId="6E530FB0" w14:textId="77777777" w:rsidR="007005CB" w:rsidRDefault="007005CB"/>
    <w:sectPr w:rsidR="007005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B7F"/>
    <w:rsid w:val="0013053C"/>
    <w:rsid w:val="005C24E7"/>
    <w:rsid w:val="006E43E3"/>
    <w:rsid w:val="007005CB"/>
    <w:rsid w:val="00905FC1"/>
    <w:rsid w:val="00966B7F"/>
    <w:rsid w:val="00A87B6B"/>
    <w:rsid w:val="00E13AEB"/>
    <w:rsid w:val="00FC61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0E8A2"/>
  <w15:chartTrackingRefBased/>
  <w15:docId w15:val="{22218597-B80A-403E-8E21-A56F9830E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6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277098">
      <w:bodyDiv w:val="1"/>
      <w:marLeft w:val="0"/>
      <w:marRight w:val="0"/>
      <w:marTop w:val="0"/>
      <w:marBottom w:val="0"/>
      <w:divBdr>
        <w:top w:val="none" w:sz="0" w:space="0" w:color="auto"/>
        <w:left w:val="none" w:sz="0" w:space="0" w:color="auto"/>
        <w:bottom w:val="none" w:sz="0" w:space="0" w:color="auto"/>
        <w:right w:val="none" w:sz="0" w:space="0" w:color="auto"/>
      </w:divBdr>
    </w:div>
    <w:div w:id="597324576">
      <w:bodyDiv w:val="1"/>
      <w:marLeft w:val="0"/>
      <w:marRight w:val="0"/>
      <w:marTop w:val="0"/>
      <w:marBottom w:val="0"/>
      <w:divBdr>
        <w:top w:val="none" w:sz="0" w:space="0" w:color="auto"/>
        <w:left w:val="none" w:sz="0" w:space="0" w:color="auto"/>
        <w:bottom w:val="none" w:sz="0" w:space="0" w:color="auto"/>
        <w:right w:val="none" w:sz="0" w:space="0" w:color="auto"/>
      </w:divBdr>
    </w:div>
    <w:div w:id="826746448">
      <w:bodyDiv w:val="1"/>
      <w:marLeft w:val="0"/>
      <w:marRight w:val="0"/>
      <w:marTop w:val="0"/>
      <w:marBottom w:val="0"/>
      <w:divBdr>
        <w:top w:val="none" w:sz="0" w:space="0" w:color="auto"/>
        <w:left w:val="none" w:sz="0" w:space="0" w:color="auto"/>
        <w:bottom w:val="none" w:sz="0" w:space="0" w:color="auto"/>
        <w:right w:val="none" w:sz="0" w:space="0" w:color="auto"/>
      </w:divBdr>
    </w:div>
    <w:div w:id="853031043">
      <w:bodyDiv w:val="1"/>
      <w:marLeft w:val="0"/>
      <w:marRight w:val="0"/>
      <w:marTop w:val="0"/>
      <w:marBottom w:val="0"/>
      <w:divBdr>
        <w:top w:val="none" w:sz="0" w:space="0" w:color="auto"/>
        <w:left w:val="none" w:sz="0" w:space="0" w:color="auto"/>
        <w:bottom w:val="none" w:sz="0" w:space="0" w:color="auto"/>
        <w:right w:val="none" w:sz="0" w:space="0" w:color="auto"/>
      </w:divBdr>
    </w:div>
    <w:div w:id="1136525653">
      <w:bodyDiv w:val="1"/>
      <w:marLeft w:val="0"/>
      <w:marRight w:val="0"/>
      <w:marTop w:val="0"/>
      <w:marBottom w:val="0"/>
      <w:divBdr>
        <w:top w:val="none" w:sz="0" w:space="0" w:color="auto"/>
        <w:left w:val="none" w:sz="0" w:space="0" w:color="auto"/>
        <w:bottom w:val="none" w:sz="0" w:space="0" w:color="auto"/>
        <w:right w:val="none" w:sz="0" w:space="0" w:color="auto"/>
      </w:divBdr>
    </w:div>
    <w:div w:id="1157459611">
      <w:bodyDiv w:val="1"/>
      <w:marLeft w:val="0"/>
      <w:marRight w:val="0"/>
      <w:marTop w:val="0"/>
      <w:marBottom w:val="0"/>
      <w:divBdr>
        <w:top w:val="none" w:sz="0" w:space="0" w:color="auto"/>
        <w:left w:val="none" w:sz="0" w:space="0" w:color="auto"/>
        <w:bottom w:val="none" w:sz="0" w:space="0" w:color="auto"/>
        <w:right w:val="none" w:sz="0" w:space="0" w:color="auto"/>
      </w:divBdr>
    </w:div>
    <w:div w:id="1192691481">
      <w:bodyDiv w:val="1"/>
      <w:marLeft w:val="0"/>
      <w:marRight w:val="0"/>
      <w:marTop w:val="0"/>
      <w:marBottom w:val="0"/>
      <w:divBdr>
        <w:top w:val="none" w:sz="0" w:space="0" w:color="auto"/>
        <w:left w:val="none" w:sz="0" w:space="0" w:color="auto"/>
        <w:bottom w:val="none" w:sz="0" w:space="0" w:color="auto"/>
        <w:right w:val="none" w:sz="0" w:space="0" w:color="auto"/>
      </w:divBdr>
    </w:div>
    <w:div w:id="1367214215">
      <w:bodyDiv w:val="1"/>
      <w:marLeft w:val="0"/>
      <w:marRight w:val="0"/>
      <w:marTop w:val="0"/>
      <w:marBottom w:val="0"/>
      <w:divBdr>
        <w:top w:val="none" w:sz="0" w:space="0" w:color="auto"/>
        <w:left w:val="none" w:sz="0" w:space="0" w:color="auto"/>
        <w:bottom w:val="none" w:sz="0" w:space="0" w:color="auto"/>
        <w:right w:val="none" w:sz="0" w:space="0" w:color="auto"/>
      </w:divBdr>
    </w:div>
    <w:div w:id="1455637385">
      <w:bodyDiv w:val="1"/>
      <w:marLeft w:val="0"/>
      <w:marRight w:val="0"/>
      <w:marTop w:val="0"/>
      <w:marBottom w:val="0"/>
      <w:divBdr>
        <w:top w:val="none" w:sz="0" w:space="0" w:color="auto"/>
        <w:left w:val="none" w:sz="0" w:space="0" w:color="auto"/>
        <w:bottom w:val="none" w:sz="0" w:space="0" w:color="auto"/>
        <w:right w:val="none" w:sz="0" w:space="0" w:color="auto"/>
      </w:divBdr>
    </w:div>
    <w:div w:id="1566843111">
      <w:bodyDiv w:val="1"/>
      <w:marLeft w:val="0"/>
      <w:marRight w:val="0"/>
      <w:marTop w:val="0"/>
      <w:marBottom w:val="0"/>
      <w:divBdr>
        <w:top w:val="none" w:sz="0" w:space="0" w:color="auto"/>
        <w:left w:val="none" w:sz="0" w:space="0" w:color="auto"/>
        <w:bottom w:val="none" w:sz="0" w:space="0" w:color="auto"/>
        <w:right w:val="none" w:sz="0" w:space="0" w:color="auto"/>
      </w:divBdr>
    </w:div>
    <w:div w:id="1672297650">
      <w:bodyDiv w:val="1"/>
      <w:marLeft w:val="0"/>
      <w:marRight w:val="0"/>
      <w:marTop w:val="0"/>
      <w:marBottom w:val="0"/>
      <w:divBdr>
        <w:top w:val="none" w:sz="0" w:space="0" w:color="auto"/>
        <w:left w:val="none" w:sz="0" w:space="0" w:color="auto"/>
        <w:bottom w:val="none" w:sz="0" w:space="0" w:color="auto"/>
        <w:right w:val="none" w:sz="0" w:space="0" w:color="auto"/>
      </w:divBdr>
    </w:div>
    <w:div w:id="1749769479">
      <w:bodyDiv w:val="1"/>
      <w:marLeft w:val="0"/>
      <w:marRight w:val="0"/>
      <w:marTop w:val="0"/>
      <w:marBottom w:val="0"/>
      <w:divBdr>
        <w:top w:val="none" w:sz="0" w:space="0" w:color="auto"/>
        <w:left w:val="none" w:sz="0" w:space="0" w:color="auto"/>
        <w:bottom w:val="none" w:sz="0" w:space="0" w:color="auto"/>
        <w:right w:val="none" w:sz="0" w:space="0" w:color="auto"/>
      </w:divBdr>
    </w:div>
    <w:div w:id="209172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1</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userc</dc:creator>
  <cp:keywords/>
  <dc:description/>
  <cp:lastModifiedBy>userc</cp:lastModifiedBy>
  <cp:revision>3</cp:revision>
  <dcterms:created xsi:type="dcterms:W3CDTF">2019-08-19T19:30:00Z</dcterms:created>
  <dcterms:modified xsi:type="dcterms:W3CDTF">2019-08-26T19:37:00Z</dcterms:modified>
</cp:coreProperties>
</file>