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60" w:before="0"/>
        <w:jc w:val="center"/>
      </w:pPr>
      <w:r>
        <w:rPr>
          <w:rFonts w:ascii="Arial" w:cs="Arial" w:eastAsia="Arial" w:hAnsi="Arial"/>
          <w:b/>
          <w:bCs/>
          <w:color w:val="4A7C59"/>
          <w:sz w:val="18"/>
          <w:szCs w:val="18"/>
        </w:rPr>
        <w:t xml:space="preserve">Revision Brief · Part Two</w:t>
      </w:r>
    </w:p>
    <w:p>
      <w:pPr>
        <w:spacing w:after="80" w:before="0"/>
        <w:jc w:val="center"/>
      </w:pPr>
      <w:r>
        <w:rPr>
          <w:rFonts w:ascii="Georgia" w:cs="Georgia" w:eastAsia="Georgia" w:hAnsi="Georgia"/>
          <w:b/>
          <w:bCs/>
          <w:color w:val="1B4A3A"/>
          <w:sz w:val="52"/>
          <w:szCs w:val="52"/>
        </w:rPr>
        <w:t xml:space="preserve">AlexisLyon.com</w:t>
      </w:r>
    </w:p>
    <w:p>
      <w:pPr>
        <w:spacing w:after="60" w:before="0"/>
        <w:jc w:val="center"/>
      </w:pPr>
      <w:r>
        <w:rPr>
          <w:rFonts w:ascii="Georgia" w:cs="Georgia" w:eastAsia="Georgia" w:hAnsi="Georgia"/>
          <w:color w:val="C8922A"/>
          <w:sz w:val="26"/>
          <w:szCs w:val="26"/>
        </w:rPr>
        <w:t xml:space="preserve">Conversion Architecture &amp; The Heroine’s Story</w:t>
      </w:r>
    </w:p>
    <w:p>
      <w:pPr>
        <w:spacing w:after="40" w:before="0"/>
        <w:jc w:val="center"/>
      </w:pPr>
      <w:r>
        <w:rPr>
          <w:rFonts w:ascii="Arial" w:cs="Arial" w:eastAsia="Arial" w:hAnsi="Arial"/>
          <w:i/>
          <w:iCs/>
          <w:color w:val="6B6B6B"/>
          <w:sz w:val="20"/>
          <w:szCs w:val="20"/>
        </w:rPr>
        <w:t xml:space="preserve">Implement alongside Part One · All copy below is final</w:t>
      </w:r>
    </w:p>
    <w:p>
      <w:pPr>
        <w:spacing w:after="80" w:before="0"/>
      </w:pPr>
      <w:r>
        <w:t xml:space="preserve"/>
      </w:r>
    </w:p>
    <w:p>
      <w:pPr>
        <w:pBdr>
          <w:bottom w:val="single" w:color="1B4A3A" w:sz="6" w:space="1"/>
        </w:pBdr>
        <w:spacing w:after="120" w:before="80"/>
      </w:pPr>
      <w:r>
        <w:t xml:space="preserve"/>
      </w:r>
    </w:p>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D4EEEC" w:val="clear"/>
            <w:tcMar>
              <w:top w:type="dxa" w:w="180"/>
              <w:left w:type="dxa" w:w="240"/>
              <w:bottom w:type="dxa" w:w="180"/>
              <w:right w:type="dxa" w:w="240"/>
            </w:tcMar>
          </w:tcPr>
          <w:p>
            <w:pPr>
              <w:spacing w:after="80" w:before="40"/>
            </w:pPr>
            <w:r>
              <w:rPr>
                <w:rFonts w:ascii="Georgia" w:cs="Georgia" w:eastAsia="Georgia" w:hAnsi="Georgia"/>
                <w:b/>
                <w:bCs/>
                <w:color w:val="1B4A3A"/>
                <w:sz w:val="24"/>
                <w:szCs w:val="24"/>
              </w:rPr>
              <w:t xml:space="preserve">The Strategic Shift</w:t>
            </w:r>
          </w:p>
          <w:p>
            <w:pPr>
              <w:spacing w:after="70" w:before="0"/>
            </w:pPr>
            <w:r>
              <w:rPr>
                <w:rFonts w:ascii="Arial" w:cs="Arial" w:eastAsia="Arial" w:hAnsi="Arial"/>
                <w:color w:val="2C2C2C"/>
                <w:sz w:val="22"/>
                <w:szCs w:val="22"/>
              </w:rPr>
              <w:t xml:space="preserve">The site is currently philosophy-forward: it explains the work beautifully, but the visitor has to scroll through a great deal of framework before she understands what is being offered and how to begin.</w:t>
            </w:r>
          </w:p>
          <w:p>
            <w:pPr>
              <w:spacing w:after="70" w:before="0"/>
            </w:pPr>
            <w:r>
              <w:rPr>
                <w:rFonts w:ascii="Arial" w:cs="Arial" w:eastAsia="Arial" w:hAnsi="Arial"/>
                <w:color w:val="2C2C2C"/>
                <w:sz w:val="22"/>
                <w:szCs w:val="22"/>
              </w:rPr>
              <w:t xml:space="preserve">These changes make it client-forward. She is the heroine. The site’s job is to help her locate herself, feel the quality of support available, and find the door — fast. Everything that is genuinely about HER decision stays on the homepage. Everything that is about the framework moves to Philosophy or the Blog.</w:t>
            </w:r>
          </w:p>
          <w:p>
            <w:r>
              <w:rPr>
                <w:rFonts w:ascii="Arial" w:cs="Arial" w:eastAsia="Arial" w:hAnsi="Arial"/>
                <w:i/>
                <w:iCs/>
                <w:color w:val="1B4A3A"/>
                <w:sz w:val="22"/>
                <w:szCs w:val="22"/>
              </w:rPr>
              <w:t xml:space="preserve">The depth is not lost. It is relocated to where the already-interested reader can find it.</w:t>
            </w:r>
          </w:p>
        </w:tc>
      </w:tr>
    </w:tbl>
    <w:p>
      <w:pPr>
        <w:spacing w:after="80" w:before="0"/>
      </w:pPr>
      <w:r>
        <w:t xml:space="preserve"/>
      </w:r>
    </w:p>
    <w:p>
      <w:r>
        <w:br w:type="page"/>
      </w:r>
    </w:p>
    <w:p>
      <w:pPr>
        <w:pStyle w:val="Heading1"/>
        <w:spacing w:after="120" w:before="400"/>
      </w:pPr>
      <w:r>
        <w:rPr>
          <w:rFonts w:ascii="Georgia" w:cs="Georgia" w:eastAsia="Georgia" w:hAnsi="Georgia"/>
          <w:b/>
          <w:bCs/>
          <w:color w:val="1B4A3A"/>
          <w:sz w:val="36"/>
          <w:szCs w:val="36"/>
        </w:rPr>
        <w:t xml:space="preserve">1.  Content Architecture — What Goes Where</w:t>
      </w:r>
    </w:p>
    <w:p>
      <w:pPr>
        <w:pBdr>
          <w:bottom w:val="single" w:color="1B4A3A" w:sz="6" w:space="1"/>
        </w:pBdr>
        <w:spacing w:after="120" w:before="80"/>
      </w:pPr>
      <w:r>
        <w:t xml:space="preserve"/>
      </w:r>
    </w:p>
    <w:p>
      <w:pPr>
        <w:spacing w:after="80" w:before="60"/>
      </w:pPr>
      <w:r>
        <w:rPr>
          <w:rFonts w:ascii="Arial" w:cs="Arial" w:eastAsia="Arial" w:hAnsi="Arial"/>
          <w:i w:val="false"/>
          <w:iCs w:val="false"/>
          <w:color w:val="2C2C2C"/>
          <w:sz w:val="22"/>
          <w:szCs w:val="22"/>
        </w:rPr>
        <w:t xml:space="preserve">The homepage should be answerable in one question: “Is this for me, and how do I begin?” Everything else moves. Below is the full sort.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CCCCCC" w:sz="1"/>
              <w:left w:val="single" w:color="CCCCCC" w:sz="1"/>
              <w:bottom w:val="single" w:color="CCCCCC" w:sz="1"/>
              <w:right w:val="single" w:color="CCCCCC" w:sz="1"/>
            </w:tcBorders>
            <w:shd w:fill="1B4A3A"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1500"/>
            <w:tcBorders>
              <w:top w:val="single" w:color="CCCCCC" w:sz="1"/>
              <w:left w:val="single" w:color="CCCCCC" w:sz="1"/>
              <w:bottom w:val="single" w:color="CCCCCC" w:sz="1"/>
              <w:right w:val="single" w:color="CCCCCC" w:sz="1"/>
            </w:tcBorders>
            <w:shd w:fill="1B4A3A" w:val="clear"/>
            <w:tcMar>
              <w:top w:type="dxa" w:w="80"/>
              <w:left w:type="dxa" w:w="120"/>
              <w:bottom w:type="dxa" w:w="80"/>
              <w:right w:type="dxa" w:w="120"/>
            </w:tcMar>
          </w:tcPr>
          <w:p>
            <w:r>
              <w:rPr>
                <w:rFonts w:ascii="Arial" w:cs="Arial" w:eastAsia="Arial" w:hAnsi="Arial"/>
                <w:b/>
                <w:bCs/>
                <w:color w:val="FFFFFF"/>
                <w:sz w:val="20"/>
                <w:szCs w:val="20"/>
              </w:rPr>
              <w:t xml:space="preserve">Goes To</w:t>
            </w:r>
          </w:p>
        </w:tc>
        <w:tc>
          <w:tcPr>
            <w:tcW w:type="dxa" w:w="5060"/>
            <w:tcBorders>
              <w:top w:val="single" w:color="CCCCCC" w:sz="1"/>
              <w:left w:val="single" w:color="CCCCCC" w:sz="1"/>
              <w:bottom w:val="single" w:color="CCCCCC" w:sz="1"/>
              <w:right w:val="single" w:color="CCCCCC" w:sz="1"/>
            </w:tcBorders>
            <w:shd w:fill="1B4A3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b/>
                <w:bCs/>
                <w:color w:val="1B4A3A"/>
                <w:sz w:val="20"/>
                <w:szCs w:val="20"/>
              </w:rPr>
              <w:t xml:space="preserve">Hero + positioning</w:t>
            </w:r>
          </w:p>
        </w:tc>
        <w:tc>
          <w:tcPr>
            <w:tcW w:type="dxa" w:w="1500"/>
            <w:tcBorders>
              <w:top w:val="single" w:color="CCCCCC" w:sz="1"/>
              <w:left w:val="single" w:color="CCCCCC" w:sz="1"/>
              <w:bottom w:val="single" w:color="CCCCCC" w:sz="1"/>
              <w:right w:val="single" w:color="CCCCCC" w:sz="1"/>
            </w:tcBorders>
            <w:shd w:fill="E2F0E6"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HOME</w:t>
            </w:r>
          </w:p>
        </w:tc>
        <w:tc>
          <w:tcPr>
            <w:tcW w:type="dxa" w:w="506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color w:val="2C2C2C"/>
                <w:sz w:val="20"/>
                <w:szCs w:val="20"/>
              </w:rPr>
              <w:t xml:space="preserve">Her first three seconds. Must land immediately.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b/>
                <w:bCs/>
                <w:color w:val="1B4A3A"/>
                <w:sz w:val="20"/>
                <w:szCs w:val="20"/>
              </w:rPr>
              <w:t xml:space="preserve">You Belong Here</w:t>
            </w:r>
          </w:p>
        </w:tc>
        <w:tc>
          <w:tcPr>
            <w:tcW w:type="dxa" w:w="1500"/>
            <w:tcBorders>
              <w:top w:val="single" w:color="CCCCCC" w:sz="1"/>
              <w:left w:val="single" w:color="CCCCCC" w:sz="1"/>
              <w:bottom w:val="single" w:color="CCCCCC" w:sz="1"/>
              <w:right w:val="single" w:color="CCCCCC" w:sz="1"/>
            </w:tcBorders>
            <w:shd w:fill="E2F0E6"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HOME</w:t>
            </w:r>
          </w:p>
        </w:tc>
        <w:tc>
          <w:tcPr>
            <w:tcW w:type="dxa" w:w="5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color w:val="2C2C2C"/>
                <w:sz w:val="20"/>
                <w:szCs w:val="20"/>
              </w:rPr>
              <w:t xml:space="preserve">Where she locates herself. Core to her decision.</w:t>
            </w:r>
          </w:p>
        </w:tc>
      </w:tr>
      <w:tr>
        <w:tc>
          <w:tcPr>
            <w:tcW w:type="dxa" w:w="280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b/>
                <w:bCs/>
                <w:color w:val="1B4A3A"/>
                <w:sz w:val="20"/>
                <w:szCs w:val="20"/>
              </w:rPr>
              <w:t xml:space="preserve">Permission section</w:t>
            </w:r>
          </w:p>
        </w:tc>
        <w:tc>
          <w:tcPr>
            <w:tcW w:type="dxa" w:w="1500"/>
            <w:tcBorders>
              <w:top w:val="single" w:color="CCCCCC" w:sz="1"/>
              <w:left w:val="single" w:color="CCCCCC" w:sz="1"/>
              <w:bottom w:val="single" w:color="CCCCCC" w:sz="1"/>
              <w:right w:val="single" w:color="CCCCCC" w:sz="1"/>
            </w:tcBorders>
            <w:shd w:fill="E2F0E6"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HOME</w:t>
            </w:r>
          </w:p>
        </w:tc>
        <w:tc>
          <w:tcPr>
            <w:tcW w:type="dxa" w:w="506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color w:val="2C2C2C"/>
                <w:sz w:val="20"/>
                <w:szCs w:val="20"/>
              </w:rPr>
              <w:t xml:space="preserve">The emotional unlock. Directly about her.</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b/>
                <w:bCs/>
                <w:color w:val="1B4A3A"/>
                <w:sz w:val="20"/>
                <w:szCs w:val="20"/>
              </w:rPr>
              <w:t xml:space="preserve">Wound &amp; Wildness</w:t>
            </w:r>
          </w:p>
        </w:tc>
        <w:tc>
          <w:tcPr>
            <w:tcW w:type="dxa" w:w="1500"/>
            <w:tcBorders>
              <w:top w:val="single" w:color="CCCCCC" w:sz="1"/>
              <w:left w:val="single" w:color="CCCCCC" w:sz="1"/>
              <w:bottom w:val="single" w:color="CCCCCC" w:sz="1"/>
              <w:right w:val="single" w:color="CCCCCC" w:sz="1"/>
            </w:tcBorders>
            <w:shd w:fill="E2F0E6"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HOME</w:t>
            </w:r>
          </w:p>
        </w:tc>
        <w:tc>
          <w:tcPr>
            <w:tcW w:type="dxa" w:w="5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color w:val="2C2C2C"/>
                <w:sz w:val="20"/>
                <w:szCs w:val="20"/>
              </w:rPr>
              <w:t xml:space="preserve">Keep — short version. This is how she recognizes herself.</w:t>
            </w:r>
          </w:p>
        </w:tc>
      </w:tr>
      <w:tr>
        <w:tc>
          <w:tcPr>
            <w:tcW w:type="dxa" w:w="280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b/>
                <w:bCs/>
                <w:color w:val="1B4A3A"/>
                <w:sz w:val="20"/>
                <w:szCs w:val="20"/>
              </w:rPr>
              <w:t xml:space="preserve">About Alexis (story version)</w:t>
            </w:r>
          </w:p>
        </w:tc>
        <w:tc>
          <w:tcPr>
            <w:tcW w:type="dxa" w:w="1500"/>
            <w:tcBorders>
              <w:top w:val="single" w:color="CCCCCC" w:sz="1"/>
              <w:left w:val="single" w:color="CCCCCC" w:sz="1"/>
              <w:bottom w:val="single" w:color="CCCCCC" w:sz="1"/>
              <w:right w:val="single" w:color="CCCCCC" w:sz="1"/>
            </w:tcBorders>
            <w:shd w:fill="E2F0E6"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HOME</w:t>
            </w:r>
          </w:p>
        </w:tc>
        <w:tc>
          <w:tcPr>
            <w:tcW w:type="dxa" w:w="506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color w:val="2C2C2C"/>
                <w:sz w:val="20"/>
                <w:szCs w:val="20"/>
              </w:rPr>
              <w:t xml:space="preserve">Trust and credibility. Must be prominent, not buried.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b/>
                <w:bCs/>
                <w:color w:val="1B4A3A"/>
                <w:sz w:val="20"/>
                <w:szCs w:val="20"/>
              </w:rPr>
              <w:t xml:space="preserve">Work With Me + pricing</w:t>
            </w:r>
          </w:p>
        </w:tc>
        <w:tc>
          <w:tcPr>
            <w:tcW w:type="dxa" w:w="1500"/>
            <w:tcBorders>
              <w:top w:val="single" w:color="CCCCCC" w:sz="1"/>
              <w:left w:val="single" w:color="CCCCCC" w:sz="1"/>
              <w:bottom w:val="single" w:color="CCCCCC" w:sz="1"/>
              <w:right w:val="single" w:color="CCCCCC" w:sz="1"/>
            </w:tcBorders>
            <w:shd w:fill="E2F0E6"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HOME</w:t>
            </w:r>
          </w:p>
        </w:tc>
        <w:tc>
          <w:tcPr>
            <w:tcW w:type="dxa" w:w="5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color w:val="2C2C2C"/>
                <w:sz w:val="20"/>
                <w:szCs w:val="20"/>
              </w:rPr>
              <w:t xml:space="preserve">The offer. Cannot be a click away.</w:t>
            </w:r>
          </w:p>
        </w:tc>
      </w:tr>
      <w:tr>
        <w:tc>
          <w:tcPr>
            <w:tcW w:type="dxa" w:w="280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b/>
                <w:bCs/>
                <w:color w:val="1B4A3A"/>
                <w:sz w:val="20"/>
                <w:szCs w:val="20"/>
              </w:rPr>
              <w:t xml:space="preserve">Investment</w:t>
            </w:r>
          </w:p>
        </w:tc>
        <w:tc>
          <w:tcPr>
            <w:tcW w:type="dxa" w:w="1500"/>
            <w:tcBorders>
              <w:top w:val="single" w:color="CCCCCC" w:sz="1"/>
              <w:left w:val="single" w:color="CCCCCC" w:sz="1"/>
              <w:bottom w:val="single" w:color="CCCCCC" w:sz="1"/>
              <w:right w:val="single" w:color="CCCCCC" w:sz="1"/>
            </w:tcBorders>
            <w:shd w:fill="E2F0E6"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HOME</w:t>
            </w:r>
          </w:p>
        </w:tc>
        <w:tc>
          <w:tcPr>
            <w:tcW w:type="dxa" w:w="506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color w:val="2C2C2C"/>
                <w:sz w:val="20"/>
                <w:szCs w:val="20"/>
              </w:rPr>
              <w:t xml:space="preserve">Merge into Work With Me — one section, not two.</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b/>
                <w:bCs/>
                <w:color w:val="1B4A3A"/>
                <w:sz w:val="20"/>
                <w:szCs w:val="20"/>
              </w:rPr>
              <w:t xml:space="preserve">Connect / consultation</w:t>
            </w:r>
          </w:p>
        </w:tc>
        <w:tc>
          <w:tcPr>
            <w:tcW w:type="dxa" w:w="1500"/>
            <w:tcBorders>
              <w:top w:val="single" w:color="CCCCCC" w:sz="1"/>
              <w:left w:val="single" w:color="CCCCCC" w:sz="1"/>
              <w:bottom w:val="single" w:color="CCCCCC" w:sz="1"/>
              <w:right w:val="single" w:color="CCCCCC" w:sz="1"/>
            </w:tcBorders>
            <w:shd w:fill="E2F0E6"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HOME</w:t>
            </w:r>
          </w:p>
        </w:tc>
        <w:tc>
          <w:tcPr>
            <w:tcW w:type="dxa" w:w="5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color w:val="2C2C2C"/>
                <w:sz w:val="20"/>
                <w:szCs w:val="20"/>
              </w:rPr>
              <w:t xml:space="preserve">The door. Multiple entry points.</w:t>
            </w:r>
          </w:p>
        </w:tc>
      </w:tr>
      <w:tr>
        <w:tc>
          <w:tcPr>
            <w:tcW w:type="dxa" w:w="280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b/>
                <w:bCs/>
                <w:color w:val="1B4A3A"/>
                <w:sz w:val="20"/>
                <w:szCs w:val="20"/>
              </w:rPr>
              <w:t xml:space="preserve">The Foundation (Safety / Regulation / Flexibility)</w:t>
            </w:r>
          </w:p>
        </w:tc>
        <w:tc>
          <w:tcPr>
            <w:tcW w:type="dxa" w:w="1500"/>
            <w:tcBorders>
              <w:top w:val="single" w:color="CCCCCC" w:sz="1"/>
              <w:left w:val="single" w:color="CCCCCC" w:sz="1"/>
              <w:bottom w:val="single" w:color="CCCCCC" w:sz="1"/>
              <w:right w:val="single" w:color="CCCCCC" w:sz="1"/>
            </w:tcBorders>
            <w:shd w:fill="D4EEEC"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PHILOSOPHY</w:t>
            </w:r>
          </w:p>
        </w:tc>
        <w:tc>
          <w:tcPr>
            <w:tcW w:type="dxa" w:w="506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color w:val="2C2C2C"/>
                <w:sz w:val="20"/>
                <w:szCs w:val="20"/>
              </w:rPr>
              <w:t xml:space="preserve">Framework. Interesting to the already-convinced.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b/>
                <w:bCs/>
                <w:color w:val="1B4A3A"/>
                <w:sz w:val="20"/>
                <w:szCs w:val="20"/>
              </w:rPr>
              <w:t xml:space="preserve">The relationship is the medicine</w:t>
            </w:r>
          </w:p>
        </w:tc>
        <w:tc>
          <w:tcPr>
            <w:tcW w:type="dxa" w:w="1500"/>
            <w:tcBorders>
              <w:top w:val="single" w:color="CCCCCC" w:sz="1"/>
              <w:left w:val="single" w:color="CCCCCC" w:sz="1"/>
              <w:bottom w:val="single" w:color="CCCCCC" w:sz="1"/>
              <w:right w:val="single" w:color="CCCCCC" w:sz="1"/>
            </w:tcBorders>
            <w:shd w:fill="D4EEEC"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PHILOSOPHY</w:t>
            </w:r>
          </w:p>
        </w:tc>
        <w:tc>
          <w:tcPr>
            <w:tcW w:type="dxa" w:w="5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color w:val="2C2C2C"/>
                <w:sz w:val="20"/>
                <w:szCs w:val="20"/>
              </w:rPr>
              <w:t xml:space="preserve">Move the full treatment here; keep a 2-line teaser on home.</w:t>
            </w:r>
          </w:p>
        </w:tc>
      </w:tr>
      <w:tr>
        <w:tc>
          <w:tcPr>
            <w:tcW w:type="dxa" w:w="280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b/>
                <w:bCs/>
                <w:color w:val="1B4A3A"/>
                <w:sz w:val="20"/>
                <w:szCs w:val="20"/>
              </w:rPr>
              <w:t xml:space="preserve">How change actually happens (ACT)</w:t>
            </w:r>
          </w:p>
        </w:tc>
        <w:tc>
          <w:tcPr>
            <w:tcW w:type="dxa" w:w="1500"/>
            <w:tcBorders>
              <w:top w:val="single" w:color="CCCCCC" w:sz="1"/>
              <w:left w:val="single" w:color="CCCCCC" w:sz="1"/>
              <w:bottom w:val="single" w:color="CCCCCC" w:sz="1"/>
              <w:right w:val="single" w:color="CCCCCC" w:sz="1"/>
            </w:tcBorders>
            <w:shd w:fill="D4EEEC"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PHILOSOPHY</w:t>
            </w:r>
          </w:p>
        </w:tc>
        <w:tc>
          <w:tcPr>
            <w:tcW w:type="dxa" w:w="506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color w:val="2C2C2C"/>
                <w:sz w:val="20"/>
                <w:szCs w:val="20"/>
              </w:rPr>
              <w:t xml:space="preserve">Framework — belongs with Foundation.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b/>
                <w:bCs/>
                <w:color w:val="1B4A3A"/>
                <w:sz w:val="20"/>
                <w:szCs w:val="20"/>
              </w:rPr>
              <w:t xml:space="preserve">Soul &amp; Story (six levels)</w:t>
            </w:r>
          </w:p>
        </w:tc>
        <w:tc>
          <w:tcPr>
            <w:tcW w:type="dxa" w:w="1500"/>
            <w:tcBorders>
              <w:top w:val="single" w:color="CCCCCC" w:sz="1"/>
              <w:left w:val="single" w:color="CCCCCC" w:sz="1"/>
              <w:bottom w:val="single" w:color="CCCCCC" w:sz="1"/>
              <w:right w:val="single" w:color="CCCCCC" w:sz="1"/>
            </w:tcBorders>
            <w:shd w:fill="D4EEEC"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PHILOSOPHY</w:t>
            </w:r>
          </w:p>
        </w:tc>
        <w:tc>
          <w:tcPr>
            <w:tcW w:type="dxa" w:w="5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color w:val="2C2C2C"/>
                <w:sz w:val="20"/>
                <w:szCs w:val="20"/>
              </w:rPr>
              <w:t xml:space="preserve">Depth material for the curious reader.</w:t>
            </w:r>
          </w:p>
        </w:tc>
      </w:tr>
      <w:tr>
        <w:tc>
          <w:tcPr>
            <w:tcW w:type="dxa" w:w="280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b/>
                <w:bCs/>
                <w:color w:val="1B4A3A"/>
                <w:sz w:val="20"/>
                <w:szCs w:val="20"/>
              </w:rPr>
              <w:t xml:space="preserve">Post-traumatic growth</w:t>
            </w:r>
          </w:p>
        </w:tc>
        <w:tc>
          <w:tcPr>
            <w:tcW w:type="dxa" w:w="1500"/>
            <w:tcBorders>
              <w:top w:val="single" w:color="CCCCCC" w:sz="1"/>
              <w:left w:val="single" w:color="CCCCCC" w:sz="1"/>
              <w:bottom w:val="single" w:color="CCCCCC" w:sz="1"/>
              <w:right w:val="single" w:color="CCCCCC" w:sz="1"/>
            </w:tcBorders>
            <w:shd w:fill="FDF3E0"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BLOG</w:t>
            </w:r>
          </w:p>
        </w:tc>
        <w:tc>
          <w:tcPr>
            <w:tcW w:type="dxa" w:w="506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color w:val="2C2C2C"/>
                <w:sz w:val="20"/>
                <w:szCs w:val="20"/>
              </w:rPr>
              <w:t xml:space="preserve">This is a full article, not a homepage section.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b/>
                <w:bCs/>
                <w:color w:val="1B4A3A"/>
                <w:sz w:val="20"/>
                <w:szCs w:val="20"/>
              </w:rPr>
              <w:t xml:space="preserve">Psychological flexibility deep-dive</w:t>
            </w:r>
          </w:p>
        </w:tc>
        <w:tc>
          <w:tcPr>
            <w:tcW w:type="dxa" w:w="1500"/>
            <w:tcBorders>
              <w:top w:val="single" w:color="CCCCCC" w:sz="1"/>
              <w:left w:val="single" w:color="CCCCCC" w:sz="1"/>
              <w:bottom w:val="single" w:color="CCCCCC" w:sz="1"/>
              <w:right w:val="single" w:color="CCCCCC" w:sz="1"/>
            </w:tcBorders>
            <w:shd w:fill="FDF3E0"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BLOG</w:t>
            </w:r>
          </w:p>
        </w:tc>
        <w:tc>
          <w:tcPr>
            <w:tcW w:type="dxa" w:w="5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color w:val="2C2C2C"/>
                <w:sz w:val="20"/>
                <w:szCs w:val="20"/>
              </w:rPr>
              <w:t xml:space="preserve">Same — article-length material.</w:t>
            </w:r>
          </w:p>
        </w:tc>
      </w:tr>
      <w:tr>
        <w:tc>
          <w:tcPr>
            <w:tcW w:type="dxa" w:w="280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b/>
                <w:bCs/>
                <w:color w:val="1B4A3A"/>
                <w:sz w:val="20"/>
                <w:szCs w:val="20"/>
              </w:rPr>
              <w:t xml:space="preserve">Hayes quote + ACT detail</w:t>
            </w:r>
          </w:p>
        </w:tc>
        <w:tc>
          <w:tcPr>
            <w:tcW w:type="dxa" w:w="1500"/>
            <w:tcBorders>
              <w:top w:val="single" w:color="CCCCCC" w:sz="1"/>
              <w:left w:val="single" w:color="CCCCCC" w:sz="1"/>
              <w:bottom w:val="single" w:color="CCCCCC" w:sz="1"/>
              <w:right w:val="single" w:color="CCCCCC" w:sz="1"/>
            </w:tcBorders>
            <w:shd w:fill="FDF3E0"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BLOG</w:t>
            </w:r>
          </w:p>
        </w:tc>
        <w:tc>
          <w:tcPr>
            <w:tcW w:type="dxa" w:w="506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color w:val="2C2C2C"/>
                <w:sz w:val="20"/>
                <w:szCs w:val="20"/>
              </w:rPr>
              <w:t xml:space="preserve">Lives inside the psychological flexibility post.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b/>
                <w:bCs/>
                <w:color w:val="1B4A3A"/>
                <w:sz w:val="20"/>
                <w:szCs w:val="20"/>
              </w:rPr>
              <w:t xml:space="preserve">Forest Body Activation</w:t>
            </w:r>
          </w:p>
        </w:tc>
        <w:tc>
          <w:tcPr>
            <w:tcW w:type="dxa" w:w="1500"/>
            <w:tcBorders>
              <w:top w:val="single" w:color="CCCCCC" w:sz="1"/>
              <w:left w:val="single" w:color="CCCCCC" w:sz="1"/>
              <w:bottom w:val="single" w:color="CCCCCC" w:sz="1"/>
              <w:right w:val="single" w:color="CCCCCC" w:sz="1"/>
            </w:tcBorders>
            <w:shd w:fill="E2F0E6"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HOME</w:t>
            </w:r>
          </w:p>
        </w:tc>
        <w:tc>
          <w:tcPr>
            <w:tcW w:type="dxa" w:w="5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color w:val="2C2C2C"/>
                <w:sz w:val="20"/>
                <w:szCs w:val="20"/>
              </w:rPr>
              <w:t xml:space="preserve">Keep — this is a lead magnet and conversion tool.</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Resulting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This For You  |  Foundation  |  Work  |  About  |  Connect  |  Begin</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You Belong Here  |  Work With Me  |  About  |  Philosophy  |  Blog  |  Begin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Note the order change: Work With Me moves to position two. Philosophy and Blog move right — they are for the reader who is already leaning in. ‘Begin’ stays as the persistent CTA button.</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New Page Structure</w:t>
      </w:r>
    </w:p>
    <w:p>
      <w:pPr>
        <w:pStyle w:val="ListParagraph"/>
        <w:numPr>
          <w:ilvl w:val="0"/>
          <w:numId w:val="2"/>
        </w:numPr>
        <w:spacing w:after="40" w:before="40"/>
      </w:pPr>
      <w:r>
        <w:rPr>
          <w:rFonts w:ascii="Arial" w:cs="Arial" w:eastAsia="Arial" w:hAnsi="Arial"/>
          <w:b/>
          <w:bCs/>
          <w:color w:val="2C2C2C"/>
          <w:sz w:val="22"/>
          <w:szCs w:val="22"/>
        </w:rPr>
        <w:t xml:space="preserve">/ (home) </w:t>
      </w:r>
      <w:r>
        <w:rPr>
          <w:rFonts w:ascii="Arial" w:cs="Arial" w:eastAsia="Arial" w:hAnsi="Arial"/>
          <w:color w:val="2C2C2C"/>
          <w:sz w:val="22"/>
          <w:szCs w:val="22"/>
        </w:rPr>
        <w:t xml:space="preserve">— Hero, You Belong Here, Permission, Wound &amp; Wildness (short), About (story), Forest Body Activation, Work With Me + pricing, Connect</w:t>
      </w:r>
    </w:p>
    <w:p>
      <w:pPr>
        <w:pStyle w:val="ListParagraph"/>
        <w:numPr>
          <w:ilvl w:val="0"/>
          <w:numId w:val="2"/>
        </w:numPr>
        <w:spacing w:after="40" w:before="40"/>
      </w:pPr>
      <w:r>
        <w:rPr>
          <w:rFonts w:ascii="Arial" w:cs="Arial" w:eastAsia="Arial" w:hAnsi="Arial"/>
          <w:b/>
          <w:bCs/>
          <w:color w:val="2C2C2C"/>
          <w:sz w:val="22"/>
          <w:szCs w:val="22"/>
        </w:rPr>
        <w:t xml:space="preserve">/philosophy </w:t>
      </w:r>
      <w:r>
        <w:rPr>
          <w:rFonts w:ascii="Arial" w:cs="Arial" w:eastAsia="Arial" w:hAnsi="Arial"/>
          <w:color w:val="2C2C2C"/>
          <w:sz w:val="22"/>
          <w:szCs w:val="22"/>
        </w:rPr>
        <w:t xml:space="preserve">— The Foundation (Safety / Regulation / Psychological Flexibility), The relationship is the medicine (full), Soul &amp; Story, brief nervous system regulation primer</w:t>
      </w:r>
    </w:p>
    <w:p>
      <w:pPr>
        <w:pStyle w:val="ListParagraph"/>
        <w:numPr>
          <w:ilvl w:val="0"/>
          <w:numId w:val="2"/>
        </w:numPr>
        <w:spacing w:after="40" w:before="40"/>
      </w:pPr>
      <w:r>
        <w:rPr>
          <w:rFonts w:ascii="Arial" w:cs="Arial" w:eastAsia="Arial" w:hAnsi="Arial"/>
          <w:b/>
          <w:bCs/>
          <w:color w:val="2C2C2C"/>
          <w:sz w:val="22"/>
          <w:szCs w:val="22"/>
        </w:rPr>
        <w:t xml:space="preserve">/blog </w:t>
      </w:r>
      <w:r>
        <w:rPr>
          <w:rFonts w:ascii="Arial" w:cs="Arial" w:eastAsia="Arial" w:hAnsi="Arial"/>
          <w:color w:val="2C2C2C"/>
          <w:sz w:val="22"/>
          <w:szCs w:val="22"/>
        </w:rPr>
        <w:t xml:space="preserve">— Index page. Launch posts: ‘Post-Traumatic Growth’, ‘Psychological Flexibility: How Change Actually Happens’</w:t>
      </w:r>
    </w:p>
    <w:p>
      <w:pPr>
        <w:pStyle w:val="ListParagraph"/>
        <w:numPr>
          <w:ilvl w:val="0"/>
          <w:numId w:val="2"/>
        </w:numPr>
        <w:spacing w:after="40" w:before="40"/>
      </w:pPr>
      <w:r>
        <w:rPr>
          <w:rFonts w:ascii="Arial" w:cs="Arial" w:eastAsia="Arial" w:hAnsi="Arial"/>
          <w:b/>
          <w:bCs/>
          <w:color w:val="2C2C2C"/>
          <w:sz w:val="22"/>
          <w:szCs w:val="22"/>
        </w:rPr>
        <w:t xml:space="preserve">/about </w:t>
      </w:r>
      <w:r>
        <w:rPr>
          <w:rFonts w:ascii="Arial" w:cs="Arial" w:eastAsia="Arial" w:hAnsi="Arial"/>
          <w:color w:val="2C2C2C"/>
          <w:sz w:val="22"/>
          <w:szCs w:val="22"/>
        </w:rPr>
        <w:t xml:space="preserve">— Expanded version of the homepage story section</w:t>
      </w:r>
    </w:p>
    <w:p>
      <w:pPr>
        <w:pStyle w:val="ListParagraph"/>
        <w:numPr>
          <w:ilvl w:val="0"/>
          <w:numId w:val="2"/>
        </w:numPr>
        <w:spacing w:after="40" w:before="40"/>
      </w:pPr>
      <w:r>
        <w:rPr>
          <w:rFonts w:ascii="Arial" w:cs="Arial" w:eastAsia="Arial" w:hAnsi="Arial"/>
          <w:b/>
          <w:bCs/>
          <w:color w:val="2C2C2C"/>
          <w:sz w:val="22"/>
          <w:szCs w:val="22"/>
        </w:rPr>
        <w:t xml:space="preserve">/connect </w:t>
      </w:r>
      <w:r>
        <w:rPr>
          <w:rFonts w:ascii="Arial" w:cs="Arial" w:eastAsia="Arial" w:hAnsi="Arial"/>
          <w:color w:val="2C2C2C"/>
          <w:sz w:val="22"/>
          <w:szCs w:val="22"/>
        </w:rPr>
        <w:t xml:space="preserve">— Consultation booking + form</w:t>
      </w:r>
    </w:p>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F5E0EC" w:val="clear"/>
            <w:tcMar>
              <w:top w:type="dxa" w:w="180"/>
              <w:left w:type="dxa" w:w="240"/>
              <w:bottom w:type="dxa" w:w="180"/>
              <w:right w:type="dxa" w:w="240"/>
            </w:tcMar>
          </w:tcPr>
          <w:p>
            <w:pPr>
              <w:spacing w:after="60" w:before="40"/>
            </w:pPr>
            <w:r>
              <w:rPr>
                <w:rFonts w:ascii="Arial" w:cs="Arial" w:eastAsia="Arial" w:hAnsi="Arial"/>
                <w:b/>
                <w:bCs/>
                <w:color w:val="9B6B7A"/>
                <w:sz w:val="21"/>
                <w:szCs w:val="21"/>
              </w:rPr>
              <w:t xml:space="preserve">SEO — Required Redirects</w:t>
            </w:r>
          </w:p>
          <w:p>
            <w:r>
              <w:rPr>
                <w:rFonts w:ascii="Arial" w:cs="Arial" w:eastAsia="Arial" w:hAnsi="Arial"/>
                <w:color w:val="2C2C2C"/>
                <w:sz w:val="21"/>
                <w:szCs w:val="21"/>
              </w:rPr>
              <w:t xml:space="preserve">301 redirect /the-foundation → /philosophy and /work-with-me → /#work (or keep /work-with-me as an anchor alias). Do not delete old URLs without redirects — search equity will be lost.</w:t>
            </w:r>
          </w:p>
        </w:tc>
      </w:tr>
    </w:tbl>
    <w:p>
      <w:pPr>
        <w:spacing w:after="80" w:before="0"/>
      </w:pPr>
      <w:r>
        <w:t xml:space="preserve"/>
      </w:r>
    </w:p>
    <w:p>
      <w:r>
        <w:br w:type="page"/>
      </w:r>
    </w:p>
    <w:p>
      <w:pPr>
        <w:pStyle w:val="Heading1"/>
        <w:spacing w:after="120" w:before="400"/>
      </w:pPr>
      <w:r>
        <w:rPr>
          <w:rFonts w:ascii="Georgia" w:cs="Georgia" w:eastAsia="Georgia" w:hAnsi="Georgia"/>
          <w:b/>
          <w:bCs/>
          <w:color w:val="1B4A3A"/>
          <w:sz w:val="36"/>
          <w:szCs w:val="36"/>
        </w:rPr>
        <w:t xml:space="preserve">2.  About Section — Her Story, Not Mine</w:t>
      </w:r>
    </w:p>
    <w:p>
      <w:pPr>
        <w:pBdr>
          <w:bottom w:val="single" w:color="C8922A" w:sz="6" w:space="1"/>
        </w:pBdr>
        <w:spacing w:after="120" w:before="80"/>
      </w:pPr>
      <w:r>
        <w:t xml:space="preserve"/>
      </w:r>
    </w:p>
    <w:p>
      <w:pPr>
        <w:spacing w:after="80" w:before="60"/>
      </w:pPr>
      <w:r>
        <w:rPr>
          <w:rFonts w:ascii="Arial" w:cs="Arial" w:eastAsia="Arial" w:hAnsi="Arial"/>
          <w:i w:val="false"/>
          <w:iCs w:val="false"/>
          <w:color w:val="2C2C2C"/>
          <w:sz w:val="22"/>
          <w:szCs w:val="22"/>
        </w:rPr>
        <w:t xml:space="preserve">The current About section is a credential summary. It should be a story — one where she recognizes herself as the heroine, and understands within seconds that she is in the hands of someone with 22 years of clinical depth who is ready to help her right now.</w:t>
      </w:r>
    </w:p>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Section Eyebrow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About Alexis</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You are the heroine of this story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The eyebrow itself does the work of relocating her at the center.</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Section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22 years of clinical depth, held in a wider field of soul, nature, and becoming.</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22 years of clinical depth — in service of your becoming.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The current headline is about Alexis. The new one is about what those 22 years are FOR. Same credential, entirely different center of gravity.</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Full Replacement Copy — Homepage About Section</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DE6DA" w:val="clear"/>
            <w:tcMar>
              <w:top w:type="dxa" w:w="180"/>
              <w:left w:type="dxa" w:w="240"/>
              <w:bottom w:type="dxa" w:w="180"/>
              <w:right w:type="dxa" w:w="240"/>
            </w:tcMar>
          </w:tcPr>
          <w:p>
            <w:pPr>
              <w:spacing w:after="80" w:before="40"/>
            </w:pPr>
            <w:r>
              <w:rPr>
                <w:rFonts w:ascii="Arial" w:cs="Arial" w:eastAsia="Arial" w:hAnsi="Arial"/>
                <w:b/>
                <w:bCs/>
                <w:color w:val="C8922A"/>
                <w:sz w:val="21"/>
                <w:szCs w:val="21"/>
              </w:rPr>
              <w:t xml:space="preserve">USE EXACTLY AS WRITTEN:</w:t>
            </w:r>
          </w:p>
          <w:p>
            <w:pPr>
              <w:spacing w:after="70" w:before="0"/>
            </w:pPr>
            <w:r>
              <w:rPr>
                <w:rFonts w:ascii="Georgia" w:cs="Georgia" w:eastAsia="Georgia" w:hAnsi="Georgia"/>
                <w:i/>
                <w:iCs/>
                <w:color w:val="1B4A3A"/>
                <w:sz w:val="26"/>
                <w:szCs w:val="26"/>
              </w:rPr>
              <w:t xml:space="preserve">I am so glad you are here.</w:t>
            </w:r>
          </w:p>
          <w:p>
            <w:pPr>
              <w:spacing w:after="70" w:before="0"/>
            </w:pPr>
            <w:r>
              <w:rPr>
                <w:rFonts w:ascii="Arial" w:cs="Arial" w:eastAsia="Arial" w:hAnsi="Arial"/>
                <w:color w:val="2C2C2C"/>
                <w:sz w:val="22"/>
                <w:szCs w:val="22"/>
              </w:rPr>
              <w:t xml:space="preserve">You have probably been carrying this for a while. The sense that something in you is waiting. That you have done the work, read the books, made the progress — and still, something deeper is calling and you are not sure how to answer it.</w:t>
            </w:r>
          </w:p>
          <w:p>
            <w:pPr>
              <w:spacing w:after="70" w:before="0"/>
            </w:pPr>
            <w:r>
              <w:rPr>
                <w:rFonts w:ascii="Arial" w:cs="Arial" w:eastAsia="Arial" w:hAnsi="Arial"/>
                <w:color w:val="2C2C2C"/>
                <w:sz w:val="22"/>
                <w:szCs w:val="22"/>
              </w:rPr>
              <w:t xml:space="preserve">I have spent 22 years sitting with people at exactly this threshold. Nearly two decades of that was with foster youth and families — people whose nervous systems had been shaped by profound rupture, who found their way back to themselves against real odds. They taught me what I now know for certain: the resilience and courage you need is already in you. It reveals itself when it is met with unconditional acceptance, kindness, curiosity, and respect.</w:t>
            </w:r>
          </w:p>
          <w:p>
            <w:pPr>
              <w:spacing w:after="70" w:before="0"/>
            </w:pPr>
            <w:r>
              <w:rPr>
                <w:rFonts w:ascii="Arial" w:cs="Arial" w:eastAsia="Arial" w:hAnsi="Arial"/>
                <w:color w:val="2C2C2C"/>
                <w:sz w:val="22"/>
                <w:szCs w:val="22"/>
              </w:rPr>
              <w:t xml:space="preserve">That is what I am here to offer you. Not a technique applied to you. A relationship built with you — grounded in 22 years of trauma-informed clinical training and depth, and offered in service of one thing: your transformation.</w:t>
            </w:r>
          </w:p>
          <w:p>
            <w:pPr>
              <w:spacing w:after="70" w:before="0"/>
            </w:pPr>
            <w:r>
              <w:rPr>
                <w:rFonts w:ascii="Arial" w:cs="Arial" w:eastAsia="Arial" w:hAnsi="Arial"/>
                <w:color w:val="2C2C2C"/>
                <w:sz w:val="22"/>
                <w:szCs w:val="22"/>
              </w:rPr>
              <w:t xml:space="preserve">I know what it is to feel overwhelmed and far from yourself. I also know the particular quality of arriving home. I work somatically because I have felt in my own body what it means to move from dysregulation to ground. I bring in the natural world because it has been my most reliable co-regulator. And I hold space for the spiritual and the mystical alongside the psychological, because I have found the deepest healing happens when all of you is welcome in the room.</w:t>
            </w:r>
          </w:p>
          <w:p>
            <w:r>
              <w:rPr>
                <w:rFonts w:ascii="Arial" w:cs="Arial" w:eastAsia="Arial" w:hAnsi="Arial"/>
                <w:i/>
                <w:iCs/>
                <w:color w:val="1B4A3A"/>
                <w:sz w:val="22"/>
                <w:szCs w:val="22"/>
              </w:rPr>
              <w:t xml:space="preserve">You are the heroine of this story. I am simply the guide who has walked this territory before — and who is ready, right now, to walk it with you.</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Add Credential Strip Beneath the Story</w:t>
      </w:r>
    </w:p>
    <w:p>
      <w:pPr>
        <w:spacing w:after="80" w:before="60"/>
      </w:pPr>
      <w:r>
        <w:rPr>
          <w:rFonts w:ascii="Arial" w:cs="Arial" w:eastAsia="Arial" w:hAnsi="Arial"/>
          <w:i w:val="false"/>
          <w:iCs w:val="false"/>
          <w:color w:val="2C2C2C"/>
          <w:sz w:val="22"/>
          <w:szCs w:val="22"/>
        </w:rPr>
        <w:t xml:space="preserve">A visually distinct strip — small type, sage or gold, single line if it fits. This carries the quality signal without interrupting the emotional register of the story above it.</w:t>
      </w:r>
    </w:p>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2F0E6" w:val="clear"/>
            <w:tcMar>
              <w:top w:type="dxa" w:w="180"/>
              <w:left w:type="dxa" w:w="240"/>
              <w:bottom w:type="dxa" w:w="180"/>
              <w:right w:type="dxa" w:w="240"/>
            </w:tcMar>
          </w:tcPr>
          <w:p>
            <w:pPr>
              <w:spacing w:after="40" w:before="40"/>
              <w:jc w:val="center"/>
            </w:pPr>
            <w:r>
              <w:rPr>
                <w:rFonts w:ascii="Arial" w:cs="Arial" w:eastAsia="Arial" w:hAnsi="Arial"/>
                <w:b/>
                <w:bCs/>
                <w:color w:val="4A7C59"/>
                <w:sz w:val="20"/>
                <w:szCs w:val="20"/>
              </w:rPr>
              <w:t xml:space="preserve">22 years clinical experience  ·  Trauma-informed  ·  Somatic &amp; nature-based  ·  California LMFT background</w:t>
            </w:r>
          </w:p>
          <w:p>
            <w:pPr>
              <w:jc w:val="center"/>
            </w:pPr>
            <w:r>
              <w:rPr>
                <w:rFonts w:ascii="Arial" w:cs="Arial" w:eastAsia="Arial" w:hAnsi="Arial"/>
                <w:color w:val="6B6B6B"/>
                <w:sz w:val="19"/>
                <w:szCs w:val="19"/>
              </w:rPr>
              <w:t xml:space="preserve">Currently based on the Pacific coast of Costa Rica · Serving clients globally via telehealth</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CTA Directly Beneath About</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FDF3E0" w:val="clear"/>
            <w:tcMar>
              <w:top w:type="dxa" w:w="180"/>
              <w:left w:type="dxa" w:w="240"/>
              <w:bottom w:type="dxa" w:w="180"/>
              <w:right w:type="dxa" w:w="240"/>
            </w:tcMar>
          </w:tcPr>
          <w:p>
            <w:pPr>
              <w:spacing w:after="60" w:before="40"/>
            </w:pPr>
            <w:r>
              <w:rPr>
                <w:rFonts w:ascii="Arial" w:cs="Arial" w:eastAsia="Arial" w:hAnsi="Arial"/>
                <w:b/>
                <w:bCs/>
                <w:color w:val="C8922A"/>
                <w:sz w:val="21"/>
                <w:szCs w:val="21"/>
              </w:rPr>
              <w:t xml:space="preserve">ADD a button immediately below the About section:</w:t>
            </w:r>
          </w:p>
          <w:p>
            <w:pPr>
              <w:jc w:val="center"/>
            </w:pPr>
            <w:r>
              <w:rPr>
                <w:rFonts w:ascii="Arial" w:cs="Arial" w:eastAsia="Arial" w:hAnsi="Arial"/>
                <w:b/>
                <w:bCs/>
                <w:color w:val="1B4A3A"/>
                <w:sz w:val="22"/>
                <w:szCs w:val="22"/>
              </w:rPr>
              <w:t xml:space="preserve">[  Let’s Begin — Free 20-Minute Consultation  ]</w:t>
            </w:r>
          </w:p>
        </w:tc>
      </w:tr>
    </w:tbl>
    <w:p>
      <w:pPr>
        <w:spacing w:after="80" w:before="0"/>
      </w:pPr>
      <w:r>
        <w:t xml:space="preserve"/>
      </w:r>
    </w:p>
    <w:p>
      <w:r>
        <w:br w:type="page"/>
      </w:r>
    </w:p>
    <w:p>
      <w:pPr>
        <w:pStyle w:val="Heading1"/>
        <w:spacing w:after="120" w:before="400"/>
      </w:pPr>
      <w:r>
        <w:rPr>
          <w:rFonts w:ascii="Georgia" w:cs="Georgia" w:eastAsia="Georgia" w:hAnsi="Georgia"/>
          <w:b/>
          <w:bCs/>
          <w:color w:val="1B4A3A"/>
          <w:sz w:val="36"/>
          <w:szCs w:val="36"/>
        </w:rPr>
        <w:t xml:space="preserve">3.  “Therapeutic Guidance” — Language Strategy</w:t>
      </w:r>
    </w:p>
    <w:p>
      <w:pPr>
        <w:pBdr>
          <w:bottom w:val="single" w:color="4A7C59" w:sz="6" w:space="1"/>
        </w:pBdr>
        <w:spacing w:after="120" w:before="80"/>
      </w:pPr>
      <w:r>
        <w:t xml:space="preserve"/>
      </w:r>
    </w:p>
    <w:p>
      <w:pPr>
        <w:spacing w:after="80" w:before="60"/>
      </w:pPr>
      <w:r>
        <w:rPr>
          <w:rFonts w:ascii="Arial" w:cs="Arial" w:eastAsia="Arial" w:hAnsi="Arial"/>
          <w:i w:val="false"/>
          <w:iCs w:val="false"/>
          <w:color w:val="2C2C2C"/>
          <w:sz w:val="22"/>
          <w:szCs w:val="22"/>
        </w:rPr>
        <w:t xml:space="preserve">You want visitors to understand immediately that this is high-quality, clinically-grounded therapeutic support — while remaining accurate that it is not therapy. This is achievable and legally sound. The key is describing the QUALITY and the FOUNDATION rather than claiming the regulated service.</w:t>
      </w:r>
    </w:p>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The Distinction That Protects You</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2F0E6" w:val="clear"/>
            <w:tcMar>
              <w:top w:type="dxa" w:w="180"/>
              <w:left w:type="dxa" w:w="240"/>
              <w:bottom w:type="dxa" w:w="180"/>
              <w:right w:type="dxa" w:w="240"/>
            </w:tcMar>
          </w:tcPr>
          <w:p>
            <w:pPr>
              <w:spacing w:after="70" w:before="40"/>
            </w:pPr>
            <w:r>
              <w:rPr>
                <w:rFonts w:ascii="Arial" w:cs="Arial" w:eastAsia="Arial" w:hAnsi="Arial"/>
                <w:b/>
                <w:bCs/>
                <w:color w:val="4A7C59"/>
                <w:sz w:val="21"/>
                <w:szCs w:val="21"/>
              </w:rPr>
              <w:t xml:space="preserve">SAFE — describes training, depth, quality, and approach:</w:t>
            </w:r>
          </w:p>
          <w:p>
            <w:pPr>
              <w:pStyle w:val="ListParagraph"/>
              <w:numPr>
                <w:ilvl w:val="0"/>
                <w:numId w:val="2"/>
              </w:numPr>
              <w:spacing w:after="30" w:before="30"/>
            </w:pPr>
            <w:r>
              <w:rPr>
                <w:rFonts w:ascii="Arial" w:cs="Arial" w:eastAsia="Arial" w:hAnsi="Arial"/>
                <w:color w:val="2C2C2C"/>
                <w:sz w:val="21"/>
                <w:szCs w:val="21"/>
              </w:rPr>
              <w:t xml:space="preserve">“trauma-informed transformational guidance”</w:t>
            </w:r>
          </w:p>
          <w:p>
            <w:pPr>
              <w:pStyle w:val="ListParagraph"/>
              <w:numPr>
                <w:ilvl w:val="0"/>
                <w:numId w:val="2"/>
              </w:numPr>
              <w:spacing w:after="30" w:before="30"/>
            </w:pPr>
            <w:r>
              <w:rPr>
                <w:rFonts w:ascii="Arial" w:cs="Arial" w:eastAsia="Arial" w:hAnsi="Arial"/>
                <w:color w:val="2C2C2C"/>
                <w:sz w:val="21"/>
                <w:szCs w:val="21"/>
              </w:rPr>
              <w:t xml:space="preserve">“grounded in 22 years of clinical training and depth”</w:t>
            </w:r>
          </w:p>
          <w:p>
            <w:pPr>
              <w:pStyle w:val="ListParagraph"/>
              <w:numPr>
                <w:ilvl w:val="0"/>
                <w:numId w:val="2"/>
              </w:numPr>
              <w:spacing w:after="30" w:before="30"/>
            </w:pPr>
            <w:r>
              <w:rPr>
                <w:rFonts w:ascii="Arial" w:cs="Arial" w:eastAsia="Arial" w:hAnsi="Arial"/>
                <w:color w:val="2C2C2C"/>
                <w:sz w:val="21"/>
                <w:szCs w:val="21"/>
              </w:rPr>
              <w:t xml:space="preserve">“therapeutically informed”</w:t>
            </w:r>
          </w:p>
          <w:p>
            <w:pPr>
              <w:pStyle w:val="ListParagraph"/>
              <w:numPr>
                <w:ilvl w:val="0"/>
                <w:numId w:val="2"/>
              </w:numPr>
              <w:spacing w:after="30" w:before="30"/>
            </w:pPr>
            <w:r>
              <w:rPr>
                <w:rFonts w:ascii="Arial" w:cs="Arial" w:eastAsia="Arial" w:hAnsi="Arial"/>
                <w:color w:val="2C2C2C"/>
                <w:sz w:val="21"/>
                <w:szCs w:val="21"/>
              </w:rPr>
              <w:t xml:space="preserve">“clinical depth in service of your transformation”</w:t>
            </w:r>
          </w:p>
          <w:p>
            <w:pPr>
              <w:pStyle w:val="ListParagraph"/>
              <w:numPr>
                <w:ilvl w:val="0"/>
                <w:numId w:val="2"/>
              </w:numPr>
              <w:spacing w:after="30" w:before="30"/>
            </w:pPr>
            <w:r>
              <w:rPr>
                <w:rFonts w:ascii="Arial" w:cs="Arial" w:eastAsia="Arial" w:hAnsi="Arial"/>
                <w:color w:val="2C2C2C"/>
                <w:sz w:val="21"/>
                <w:szCs w:val="21"/>
              </w:rPr>
              <w:t xml:space="preserve">“the depth of clinical training, offered in a different container”</w:t>
            </w:r>
          </w:p>
          <w:p>
            <w:pPr>
              <w:pStyle w:val="ListParagraph"/>
              <w:numPr>
                <w:ilvl w:val="0"/>
                <w:numId w:val="2"/>
              </w:numPr>
              <w:spacing w:after="30" w:before="30"/>
            </w:pPr>
            <w:r>
              <w:rPr>
                <w:rFonts w:ascii="Arial" w:cs="Arial" w:eastAsia="Arial" w:hAnsi="Arial"/>
                <w:color w:val="2C2C2C"/>
                <w:sz w:val="21"/>
                <w:szCs w:val="21"/>
              </w:rPr>
              <w:t xml:space="preserve">“backed by 22 years of trauma-informed clinical experience”</w:t>
            </w:r>
          </w:p>
        </w:tc>
      </w:tr>
    </w:tbl>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FDECEA" w:val="clear"/>
            <w:tcMar>
              <w:top w:type="dxa" w:w="180"/>
              <w:left w:type="dxa" w:w="240"/>
              <w:bottom w:type="dxa" w:w="180"/>
              <w:right w:type="dxa" w:w="240"/>
            </w:tcMar>
          </w:tcPr>
          <w:p>
            <w:pPr>
              <w:spacing w:after="70" w:before="40"/>
            </w:pPr>
            <w:r>
              <w:rPr>
                <w:rFonts w:ascii="Arial" w:cs="Arial" w:eastAsia="Arial" w:hAnsi="Arial"/>
                <w:b/>
                <w:bCs/>
                <w:color w:val="B03030"/>
                <w:sz w:val="21"/>
                <w:szCs w:val="21"/>
              </w:rPr>
              <w:t xml:space="preserve">AVOID — claims or implies the regulated service:</w:t>
            </w:r>
          </w:p>
          <w:p>
            <w:pPr>
              <w:pStyle w:val="ListParagraph"/>
              <w:numPr>
                <w:ilvl w:val="0"/>
                <w:numId w:val="2"/>
              </w:numPr>
              <w:spacing w:after="30" w:before="30"/>
            </w:pPr>
            <w:r>
              <w:rPr>
                <w:rFonts w:ascii="Arial" w:cs="Arial" w:eastAsia="Arial" w:hAnsi="Arial"/>
                <w:color w:val="2C2C2C"/>
                <w:sz w:val="21"/>
                <w:szCs w:val="21"/>
              </w:rPr>
              <w:t xml:space="preserve">“I provide therapy” / “therapeutic services” / “treatment”</w:t>
            </w:r>
          </w:p>
          <w:p>
            <w:pPr>
              <w:pStyle w:val="ListParagraph"/>
              <w:numPr>
                <w:ilvl w:val="0"/>
                <w:numId w:val="2"/>
              </w:numPr>
              <w:spacing w:after="30" w:before="30"/>
            </w:pPr>
            <w:r>
              <w:rPr>
                <w:rFonts w:ascii="Arial" w:cs="Arial" w:eastAsia="Arial" w:hAnsi="Arial"/>
                <w:color w:val="2C2C2C"/>
                <w:sz w:val="21"/>
                <w:szCs w:val="21"/>
              </w:rPr>
              <w:t xml:space="preserve">“As your therapist…”</w:t>
            </w:r>
          </w:p>
          <w:p>
            <w:pPr>
              <w:pStyle w:val="ListParagraph"/>
              <w:numPr>
                <w:ilvl w:val="0"/>
                <w:numId w:val="2"/>
              </w:numPr>
              <w:spacing w:after="30" w:before="30"/>
            </w:pPr>
            <w:r>
              <w:rPr>
                <w:rFonts w:ascii="Arial" w:cs="Arial" w:eastAsia="Arial" w:hAnsi="Arial"/>
                <w:color w:val="2C2C2C"/>
                <w:sz w:val="21"/>
                <w:szCs w:val="21"/>
              </w:rPr>
              <w:t xml:space="preserve">“Therapy sessions” or “clinical sessions” as the name of the offering</w:t>
            </w:r>
          </w:p>
          <w:p>
            <w:pPr>
              <w:pStyle w:val="ListParagraph"/>
              <w:numPr>
                <w:ilvl w:val="0"/>
                <w:numId w:val="2"/>
              </w:numPr>
              <w:spacing w:after="30" w:before="30"/>
            </w:pPr>
            <w:r>
              <w:rPr>
                <w:rFonts w:ascii="Arial" w:cs="Arial" w:eastAsia="Arial" w:hAnsi="Arial"/>
                <w:color w:val="2C2C2C"/>
                <w:sz w:val="21"/>
                <w:szCs w:val="21"/>
              </w:rPr>
              <w:t xml:space="preserve">Any language suggesting diagnosis, treatment, or a therapeutic relationship</w:t>
            </w:r>
          </w:p>
        </w:tc>
      </w:tr>
    </w:tbl>
    <w:p>
      <w:pPr>
        <w:spacing w:after="80" w:before="0"/>
      </w:pPr>
      <w:r>
        <w:t xml:space="preserve"/>
      </w:r>
    </w:p>
    <w:p>
      <w:pPr>
        <w:spacing w:after="80" w:before="60"/>
      </w:pPr>
      <w:r>
        <w:rPr>
          <w:rFonts w:ascii="Arial" w:cs="Arial" w:eastAsia="Arial" w:hAnsi="Arial"/>
          <w:i/>
          <w:iCs/>
          <w:color w:val="2C2C2C"/>
          <w:sz w:val="22"/>
          <w:szCs w:val="22"/>
        </w:rPr>
        <w:t xml:space="preserve">Note the difference: ‘therapeutically informed’ and ‘trauma-informed’ describe HOW the work is shaped. ‘Therapy’ names a regulated service. The first is a description of quality; the second is a claim of scope. Keep the existing footer disclaimer exactly as it is — it is doing important work.</w:t>
      </w:r>
    </w:p>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Where to Add This Language</w:t>
      </w:r>
    </w:p>
    <w:p>
      <w:pPr>
        <w:pStyle w:val="ListParagraph"/>
        <w:numPr>
          <w:ilvl w:val="0"/>
          <w:numId w:val="2"/>
        </w:numPr>
        <w:spacing w:after="40" w:before="40"/>
      </w:pPr>
      <w:r>
        <w:rPr>
          <w:rFonts w:ascii="Arial" w:cs="Arial" w:eastAsia="Arial" w:hAnsi="Arial"/>
          <w:b/>
          <w:bCs/>
          <w:color w:val="2C2C2C"/>
          <w:sz w:val="22"/>
          <w:szCs w:val="22"/>
        </w:rPr>
        <w:t xml:space="preserve">Hero eyebrow: </w:t>
      </w:r>
      <w:r>
        <w:rPr>
          <w:rFonts w:ascii="Arial" w:cs="Arial" w:eastAsia="Arial" w:hAnsi="Arial"/>
          <w:color w:val="2C2C2C"/>
          <w:sz w:val="22"/>
          <w:szCs w:val="22"/>
        </w:rPr>
        <w:t xml:space="preserve">“Trauma-Informed Transformational Guidance &amp; Healing” (per Part One)</w:t>
      </w:r>
    </w:p>
    <w:p>
      <w:pPr>
        <w:pStyle w:val="ListParagraph"/>
        <w:numPr>
          <w:ilvl w:val="0"/>
          <w:numId w:val="2"/>
        </w:numPr>
        <w:spacing w:after="40" w:before="40"/>
      </w:pPr>
      <w:r>
        <w:rPr>
          <w:rFonts w:ascii="Arial" w:cs="Arial" w:eastAsia="Arial" w:hAnsi="Arial"/>
          <w:b/>
          <w:bCs/>
          <w:color w:val="2C2C2C"/>
          <w:sz w:val="22"/>
          <w:szCs w:val="22"/>
        </w:rPr>
        <w:t xml:space="preserve">Positioning line: </w:t>
      </w:r>
      <w:r>
        <w:rPr>
          <w:rFonts w:ascii="Arial" w:cs="Arial" w:eastAsia="Arial" w:hAnsi="Arial"/>
          <w:color w:val="2C2C2C"/>
          <w:sz w:val="22"/>
          <w:szCs w:val="22"/>
        </w:rPr>
        <w:t xml:space="preserve">add “backed by 22 years of clinical depth”</w:t>
      </w:r>
    </w:p>
    <w:p>
      <w:pPr>
        <w:pStyle w:val="ListParagraph"/>
        <w:numPr>
          <w:ilvl w:val="0"/>
          <w:numId w:val="2"/>
        </w:numPr>
        <w:spacing w:after="40" w:before="40"/>
      </w:pPr>
      <w:r>
        <w:rPr>
          <w:rFonts w:ascii="Arial" w:cs="Arial" w:eastAsia="Arial" w:hAnsi="Arial"/>
          <w:b/>
          <w:bCs/>
          <w:color w:val="2C2C2C"/>
          <w:sz w:val="22"/>
          <w:szCs w:val="22"/>
        </w:rPr>
        <w:t xml:space="preserve">About section: </w:t>
      </w:r>
      <w:r>
        <w:rPr>
          <w:rFonts w:ascii="Arial" w:cs="Arial" w:eastAsia="Arial" w:hAnsi="Arial"/>
          <w:color w:val="2C2C2C"/>
          <w:sz w:val="22"/>
          <w:szCs w:val="22"/>
        </w:rPr>
        <w:t xml:space="preserve">“grounded in 22 years of trauma-informed clinical training and depth” (already in the copy above)</w:t>
      </w:r>
    </w:p>
    <w:p>
      <w:pPr>
        <w:pStyle w:val="ListParagraph"/>
        <w:numPr>
          <w:ilvl w:val="0"/>
          <w:numId w:val="2"/>
        </w:numPr>
        <w:spacing w:after="40" w:before="40"/>
      </w:pPr>
      <w:r>
        <w:rPr>
          <w:rFonts w:ascii="Arial" w:cs="Arial" w:eastAsia="Arial" w:hAnsi="Arial"/>
          <w:b/>
          <w:bCs/>
          <w:color w:val="2C2C2C"/>
          <w:sz w:val="22"/>
          <w:szCs w:val="22"/>
        </w:rPr>
        <w:t xml:space="preserve">Credential strip: </w:t>
      </w:r>
      <w:r>
        <w:rPr>
          <w:rFonts w:ascii="Arial" w:cs="Arial" w:eastAsia="Arial" w:hAnsi="Arial"/>
          <w:color w:val="2C2C2C"/>
          <w:sz w:val="22"/>
          <w:szCs w:val="22"/>
        </w:rPr>
        <w:t xml:space="preserve">“Trauma-informed” appears explicitly</w:t>
      </w:r>
    </w:p>
    <w:p>
      <w:pPr>
        <w:pStyle w:val="ListParagraph"/>
        <w:numPr>
          <w:ilvl w:val="0"/>
          <w:numId w:val="2"/>
        </w:numPr>
        <w:spacing w:after="40" w:before="40"/>
      </w:pPr>
      <w:r>
        <w:rPr>
          <w:rFonts w:ascii="Arial" w:cs="Arial" w:eastAsia="Arial" w:hAnsi="Arial"/>
          <w:b/>
          <w:bCs/>
          <w:color w:val="2C2C2C"/>
          <w:sz w:val="22"/>
          <w:szCs w:val="22"/>
        </w:rPr>
        <w:t xml:space="preserve">Work With Me intro: </w:t>
      </w:r>
      <w:r>
        <w:rPr>
          <w:rFonts w:ascii="Arial" w:cs="Arial" w:eastAsia="Arial" w:hAnsi="Arial"/>
          <w:color w:val="2C2C2C"/>
          <w:sz w:val="22"/>
          <w:szCs w:val="22"/>
        </w:rPr>
        <w:t xml:space="preserve">“The depth of 22 years of clinical training, offered in a container built for transformation”</w:t>
      </w:r>
    </w:p>
    <w:p>
      <w:pPr>
        <w:spacing w:after="80" w:before="0"/>
      </w:pPr>
      <w:r>
        <w:t xml:space="preserve"/>
      </w:r>
    </w:p>
    <w:p>
      <w:r>
        <w:br w:type="page"/>
      </w:r>
    </w:p>
    <w:p>
      <w:pPr>
        <w:pStyle w:val="Heading1"/>
        <w:spacing w:after="120" w:before="400"/>
      </w:pPr>
      <w:r>
        <w:rPr>
          <w:rFonts w:ascii="Georgia" w:cs="Georgia" w:eastAsia="Georgia" w:hAnsi="Georgia"/>
          <w:b/>
          <w:bCs/>
          <w:color w:val="1B4A3A"/>
          <w:sz w:val="36"/>
          <w:szCs w:val="36"/>
        </w:rPr>
        <w:t xml:space="preserve">4.  Work With Me — One Offering, Not Three</w:t>
      </w:r>
    </w:p>
    <w:p>
      <w:pPr>
        <w:pBdr>
          <w:bottom w:val="single" w:color="1B4A3A" w:sz="6" w:space="1"/>
        </w:pBdr>
        <w:spacing w:after="120" w:before="80"/>
      </w:pPr>
      <w:r>
        <w:t xml:space="preserve"/>
      </w:r>
    </w:p>
    <w:p>
      <w:pPr>
        <w:spacing w:after="80" w:before="60"/>
      </w:pPr>
      <w:r>
        <w:rPr>
          <w:rFonts w:ascii="Arial" w:cs="Arial" w:eastAsia="Arial" w:hAnsi="Arial"/>
          <w:i w:val="false"/>
          <w:iCs w:val="false"/>
          <w:color w:val="2C2C2C"/>
          <w:sz w:val="22"/>
          <w:szCs w:val="22"/>
        </w:rPr>
        <w:t xml:space="preserve">Currently Transformational Guidance, Somatic Depth Work, and Nature-Based Sessions are presented as three separate offerings. They are not three things — they are one integrated approach. Three options force a decision she is not equipped to make; one offering with a clear next step converts.</w:t>
      </w:r>
    </w:p>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The Consolidated Offering — Full Copy</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DE6DA" w:val="clear"/>
            <w:tcMar>
              <w:top w:type="dxa" w:w="180"/>
              <w:left w:type="dxa" w:w="240"/>
              <w:bottom w:type="dxa" w:w="180"/>
              <w:right w:type="dxa" w:w="240"/>
            </w:tcMar>
          </w:tcPr>
          <w:p>
            <w:pPr>
              <w:spacing w:after="70" w:before="40"/>
            </w:pPr>
            <w:r>
              <w:rPr>
                <w:rFonts w:ascii="Georgia" w:cs="Georgia" w:eastAsia="Georgia" w:hAnsi="Georgia"/>
                <w:b/>
                <w:bCs/>
                <w:color w:val="1B4A3A"/>
                <w:sz w:val="30"/>
                <w:szCs w:val="30"/>
              </w:rPr>
              <w:t xml:space="preserve">Transformational Guidance</w:t>
            </w:r>
          </w:p>
          <w:p>
            <w:pPr>
              <w:spacing w:after="70" w:before="0"/>
            </w:pPr>
            <w:r>
              <w:rPr>
                <w:rFonts w:ascii="Georgia" w:cs="Georgia" w:eastAsia="Georgia" w:hAnsi="Georgia"/>
                <w:i/>
                <w:iCs/>
                <w:color w:val="6B6B6B"/>
                <w:sz w:val="22"/>
                <w:szCs w:val="22"/>
              </w:rPr>
              <w:t xml:space="preserve">One-on-one work for the threshold you are standing in.</w:t>
            </w:r>
          </w:p>
          <w:p>
            <w:pPr>
              <w:spacing w:after="70" w:before="0"/>
            </w:pPr>
            <w:r>
              <w:rPr>
                <w:rFonts w:ascii="Arial" w:cs="Arial" w:eastAsia="Arial" w:hAnsi="Arial"/>
                <w:color w:val="2C2C2C"/>
                <w:sz w:val="22"/>
                <w:szCs w:val="22"/>
              </w:rPr>
              <w:t xml:space="preserve">Sustained, integrative work that weaves together the somatic, the psychological, the spiritual, and the natural world — grounded in 22 years of trauma-informed clinical depth and offered in service of your transformation.</w:t>
            </w:r>
          </w:p>
          <w:p>
            <w:pPr>
              <w:spacing w:after="40" w:before="0"/>
            </w:pPr>
            <w:r>
              <w:rPr>
                <w:rFonts w:ascii="Arial" w:cs="Arial" w:eastAsia="Arial" w:hAnsi="Arial"/>
                <w:color w:val="2C2C2C"/>
                <w:sz w:val="22"/>
                <w:szCs w:val="22"/>
              </w:rPr>
              <w:t xml:space="preserve">Every relationship is built to fit you. Depending on what you need, our work together may include:</w:t>
            </w:r>
          </w:p>
          <w:p>
            <w:pPr>
              <w:pStyle w:val="ListParagraph"/>
              <w:numPr>
                <w:ilvl w:val="0"/>
                <w:numId w:val="2"/>
              </w:numPr>
              <w:spacing w:after="40" w:before="40"/>
            </w:pPr>
            <w:r>
              <w:rPr>
                <w:rFonts w:ascii="Arial" w:cs="Arial" w:eastAsia="Arial" w:hAnsi="Arial"/>
                <w:color w:val="2C2C2C"/>
                <w:sz w:val="21"/>
                <w:szCs w:val="21"/>
              </w:rPr>
              <w:t xml:space="preserve">Somatic depth work — slow, precise sessions with the body and nervous system, where insight becomes lived capacity rather than an idea</w:t>
            </w:r>
          </w:p>
          <w:p>
            <w:pPr>
              <w:pStyle w:val="ListParagraph"/>
              <w:numPr>
                <w:ilvl w:val="0"/>
                <w:numId w:val="2"/>
              </w:numPr>
              <w:spacing w:after="40" w:before="40"/>
            </w:pPr>
            <w:r>
              <w:rPr>
                <w:rFonts w:ascii="Arial" w:cs="Arial" w:eastAsia="Arial" w:hAnsi="Arial"/>
                <w:color w:val="2C2C2C"/>
                <w:sz w:val="21"/>
                <w:szCs w:val="21"/>
              </w:rPr>
              <w:t xml:space="preserve">Nervous system regulation — building the felt experience of safety, from wherever you are starting</w:t>
            </w:r>
          </w:p>
          <w:p>
            <w:pPr>
              <w:pStyle w:val="ListParagraph"/>
              <w:numPr>
                <w:ilvl w:val="0"/>
                <w:numId w:val="2"/>
              </w:numPr>
              <w:spacing w:after="40" w:before="40"/>
            </w:pPr>
            <w:r>
              <w:rPr>
                <w:rFonts w:ascii="Arial" w:cs="Arial" w:eastAsia="Arial" w:hAnsi="Arial"/>
                <w:color w:val="2C2C2C"/>
                <w:sz w:val="21"/>
                <w:szCs w:val="21"/>
              </w:rPr>
              <w:t xml:space="preserve">Psychological flexibility — learning to move toward what matters while difficulty is still present</w:t>
            </w:r>
          </w:p>
          <w:p>
            <w:pPr>
              <w:pStyle w:val="ListParagraph"/>
              <w:numPr>
                <w:ilvl w:val="0"/>
                <w:numId w:val="2"/>
              </w:numPr>
              <w:spacing w:after="40" w:before="40"/>
            </w:pPr>
            <w:r>
              <w:rPr>
                <w:rFonts w:ascii="Arial" w:cs="Arial" w:eastAsia="Arial" w:hAnsi="Arial"/>
                <w:color w:val="2C2C2C"/>
                <w:sz w:val="21"/>
                <w:szCs w:val="21"/>
              </w:rPr>
              <w:t xml:space="preserve">Nature-based sessions — available in person on the Pacific coast of Costa Rica, where the natural world becomes co-regulator</w:t>
            </w:r>
          </w:p>
          <w:p>
            <w:pPr>
              <w:pStyle w:val="ListParagraph"/>
              <w:numPr>
                <w:ilvl w:val="0"/>
                <w:numId w:val="2"/>
              </w:numPr>
              <w:spacing w:after="40" w:before="40"/>
            </w:pPr>
            <w:r>
              <w:rPr>
                <w:rFonts w:ascii="Arial" w:cs="Arial" w:eastAsia="Arial" w:hAnsi="Arial"/>
                <w:color w:val="2C2C2C"/>
                <w:sz w:val="21"/>
                <w:szCs w:val="21"/>
              </w:rPr>
              <w:t xml:space="preserve">The healing relationship itself — unconditional acceptance, presence, curiosity, and compassion, week after week</w:t>
            </w:r>
          </w:p>
          <w:p>
            <w:pPr>
              <w:spacing w:after="0" w:before="60"/>
            </w:pPr>
            <w:r>
              <w:rPr>
                <w:rFonts w:ascii="Arial" w:cs="Arial" w:eastAsia="Arial" w:hAnsi="Arial"/>
                <w:i/>
                <w:iCs/>
                <w:color w:val="1B4A3A"/>
                <w:sz w:val="22"/>
                <w:szCs w:val="22"/>
              </w:rPr>
              <w:t xml:space="preserve">We find the right rhythm together in your free consultation.</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Pricing — Package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$175/session (new clients) · Sliding scale $100–175 for ongoing clients · 90-min sessions · To be discussed at consultation · [three separate price blocks]</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Packages range from $100–$1,000 per month, depending on the depth and frequency of support you need. We find the right fit together in your free consultation.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This is a significant strategic improvement. A single range invites a conversation; itemized session prices invite comparison shopping and self-disqualification. She books the call to find out where she lands.</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Full Pricing Block — Replacement Copy</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FDF3E0" w:val="clear"/>
            <w:tcMar>
              <w:top w:type="dxa" w:w="180"/>
              <w:left w:type="dxa" w:w="240"/>
              <w:bottom w:type="dxa" w:w="180"/>
              <w:right w:type="dxa" w:w="240"/>
            </w:tcMar>
          </w:tcPr>
          <w:p>
            <w:pPr>
              <w:spacing w:after="70" w:before="40"/>
            </w:pPr>
            <w:r>
              <w:rPr>
                <w:rFonts w:ascii="Georgia" w:cs="Georgia" w:eastAsia="Georgia" w:hAnsi="Georgia"/>
                <w:b/>
                <w:bCs/>
                <w:color w:val="1B4A3A"/>
                <w:sz w:val="26"/>
                <w:szCs w:val="26"/>
              </w:rPr>
              <w:t xml:space="preserve">Investment</w:t>
            </w:r>
          </w:p>
          <w:p>
            <w:pPr>
              <w:spacing w:after="70" w:before="0"/>
            </w:pPr>
            <w:r>
              <w:rPr>
                <w:rFonts w:ascii="Arial" w:cs="Arial" w:eastAsia="Arial" w:hAnsi="Arial"/>
                <w:color w:val="2C2C2C"/>
                <w:sz w:val="22"/>
                <w:szCs w:val="22"/>
              </w:rPr>
              <w:t xml:space="preserve">Transformational Guidance packages range from $100–$1,000 per month, depending on the depth and frequency of support you are looking for. Rather than a menu, we build the right container for you — together, in conversation.</w:t>
            </w:r>
          </w:p>
          <w:p>
            <w:pPr>
              <w:spacing w:after="70" w:before="0"/>
            </w:pPr>
            <w:r>
              <w:rPr>
                <w:rFonts w:ascii="Arial" w:cs="Arial" w:eastAsia="Arial" w:hAnsi="Arial"/>
                <w:color w:val="2C2C2C"/>
                <w:sz w:val="22"/>
                <w:szCs w:val="22"/>
              </w:rPr>
              <w:t xml:space="preserve">The Becoming — Women’s Group: $50 per session, approximately $100–150 per month.</w:t>
            </w:r>
          </w:p>
          <w:p>
            <w:pPr>
              <w:spacing w:after="40" w:before="0"/>
            </w:pPr>
            <w:r>
              <w:rPr>
                <w:rFonts w:ascii="Arial" w:cs="Arial" w:eastAsia="Arial" w:hAnsi="Arial"/>
                <w:color w:val="2C2C2C"/>
                <w:sz w:val="22"/>
                <w:szCs w:val="22"/>
              </w:rPr>
              <w:t xml:space="preserve">Every relationship begins with a free 20-minute consultation. If financial circumstances are a genuine barrier, please bring that into our first conversation — I would rather find a way than have you not reach out.</w:t>
            </w:r>
          </w:p>
          <w:p>
            <w:pPr>
              <w:spacing w:after="0" w:before="80"/>
              <w:jc w:val="center"/>
            </w:pPr>
            <w:r>
              <w:rPr>
                <w:rFonts w:ascii="Arial" w:cs="Arial" w:eastAsia="Arial" w:hAnsi="Arial"/>
                <w:b/>
                <w:bCs/>
                <w:color w:val="1B4A3A"/>
                <w:sz w:val="22"/>
                <w:szCs w:val="22"/>
              </w:rPr>
              <w:t xml:space="preserve">[  Schedule Your Free Consultation  ]</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The Becoming — Women’s Group</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2F0E6" w:val="clear"/>
            <w:tcMar>
              <w:top w:type="dxa" w:w="180"/>
              <w:left w:type="dxa" w:w="240"/>
              <w:bottom w:type="dxa" w:w="180"/>
              <w:right w:type="dxa" w:w="240"/>
            </w:tcMar>
          </w:tcPr>
          <w:p>
            <w:r>
              <w:rPr>
                <w:rFonts w:ascii="Arial" w:cs="Arial" w:eastAsia="Arial" w:hAnsi="Arial"/>
                <w:color w:val="2C2C2C"/>
                <w:sz w:val="22"/>
                <w:szCs w:val="22"/>
              </w:rPr>
              <w:t xml:space="preserve">KEEP AS IS. The current description is working — do not change the copy. Only update the availability line per Section 5 below.</w:t>
            </w:r>
          </w:p>
        </w:tc>
      </w:tr>
    </w:tbl>
    <w:p>
      <w:pPr>
        <w:spacing w:after="80" w:before="0"/>
      </w:pPr>
      <w:r>
        <w:t xml:space="preserve"/>
      </w:r>
    </w:p>
    <w:p>
      <w:r>
        <w:br w:type="page"/>
      </w:r>
    </w:p>
    <w:p>
      <w:pPr>
        <w:pStyle w:val="Heading1"/>
        <w:spacing w:after="120" w:before="400"/>
      </w:pPr>
      <w:r>
        <w:rPr>
          <w:rFonts w:ascii="Georgia" w:cs="Georgia" w:eastAsia="Georgia" w:hAnsi="Georgia"/>
          <w:b/>
          <w:bCs/>
          <w:color w:val="1B4A3A"/>
          <w:sz w:val="36"/>
          <w:szCs w:val="36"/>
        </w:rPr>
        <w:t xml:space="preserve">5.  Session Availability — Streamlined</w:t>
      </w:r>
    </w:p>
    <w:p>
      <w:pPr>
        <w:pBdr>
          <w:bottom w:val="single" w:color="4A7C59" w:sz="6" w:space="1"/>
        </w:pBdr>
        <w:spacing w:after="120" w:before="80"/>
      </w:pPr>
      <w:r>
        <w:t xml:space="preserve"/>
      </w:r>
    </w:p>
    <w:p>
      <w:pPr>
        <w:spacing w:after="80" w:before="60"/>
      </w:pPr>
      <w:r>
        <w:rPr>
          <w:rFonts w:ascii="Arial" w:cs="Arial" w:eastAsia="Arial" w:hAnsi="Arial"/>
          <w:i w:val="false"/>
          <w:iCs w:val="false"/>
          <w:color w:val="2C2C2C"/>
          <w:sz w:val="22"/>
          <w:szCs w:val="22"/>
        </w:rPr>
        <w:t xml:space="preserve">Remove the dual-timezone table entirely. Costa Rica time is Alexis’s internal logistics — it is not the client’s concern and it introduces confusion at the exact moment she is deciding. Show Pacific only.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9:00 AM – 1:45 PM Costa Rica Time (CST)  |  Summer (Aug–Oct): 8:00 AM – 12:45 PM Pacific  |  Winter (Nov onward): 7:00 AM – 11:45 AM Pacific</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Sessions are available weekday mornings, Pacific time. Some evening availability may be possible — including for The Becoming women’s group. Please inquire when you connect.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Deliberately no exact times. Exact hours invite self-disqualification before a conversation has happened. ‘Weekday mornings PT, ask about evenings’ keeps the door open and moves her toward the consultation, where scheduling is a solvable problem.</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If a More Specific Version Is Preferred</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DE6DA" w:val="clear"/>
            <w:tcMar>
              <w:top w:type="dxa" w:w="180"/>
              <w:left w:type="dxa" w:w="240"/>
              <w:bottom w:type="dxa" w:w="180"/>
              <w:right w:type="dxa" w:w="240"/>
            </w:tcMar>
          </w:tcPr>
          <w:p>
            <w:r>
              <w:rPr>
                <w:rFonts w:ascii="Arial" w:cs="Arial" w:eastAsia="Arial" w:hAnsi="Arial"/>
                <w:color w:val="2C2C2C"/>
                <w:sz w:val="22"/>
                <w:szCs w:val="22"/>
              </w:rPr>
              <w:t xml:space="preserve">Sessions are available weekday mornings, 8:00 AM – 12:45 PM Pacific. Some evening availability may be possible, including for The Becoming women’s group — please inquire when you connect.</w:t>
            </w:r>
          </w:p>
        </w:tc>
      </w:tr>
    </w:tbl>
    <w:p>
      <w:pPr>
        <w:spacing w:after="80" w:before="0"/>
      </w:pPr>
      <w:r>
        <w:t xml:space="preserve"/>
      </w:r>
    </w:p>
    <w:p>
      <w:pPr>
        <w:spacing w:after="80" w:before="60"/>
      </w:pPr>
      <w:r>
        <w:rPr>
          <w:rFonts w:ascii="Arial" w:cs="Arial" w:eastAsia="Arial" w:hAnsi="Arial"/>
          <w:i/>
          <w:iCs/>
          <w:color w:val="2C2C2C"/>
          <w:sz w:val="22"/>
          <w:szCs w:val="22"/>
        </w:rPr>
        <w:t xml:space="preserve">Recommendation: use the first, less specific version. It performs better and requires no seasonal updating when clocks change in November.</w:t>
      </w:r>
    </w:p>
    <w:p>
      <w:pPr>
        <w:spacing w:after="80" w:before="0"/>
      </w:pPr>
      <w:r>
        <w:t xml:space="preserve"/>
      </w:r>
    </w:p>
    <w:p>
      <w:r>
        <w:br w:type="page"/>
      </w:r>
    </w:p>
    <w:p>
      <w:pPr>
        <w:pStyle w:val="Heading1"/>
        <w:spacing w:after="120" w:before="400"/>
      </w:pPr>
      <w:r>
        <w:rPr>
          <w:rFonts w:ascii="Georgia" w:cs="Georgia" w:eastAsia="Georgia" w:hAnsi="Georgia"/>
          <w:b/>
          <w:bCs/>
          <w:color w:val="1B4A3A"/>
          <w:sz w:val="36"/>
          <w:szCs w:val="36"/>
        </w:rPr>
        <w:t xml:space="preserve">6.  Conversion Path — Make the Door Obvious</w:t>
      </w:r>
    </w:p>
    <w:p>
      <w:pPr>
        <w:pBdr>
          <w:bottom w:val="single" w:color="C8922A" w:sz="6" w:space="1"/>
        </w:pBdr>
        <w:spacing w:after="120" w:before="80"/>
      </w:pPr>
      <w:r>
        <w:t xml:space="preserve"/>
      </w:r>
    </w:p>
    <w:p>
      <w:pPr>
        <w:spacing w:after="80" w:before="60"/>
      </w:pPr>
      <w:r>
        <w:rPr>
          <w:rFonts w:ascii="Arial" w:cs="Arial" w:eastAsia="Arial" w:hAnsi="Arial"/>
          <w:i w:val="false"/>
          <w:iCs w:val="false"/>
          <w:color w:val="2C2C2C"/>
          <w:sz w:val="22"/>
          <w:szCs w:val="22"/>
        </w:rPr>
        <w:t xml:space="preserve">Currently there are two clear CTAs (hero and investment). For a site this long, she needs a visible, obvious way in at every point where she might be ready.</w:t>
      </w:r>
    </w:p>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Required CTA 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CCCCCC" w:sz="1"/>
              <w:left w:val="single" w:color="CCCCCC" w:sz="1"/>
              <w:bottom w:val="single" w:color="CCCCCC" w:sz="1"/>
              <w:right w:val="single" w:color="CCCCCC" w:sz="1"/>
            </w:tcBorders>
            <w:shd w:fill="1B4A3A"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1500"/>
            <w:tcBorders>
              <w:top w:val="single" w:color="CCCCCC" w:sz="1"/>
              <w:left w:val="single" w:color="CCCCCC" w:sz="1"/>
              <w:bottom w:val="single" w:color="CCCCCC" w:sz="1"/>
              <w:right w:val="single" w:color="CCCCCC" w:sz="1"/>
            </w:tcBorders>
            <w:shd w:fill="1B4A3A" w:val="clear"/>
            <w:tcMar>
              <w:top w:type="dxa" w:w="80"/>
              <w:left w:type="dxa" w:w="120"/>
              <w:bottom w:type="dxa" w:w="80"/>
              <w:right w:type="dxa" w:w="120"/>
            </w:tcMar>
          </w:tcPr>
          <w:p>
            <w:r>
              <w:rPr>
                <w:rFonts w:ascii="Arial" w:cs="Arial" w:eastAsia="Arial" w:hAnsi="Arial"/>
                <w:b/>
                <w:bCs/>
                <w:color w:val="FFFFFF"/>
                <w:sz w:val="20"/>
                <w:szCs w:val="20"/>
              </w:rPr>
              <w:t xml:space="preserve">Goes To</w:t>
            </w:r>
          </w:p>
        </w:tc>
        <w:tc>
          <w:tcPr>
            <w:tcW w:type="dxa" w:w="5060"/>
            <w:tcBorders>
              <w:top w:val="single" w:color="CCCCCC" w:sz="1"/>
              <w:left w:val="single" w:color="CCCCCC" w:sz="1"/>
              <w:bottom w:val="single" w:color="CCCCCC" w:sz="1"/>
              <w:right w:val="single" w:color="CCCCCC" w:sz="1"/>
            </w:tcBorders>
            <w:shd w:fill="1B4A3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b/>
                <w:bCs/>
                <w:color w:val="1B4A3A"/>
                <w:sz w:val="20"/>
                <w:szCs w:val="20"/>
              </w:rPr>
              <w:t xml:space="preserve">Sticky nav button</w:t>
            </w:r>
          </w:p>
        </w:tc>
        <w:tc>
          <w:tcPr>
            <w:tcW w:type="dxa" w:w="1500"/>
            <w:tcBorders>
              <w:top w:val="single" w:color="CCCCCC" w:sz="1"/>
              <w:left w:val="single" w:color="CCCCCC" w:sz="1"/>
              <w:bottom w:val="single" w:color="CCCCCC" w:sz="1"/>
              <w:right w:val="single" w:color="CCCCCC" w:sz="1"/>
            </w:tcBorders>
            <w:shd w:fill="D4EEEC"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ALL</w:t>
            </w:r>
          </w:p>
        </w:tc>
        <w:tc>
          <w:tcPr>
            <w:tcW w:type="dxa" w:w="506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color w:val="2C2C2C"/>
                <w:sz w:val="20"/>
                <w:szCs w:val="20"/>
              </w:rPr>
              <w:t xml:space="preserve">‘Begin’ button persists on scroll, desktop and mobile. Already exists — verify it is always visible.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b/>
                <w:bCs/>
                <w:color w:val="1B4A3A"/>
                <w:sz w:val="20"/>
                <w:szCs w:val="20"/>
              </w:rPr>
              <w:t xml:space="preserve">Hero</w:t>
            </w:r>
          </w:p>
        </w:tc>
        <w:tc>
          <w:tcPr>
            <w:tcW w:type="dxa" w:w="1500"/>
            <w:tcBorders>
              <w:top w:val="single" w:color="CCCCCC" w:sz="1"/>
              <w:left w:val="single" w:color="CCCCCC" w:sz="1"/>
              <w:bottom w:val="single" w:color="CCCCCC" w:sz="1"/>
              <w:right w:val="single" w:color="CCCCCC" w:sz="1"/>
            </w:tcBorders>
            <w:shd w:fill="E2F0E6"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HOME</w:t>
            </w:r>
          </w:p>
        </w:tc>
        <w:tc>
          <w:tcPr>
            <w:tcW w:type="dxa" w:w="5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color w:val="2C2C2C"/>
                <w:sz w:val="20"/>
                <w:szCs w:val="20"/>
              </w:rPr>
              <w:t xml:space="preserve">Primary: ‘Begin the Conversation’. Secondary: ‘You Belong Here’ (anchor scroll).</w:t>
            </w:r>
          </w:p>
        </w:tc>
      </w:tr>
      <w:tr>
        <w:tc>
          <w:tcPr>
            <w:tcW w:type="dxa" w:w="280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b/>
                <w:bCs/>
                <w:color w:val="1B4A3A"/>
                <w:sz w:val="20"/>
                <w:szCs w:val="20"/>
              </w:rPr>
              <w:t xml:space="preserve">After You Belong Here</w:t>
            </w:r>
          </w:p>
        </w:tc>
        <w:tc>
          <w:tcPr>
            <w:tcW w:type="dxa" w:w="1500"/>
            <w:tcBorders>
              <w:top w:val="single" w:color="CCCCCC" w:sz="1"/>
              <w:left w:val="single" w:color="CCCCCC" w:sz="1"/>
              <w:bottom w:val="single" w:color="CCCCCC" w:sz="1"/>
              <w:right w:val="single" w:color="CCCCCC" w:sz="1"/>
            </w:tcBorders>
            <w:shd w:fill="E2F0E6"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HOME</w:t>
            </w:r>
          </w:p>
        </w:tc>
        <w:tc>
          <w:tcPr>
            <w:tcW w:type="dxa" w:w="506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color w:val="2C2C2C"/>
                <w:sz w:val="20"/>
                <w:szCs w:val="20"/>
              </w:rPr>
              <w:t xml:space="preserve">NEW — ‘This sounds like me. Let’s talk.’ She has just recognized herself; catch her there.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b/>
                <w:bCs/>
                <w:color w:val="1B4A3A"/>
                <w:sz w:val="20"/>
                <w:szCs w:val="20"/>
              </w:rPr>
              <w:t xml:space="preserve">After Permission section</w:t>
            </w:r>
          </w:p>
        </w:tc>
        <w:tc>
          <w:tcPr>
            <w:tcW w:type="dxa" w:w="1500"/>
            <w:tcBorders>
              <w:top w:val="single" w:color="CCCCCC" w:sz="1"/>
              <w:left w:val="single" w:color="CCCCCC" w:sz="1"/>
              <w:bottom w:val="single" w:color="CCCCCC" w:sz="1"/>
              <w:right w:val="single" w:color="CCCCCC" w:sz="1"/>
            </w:tcBorders>
            <w:shd w:fill="E2F0E6"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HOME</w:t>
            </w:r>
          </w:p>
        </w:tc>
        <w:tc>
          <w:tcPr>
            <w:tcW w:type="dxa" w:w="5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color w:val="2C2C2C"/>
                <w:sz w:val="20"/>
                <w:szCs w:val="20"/>
              </w:rPr>
              <w:t xml:space="preserve">NEW — ‘I’m ready to begin.’ This is the highest emotional point on the page.</w:t>
            </w:r>
          </w:p>
        </w:tc>
      </w:tr>
      <w:tr>
        <w:tc>
          <w:tcPr>
            <w:tcW w:type="dxa" w:w="280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b/>
                <w:bCs/>
                <w:color w:val="1B4A3A"/>
                <w:sz w:val="20"/>
                <w:szCs w:val="20"/>
              </w:rPr>
              <w:t xml:space="preserve">After About story</w:t>
            </w:r>
          </w:p>
        </w:tc>
        <w:tc>
          <w:tcPr>
            <w:tcW w:type="dxa" w:w="1500"/>
            <w:tcBorders>
              <w:top w:val="single" w:color="CCCCCC" w:sz="1"/>
              <w:left w:val="single" w:color="CCCCCC" w:sz="1"/>
              <w:bottom w:val="single" w:color="CCCCCC" w:sz="1"/>
              <w:right w:val="single" w:color="CCCCCC" w:sz="1"/>
            </w:tcBorders>
            <w:shd w:fill="E2F0E6"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HOME</w:t>
            </w:r>
          </w:p>
        </w:tc>
        <w:tc>
          <w:tcPr>
            <w:tcW w:type="dxa" w:w="506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color w:val="2C2C2C"/>
                <w:sz w:val="20"/>
                <w:szCs w:val="20"/>
              </w:rPr>
              <w:t xml:space="preserve">NEW — ‘Let’s Begin — Free 20-Minute Consultation’. She has just decided she trusts you.</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b/>
                <w:bCs/>
                <w:color w:val="1B4A3A"/>
                <w:sz w:val="20"/>
                <w:szCs w:val="20"/>
              </w:rPr>
              <w:t xml:space="preserve">After Forest Body Activation</w:t>
            </w:r>
          </w:p>
        </w:tc>
        <w:tc>
          <w:tcPr>
            <w:tcW w:type="dxa" w:w="1500"/>
            <w:tcBorders>
              <w:top w:val="single" w:color="CCCCCC" w:sz="1"/>
              <w:left w:val="single" w:color="CCCCCC" w:sz="1"/>
              <w:bottom w:val="single" w:color="CCCCCC" w:sz="1"/>
              <w:right w:val="single" w:color="CCCCCC" w:sz="1"/>
            </w:tcBorders>
            <w:shd w:fill="E2F0E6"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HOME</w:t>
            </w:r>
          </w:p>
        </w:tc>
        <w:tc>
          <w:tcPr>
            <w:tcW w:type="dxa" w:w="5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color w:val="2C2C2C"/>
                <w:sz w:val="20"/>
                <w:szCs w:val="20"/>
              </w:rPr>
              <w:t xml:space="preserve">NEW — ‘Ready for more? Let’s talk.’ She has just experienced the work directly.</w:t>
            </w:r>
          </w:p>
        </w:tc>
      </w:tr>
      <w:tr>
        <w:tc>
          <w:tcPr>
            <w:tcW w:type="dxa" w:w="280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b/>
                <w:bCs/>
                <w:color w:val="1B4A3A"/>
                <w:sz w:val="20"/>
                <w:szCs w:val="20"/>
              </w:rPr>
              <w:t xml:space="preserve">Work With Me</w:t>
            </w:r>
          </w:p>
        </w:tc>
        <w:tc>
          <w:tcPr>
            <w:tcW w:type="dxa" w:w="1500"/>
            <w:tcBorders>
              <w:top w:val="single" w:color="CCCCCC" w:sz="1"/>
              <w:left w:val="single" w:color="CCCCCC" w:sz="1"/>
              <w:bottom w:val="single" w:color="CCCCCC" w:sz="1"/>
              <w:right w:val="single" w:color="CCCCCC" w:sz="1"/>
            </w:tcBorders>
            <w:shd w:fill="E2F0E6"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HOME</w:t>
            </w:r>
          </w:p>
        </w:tc>
        <w:tc>
          <w:tcPr>
            <w:tcW w:type="dxa" w:w="506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color w:val="2C2C2C"/>
                <w:sz w:val="20"/>
                <w:szCs w:val="20"/>
              </w:rPr>
              <w:t xml:space="preserve">‘Schedule Your Free Consultation’. Already exists — keep.</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b/>
                <w:bCs/>
                <w:color w:val="1B4A3A"/>
                <w:sz w:val="20"/>
                <w:szCs w:val="20"/>
              </w:rPr>
              <w:t xml:space="preserve">Mobile sticky bar</w:t>
            </w:r>
          </w:p>
        </w:tc>
        <w:tc>
          <w:tcPr>
            <w:tcW w:type="dxa" w:w="1500"/>
            <w:tcBorders>
              <w:top w:val="single" w:color="CCCCCC" w:sz="1"/>
              <w:left w:val="single" w:color="CCCCCC" w:sz="1"/>
              <w:bottom w:val="single" w:color="CCCCCC" w:sz="1"/>
              <w:right w:val="single" w:color="CCCCCC" w:sz="1"/>
            </w:tcBorders>
            <w:shd w:fill="D4EEEC" w:val="clear"/>
            <w:tcMar>
              <w:top w:type="dxa" w:w="90"/>
              <w:left w:type="dxa" w:w="120"/>
              <w:bottom w:type="dxa" w:w="90"/>
              <w:right w:type="dxa" w:w="120"/>
            </w:tcMar>
            <w:vAlign w:val="top"/>
          </w:tcPr>
          <w:p>
            <w:pPr>
              <w:jc w:val="center"/>
            </w:pPr>
            <w:r>
              <w:rPr>
                <w:rFonts w:ascii="Arial" w:cs="Arial" w:eastAsia="Arial" w:hAnsi="Arial"/>
                <w:b/>
                <w:bCs/>
                <w:color w:val="2C2C2C"/>
                <w:sz w:val="19"/>
                <w:szCs w:val="19"/>
              </w:rPr>
              <w:t xml:space="preserve">ALL</w:t>
            </w:r>
          </w:p>
        </w:tc>
        <w:tc>
          <w:tcPr>
            <w:tcW w:type="dxa" w:w="5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color w:val="2C2C2C"/>
                <w:sz w:val="20"/>
                <w:szCs w:val="20"/>
              </w:rPr>
              <w:t xml:space="preserve">NEW — persistent bottom bar on mobile with ‘Free Consultation’. Mobile is likely 60–70% of traffic.</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CTA Copy — Warm, Not Transactional</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DE6DA" w:val="clear"/>
            <w:tcMar>
              <w:top w:type="dxa" w:w="180"/>
              <w:left w:type="dxa" w:w="240"/>
              <w:bottom w:type="dxa" w:w="180"/>
              <w:right w:type="dxa" w:w="240"/>
            </w:tcMar>
          </w:tcPr>
          <w:p>
            <w:pPr>
              <w:spacing w:after="60" w:before="40"/>
            </w:pPr>
            <w:r>
              <w:rPr>
                <w:rFonts w:ascii="Arial" w:cs="Arial" w:eastAsia="Arial" w:hAnsi="Arial"/>
                <w:b/>
                <w:bCs/>
                <w:color w:val="4A7C59"/>
                <w:sz w:val="21"/>
                <w:szCs w:val="21"/>
              </w:rPr>
              <w:t xml:space="preserve">USE:</w:t>
            </w:r>
          </w:p>
          <w:p>
            <w:pPr>
              <w:pStyle w:val="ListParagraph"/>
              <w:numPr>
                <w:ilvl w:val="0"/>
                <w:numId w:val="2"/>
              </w:numPr>
              <w:spacing w:after="30" w:before="30"/>
            </w:pPr>
            <w:r>
              <w:rPr>
                <w:rFonts w:ascii="Arial" w:cs="Arial" w:eastAsia="Arial" w:hAnsi="Arial"/>
                <w:color w:val="2C2C2C"/>
                <w:sz w:val="21"/>
                <w:szCs w:val="21"/>
              </w:rPr>
              <w:t xml:space="preserve">“Begin the Conversation”</w:t>
            </w:r>
          </w:p>
          <w:p>
            <w:pPr>
              <w:pStyle w:val="ListParagraph"/>
              <w:numPr>
                <w:ilvl w:val="0"/>
                <w:numId w:val="2"/>
              </w:numPr>
              <w:spacing w:after="30" w:before="30"/>
            </w:pPr>
            <w:r>
              <w:rPr>
                <w:rFonts w:ascii="Arial" w:cs="Arial" w:eastAsia="Arial" w:hAnsi="Arial"/>
                <w:color w:val="2C2C2C"/>
                <w:sz w:val="21"/>
                <w:szCs w:val="21"/>
              </w:rPr>
              <w:t xml:space="preserve">“Let’s Begin — Free 20-Minute Consultation”</w:t>
            </w:r>
          </w:p>
          <w:p>
            <w:pPr>
              <w:pStyle w:val="ListParagraph"/>
              <w:numPr>
                <w:ilvl w:val="0"/>
                <w:numId w:val="2"/>
              </w:numPr>
              <w:spacing w:after="30" w:before="30"/>
            </w:pPr>
            <w:r>
              <w:rPr>
                <w:rFonts w:ascii="Arial" w:cs="Arial" w:eastAsia="Arial" w:hAnsi="Arial"/>
                <w:color w:val="2C2C2C"/>
                <w:sz w:val="21"/>
                <w:szCs w:val="21"/>
              </w:rPr>
              <w:t xml:space="preserve">“This sounds like me. Let’s talk.”</w:t>
            </w:r>
          </w:p>
          <w:p>
            <w:pPr>
              <w:pStyle w:val="ListParagraph"/>
              <w:numPr>
                <w:ilvl w:val="0"/>
                <w:numId w:val="2"/>
              </w:numPr>
              <w:spacing w:after="30" w:before="30"/>
            </w:pPr>
            <w:r>
              <w:rPr>
                <w:rFonts w:ascii="Arial" w:cs="Arial" w:eastAsia="Arial" w:hAnsi="Arial"/>
                <w:color w:val="2C2C2C"/>
                <w:sz w:val="21"/>
                <w:szCs w:val="21"/>
              </w:rPr>
              <w:t xml:space="preserve">“I’m ready to begin.”</w:t>
            </w:r>
          </w:p>
          <w:p>
            <w:pPr>
              <w:pStyle w:val="ListParagraph"/>
              <w:numPr>
                <w:ilvl w:val="0"/>
                <w:numId w:val="2"/>
              </w:numPr>
              <w:spacing w:after="30" w:before="30"/>
            </w:pPr>
            <w:r>
              <w:rPr>
                <w:rFonts w:ascii="Arial" w:cs="Arial" w:eastAsia="Arial" w:hAnsi="Arial"/>
                <w:color w:val="2C2C2C"/>
                <w:sz w:val="21"/>
                <w:szCs w:val="21"/>
              </w:rPr>
              <w:t xml:space="preserve">“Schedule Your Free Consultation”</w:t>
            </w:r>
          </w:p>
          <w:p>
            <w:pPr>
              <w:spacing w:after="60" w:before="70"/>
            </w:pPr>
            <w:r>
              <w:rPr>
                <w:rFonts w:ascii="Arial" w:cs="Arial" w:eastAsia="Arial" w:hAnsi="Arial"/>
                <w:b/>
                <w:bCs/>
                <w:color w:val="B03030"/>
                <w:sz w:val="21"/>
                <w:szCs w:val="21"/>
              </w:rPr>
              <w:t xml:space="preserve">AVOID:</w:t>
            </w:r>
          </w:p>
          <w:p>
            <w:pPr>
              <w:pStyle w:val="ListParagraph"/>
              <w:numPr>
                <w:ilvl w:val="0"/>
                <w:numId w:val="2"/>
              </w:numPr>
              <w:spacing w:after="30" w:before="30"/>
            </w:pPr>
            <w:r>
              <w:rPr>
                <w:rFonts w:ascii="Arial" w:cs="Arial" w:eastAsia="Arial" w:hAnsi="Arial"/>
                <w:color w:val="2C2C2C"/>
                <w:sz w:val="21"/>
                <w:szCs w:val="21"/>
              </w:rPr>
              <w:t xml:space="preserve">“Book Now” · “Get Started” · “Sign Up” · “Learn More” · “Submit”</w:t>
            </w:r>
          </w:p>
        </w:tc>
      </w:tr>
    </w:tbl>
    <w:p>
      <w:pPr>
        <w:spacing w:after="80" w:before="0"/>
      </w:pPr>
      <w:r>
        <w:t xml:space="preserve"/>
      </w:r>
    </w:p>
    <w:p>
      <w:r>
        <w:br w:type="page"/>
      </w:r>
    </w:p>
    <w:p>
      <w:pPr>
        <w:pStyle w:val="Heading1"/>
        <w:spacing w:after="120" w:before="400"/>
      </w:pPr>
      <w:r>
        <w:rPr>
          <w:rFonts w:ascii="Georgia" w:cs="Georgia" w:eastAsia="Georgia" w:hAnsi="Georgia"/>
          <w:b/>
          <w:bCs/>
          <w:color w:val="1B4A3A"/>
          <w:sz w:val="36"/>
          <w:szCs w:val="36"/>
        </w:rPr>
        <w:t xml:space="preserve">7.  Blog — Structure &amp; Launch Posts</w:t>
      </w:r>
    </w:p>
    <w:p>
      <w:pPr>
        <w:pBdr>
          <w:bottom w:val="single" w:color="9B6B7A" w:sz="6" w:space="1"/>
        </w:pBdr>
        <w:spacing w:after="120" w:before="80"/>
      </w:pPr>
      <w:r>
        <w:t xml:space="preserve"/>
      </w:r>
    </w:p>
    <w:p>
      <w:pPr>
        <w:spacing w:after="80" w:before="60"/>
      </w:pPr>
      <w:r>
        <w:rPr>
          <w:rFonts w:ascii="Arial" w:cs="Arial" w:eastAsia="Arial" w:hAnsi="Arial"/>
          <w:i w:val="false"/>
          <w:iCs w:val="false"/>
          <w:color w:val="2C2C2C"/>
          <w:sz w:val="22"/>
          <w:szCs w:val="22"/>
        </w:rPr>
        <w:t xml:space="preserve">The blog serves two purposes: it holds the depth material that would otherwise slow the homepage, and it is the single strongest long-term SEO asset for this practice.</w:t>
      </w:r>
    </w:p>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Launch Posts — Built from Existing Site Content</w:t>
      </w:r>
    </w:p>
    <w:p>
      <w:pPr>
        <w:pStyle w:val="ListParagraph"/>
        <w:numPr>
          <w:ilvl w:val="0"/>
          <w:numId w:val="2"/>
        </w:numPr>
        <w:spacing w:after="40" w:before="40"/>
      </w:pPr>
      <w:r>
        <w:rPr>
          <w:rFonts w:ascii="Arial" w:cs="Arial" w:eastAsia="Arial" w:hAnsi="Arial"/>
          <w:b/>
          <w:bCs/>
          <w:color w:val="2C2C2C"/>
          <w:sz w:val="22"/>
          <w:szCs w:val="22"/>
        </w:rPr>
        <w:t xml:space="preserve">Post 1 — “Post-Traumatic Growth: The Alchemy of the Wound” </w:t>
      </w:r>
      <w:r>
        <w:rPr>
          <w:rFonts w:ascii="Arial" w:cs="Arial" w:eastAsia="Arial" w:hAnsi="Arial"/>
          <w:color w:val="2C2C2C"/>
          <w:sz w:val="22"/>
          <w:szCs w:val="22"/>
        </w:rPr>
        <w:t xml:space="preserve">Uses the existing homepage post-traumatic growth section plus the Beauty/Balance/Growth/Truth/Dignity values material. Target keywords: post-traumatic growth, trauma healing, wound to wisdom.</w:t>
      </w:r>
    </w:p>
    <w:p>
      <w:pPr>
        <w:pStyle w:val="ListParagraph"/>
        <w:numPr>
          <w:ilvl w:val="0"/>
          <w:numId w:val="2"/>
        </w:numPr>
        <w:spacing w:after="40" w:before="40"/>
      </w:pPr>
      <w:r>
        <w:rPr>
          <w:rFonts w:ascii="Arial" w:cs="Arial" w:eastAsia="Arial" w:hAnsi="Arial"/>
          <w:b/>
          <w:bCs/>
          <w:color w:val="2C2C2C"/>
          <w:sz w:val="22"/>
          <w:szCs w:val="22"/>
        </w:rPr>
        <w:t xml:space="preserve">Post 2 — “Psychological Flexibility: How Change Actually Happens” </w:t>
      </w:r>
      <w:r>
        <w:rPr>
          <w:rFonts w:ascii="Arial" w:cs="Arial" w:eastAsia="Arial" w:hAnsi="Arial"/>
          <w:color w:val="2C2C2C"/>
          <w:sz w:val="22"/>
          <w:szCs w:val="22"/>
        </w:rPr>
        <w:t xml:space="preserve">Uses the existing ‘How change actually happens’ section plus the Hayes quote and ACT framework. Target keywords: psychological flexibility, ACT therapy, acceptance and commitment.</w:t>
      </w:r>
    </w:p>
    <w:p>
      <w:pPr>
        <w:pStyle w:val="ListParagraph"/>
        <w:numPr>
          <w:ilvl w:val="0"/>
          <w:numId w:val="2"/>
        </w:numPr>
        <w:spacing w:after="40" w:before="40"/>
      </w:pPr>
      <w:r>
        <w:rPr>
          <w:rFonts w:ascii="Arial" w:cs="Arial" w:eastAsia="Arial" w:hAnsi="Arial"/>
          <w:b/>
          <w:bCs/>
          <w:color w:val="2C2C2C"/>
          <w:sz w:val="22"/>
          <w:szCs w:val="22"/>
        </w:rPr>
        <w:t xml:space="preserve">Post 3 (future) — “The Relationship Is the Medicine” </w:t>
      </w:r>
      <w:r>
        <w:rPr>
          <w:rFonts w:ascii="Arial" w:cs="Arial" w:eastAsia="Arial" w:hAnsi="Arial"/>
          <w:color w:val="2C2C2C"/>
          <w:sz w:val="22"/>
          <w:szCs w:val="22"/>
        </w:rPr>
        <w:t xml:space="preserve">Expand the healing relationship material into a full essay.</w:t>
      </w:r>
    </w:p>
    <w:p>
      <w:pPr>
        <w:pStyle w:val="ListParagraph"/>
        <w:numPr>
          <w:ilvl w:val="0"/>
          <w:numId w:val="2"/>
        </w:numPr>
        <w:spacing w:after="40" w:before="40"/>
      </w:pPr>
      <w:r>
        <w:rPr>
          <w:rFonts w:ascii="Arial" w:cs="Arial" w:eastAsia="Arial" w:hAnsi="Arial"/>
          <w:b/>
          <w:bCs/>
          <w:color w:val="2C2C2C"/>
          <w:sz w:val="22"/>
          <w:szCs w:val="22"/>
        </w:rPr>
        <w:t xml:space="preserve">Post 4 (future) — “What Your Nervous System Is Trying to Tell You” </w:t>
      </w:r>
      <w:r>
        <w:rPr>
          <w:rFonts w:ascii="Arial" w:cs="Arial" w:eastAsia="Arial" w:hAnsi="Arial"/>
          <w:color w:val="2C2C2C"/>
          <w:sz w:val="22"/>
          <w:szCs w:val="22"/>
        </w:rPr>
        <w:t xml:space="preserve">Strong search volume; natural fit for the somatic work.</w:t>
      </w:r>
    </w:p>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Technical Requirements</w:t>
      </w:r>
    </w:p>
    <w:p>
      <w:pPr>
        <w:pStyle w:val="ListParagraph"/>
        <w:numPr>
          <w:ilvl w:val="0"/>
          <w:numId w:val="2"/>
        </w:numPr>
        <w:spacing w:after="40" w:before="40"/>
      </w:pPr>
      <w:r>
        <w:rPr>
          <w:rFonts w:ascii="Arial" w:cs="Arial" w:eastAsia="Arial" w:hAnsi="Arial"/>
          <w:color w:val="2C2C2C"/>
          <w:sz w:val="22"/>
          <w:szCs w:val="22"/>
        </w:rPr>
        <w:t xml:space="preserve">Each post gets its own URL, meta title, meta description, and Open Graph image</w:t>
      </w:r>
    </w:p>
    <w:p>
      <w:pPr>
        <w:pStyle w:val="ListParagraph"/>
        <w:numPr>
          <w:ilvl w:val="0"/>
          <w:numId w:val="2"/>
        </w:numPr>
        <w:spacing w:after="40" w:before="40"/>
      </w:pPr>
      <w:r>
        <w:rPr>
          <w:rFonts w:ascii="Arial" w:cs="Arial" w:eastAsia="Arial" w:hAnsi="Arial"/>
          <w:color w:val="2C2C2C"/>
          <w:sz w:val="22"/>
          <w:szCs w:val="22"/>
        </w:rPr>
        <w:t xml:space="preserve">Article schema (JSON-LD) on every post</w:t>
      </w:r>
    </w:p>
    <w:p>
      <w:pPr>
        <w:pStyle w:val="ListParagraph"/>
        <w:numPr>
          <w:ilvl w:val="0"/>
          <w:numId w:val="2"/>
        </w:numPr>
        <w:spacing w:after="40" w:before="40"/>
      </w:pPr>
      <w:r>
        <w:rPr>
          <w:rFonts w:ascii="Arial" w:cs="Arial" w:eastAsia="Arial" w:hAnsi="Arial"/>
          <w:color w:val="2C2C2C"/>
          <w:sz w:val="22"/>
          <w:szCs w:val="22"/>
        </w:rPr>
        <w:t xml:space="preserve">Blog index at /blog with card layout matching existing design system</w:t>
      </w:r>
    </w:p>
    <w:p>
      <w:pPr>
        <w:pStyle w:val="ListParagraph"/>
        <w:numPr>
          <w:ilvl w:val="0"/>
          <w:numId w:val="2"/>
        </w:numPr>
        <w:spacing w:after="40" w:before="40"/>
      </w:pPr>
      <w:r>
        <w:rPr>
          <w:rFonts w:ascii="Arial" w:cs="Arial" w:eastAsia="Arial" w:hAnsi="Arial"/>
          <w:color w:val="2C2C2C"/>
          <w:sz w:val="22"/>
          <w:szCs w:val="22"/>
        </w:rPr>
        <w:t xml:space="preserve">Add blog posts to sitemap.xml automatically</w:t>
      </w:r>
    </w:p>
    <w:p>
      <w:pPr>
        <w:pStyle w:val="ListParagraph"/>
        <w:numPr>
          <w:ilvl w:val="0"/>
          <w:numId w:val="2"/>
        </w:numPr>
        <w:spacing w:after="40" w:before="40"/>
      </w:pPr>
      <w:r>
        <w:rPr>
          <w:rFonts w:ascii="Arial" w:cs="Arial" w:eastAsia="Arial" w:hAnsi="Arial"/>
          <w:color w:val="2C2C2C"/>
          <w:sz w:val="22"/>
          <w:szCs w:val="22"/>
        </w:rPr>
        <w:t xml:space="preserve">CTA at the end of every post — ‘This is the work I do. Let’s talk.’ linking to consultation</w:t>
      </w:r>
    </w:p>
    <w:p>
      <w:pPr>
        <w:pStyle w:val="ListParagraph"/>
        <w:numPr>
          <w:ilvl w:val="0"/>
          <w:numId w:val="2"/>
        </w:numPr>
        <w:spacing w:after="40" w:before="40"/>
      </w:pPr>
      <w:r>
        <w:rPr>
          <w:rFonts w:ascii="Arial" w:cs="Arial" w:eastAsia="Arial" w:hAnsi="Arial"/>
          <w:color w:val="2C2C2C"/>
          <w:sz w:val="22"/>
          <w:szCs w:val="22"/>
        </w:rPr>
        <w:t xml:space="preserve">If a CMS is in use, ensure Alexis can publish independently without developer involvement</w:t>
      </w:r>
    </w:p>
    <w:p>
      <w:pPr>
        <w:spacing w:after="80" w:before="0"/>
      </w:pPr>
      <w:r>
        <w:t xml:space="preserve"/>
      </w:r>
    </w:p>
    <w:p>
      <w:r>
        <w:br w:type="page"/>
      </w:r>
    </w:p>
    <w:p>
      <w:pPr>
        <w:pStyle w:val="Heading1"/>
        <w:spacing w:after="120" w:before="400"/>
      </w:pPr>
      <w:r>
        <w:rPr>
          <w:rFonts w:ascii="Georgia" w:cs="Georgia" w:eastAsia="Georgia" w:hAnsi="Georgia"/>
          <w:b/>
          <w:bCs/>
          <w:color w:val="1B4A3A"/>
          <w:sz w:val="36"/>
          <w:szCs w:val="36"/>
        </w:rPr>
        <w:t xml:space="preserve">8.  Implementation Checklist</w:t>
      </w:r>
    </w:p>
    <w:p>
      <w:pPr>
        <w:pBdr>
          <w:bottom w:val="single" w:color="1B4A3A" w:sz="6" w:space="1"/>
        </w:pBdr>
        <w:spacing w:after="120" w:before="80"/>
      </w:pPr>
      <w:r>
        <w:t xml:space="preserve"/>
      </w:r>
    </w:p>
    <w:p>
      <w:pPr>
        <w:spacing w:after="80" w:before="60"/>
      </w:pPr>
      <w:r>
        <w:rPr>
          <w:rFonts w:ascii="Arial" w:cs="Arial" w:eastAsia="Arial" w:hAnsi="Arial"/>
          <w:i w:val="false"/>
          <w:iCs w:val="false"/>
          <w:color w:val="2C2C2C"/>
          <w:sz w:val="22"/>
          <w:szCs w:val="22"/>
        </w:rPr>
        <w:t xml:space="preserve">Implement alongside Part One. Suggested order:</w:t>
      </w:r>
    </w:p>
    <w:p>
      <w:pPr>
        <w:spacing w:after="80" w:before="0"/>
      </w:pPr>
      <w:r>
        <w:t xml:space="preserve"/>
      </w:r>
    </w:p>
    <w:p>
      <w:pPr>
        <w:spacing w:after="80" w:before="200"/>
      </w:pPr>
      <w:r>
        <w:rPr>
          <w:rFonts w:ascii="Arial" w:cs="Arial" w:eastAsia="Arial" w:hAnsi="Arial"/>
          <w:b/>
          <w:bCs/>
          <w:color w:val="4A7C59"/>
          <w:sz w:val="22"/>
          <w:szCs w:val="22"/>
        </w:rPr>
        <w:t xml:space="preserve">Phase 1 — Copy &amp; Content (fastest impact)</w:t>
      </w:r>
    </w:p>
    <w:p>
      <w:pPr>
        <w:pStyle w:val="ListParagraph"/>
        <w:numPr>
          <w:ilvl w:val="0"/>
          <w:numId w:val="3"/>
        </w:numPr>
        <w:spacing w:after="40" w:before="40"/>
      </w:pPr>
      <w:r>
        <w:rPr>
          <w:rFonts w:ascii="Arial" w:cs="Arial" w:eastAsia="Arial" w:hAnsi="Arial"/>
          <w:color w:val="2C2C2C"/>
          <w:sz w:val="22"/>
          <w:szCs w:val="22"/>
        </w:rPr>
        <w:t xml:space="preserve">Replace About section with the heroine story copy (Section 2)</w:t>
      </w:r>
    </w:p>
    <w:p>
      <w:pPr>
        <w:pStyle w:val="ListParagraph"/>
        <w:numPr>
          <w:ilvl w:val="0"/>
          <w:numId w:val="3"/>
        </w:numPr>
        <w:spacing w:after="40" w:before="40"/>
      </w:pPr>
      <w:r>
        <w:rPr>
          <w:rFonts w:ascii="Arial" w:cs="Arial" w:eastAsia="Arial" w:hAnsi="Arial"/>
          <w:color w:val="2C2C2C"/>
          <w:sz w:val="22"/>
          <w:szCs w:val="22"/>
        </w:rPr>
        <w:t xml:space="preserve">Add credential strip beneath About</w:t>
      </w:r>
    </w:p>
    <w:p>
      <w:pPr>
        <w:pStyle w:val="ListParagraph"/>
        <w:numPr>
          <w:ilvl w:val="0"/>
          <w:numId w:val="3"/>
        </w:numPr>
        <w:spacing w:after="40" w:before="40"/>
      </w:pPr>
      <w:r>
        <w:rPr>
          <w:rFonts w:ascii="Arial" w:cs="Arial" w:eastAsia="Arial" w:hAnsi="Arial"/>
          <w:color w:val="2C2C2C"/>
          <w:sz w:val="22"/>
          <w:szCs w:val="22"/>
        </w:rPr>
        <w:t xml:space="preserve">Consolidate three offerings into one Transformational Guidance offering (Section 4)</w:t>
      </w:r>
    </w:p>
    <w:p>
      <w:pPr>
        <w:pStyle w:val="ListParagraph"/>
        <w:numPr>
          <w:ilvl w:val="0"/>
          <w:numId w:val="3"/>
        </w:numPr>
        <w:spacing w:after="40" w:before="40"/>
      </w:pPr>
      <w:r>
        <w:rPr>
          <w:rFonts w:ascii="Arial" w:cs="Arial" w:eastAsia="Arial" w:hAnsi="Arial"/>
          <w:color w:val="2C2C2C"/>
          <w:sz w:val="22"/>
          <w:szCs w:val="22"/>
        </w:rPr>
        <w:t xml:space="preserve">Replace all pricing with the $100–$1,000/month package range</w:t>
      </w:r>
    </w:p>
    <w:p>
      <w:pPr>
        <w:pStyle w:val="ListParagraph"/>
        <w:numPr>
          <w:ilvl w:val="0"/>
          <w:numId w:val="3"/>
        </w:numPr>
        <w:spacing w:after="40" w:before="40"/>
      </w:pPr>
      <w:r>
        <w:rPr>
          <w:rFonts w:ascii="Arial" w:cs="Arial" w:eastAsia="Arial" w:hAnsi="Arial"/>
          <w:color w:val="2C2C2C"/>
          <w:sz w:val="22"/>
          <w:szCs w:val="22"/>
        </w:rPr>
        <w:t xml:space="preserve">Merge Work With Me + Investment into a single section</w:t>
      </w:r>
    </w:p>
    <w:p>
      <w:pPr>
        <w:pStyle w:val="ListParagraph"/>
        <w:numPr>
          <w:ilvl w:val="0"/>
          <w:numId w:val="3"/>
        </w:numPr>
        <w:spacing w:after="40" w:before="40"/>
      </w:pPr>
      <w:r>
        <w:rPr>
          <w:rFonts w:ascii="Arial" w:cs="Arial" w:eastAsia="Arial" w:hAnsi="Arial"/>
          <w:color w:val="2C2C2C"/>
          <w:sz w:val="22"/>
          <w:szCs w:val="22"/>
        </w:rPr>
        <w:t xml:space="preserve">Streamline availability to Pacific-only with evening inquiry note (Section 5)</w:t>
      </w:r>
    </w:p>
    <w:p>
      <w:pPr>
        <w:pStyle w:val="ListParagraph"/>
        <w:numPr>
          <w:ilvl w:val="0"/>
          <w:numId w:val="3"/>
        </w:numPr>
        <w:spacing w:after="40" w:before="40"/>
      </w:pPr>
      <w:r>
        <w:rPr>
          <w:rFonts w:ascii="Arial" w:cs="Arial" w:eastAsia="Arial" w:hAnsi="Arial"/>
          <w:color w:val="2C2C2C"/>
          <w:sz w:val="22"/>
          <w:szCs w:val="22"/>
        </w:rPr>
        <w:t xml:space="preserve">Add trauma-informed / clinical depth language per Section 3</w:t>
      </w:r>
    </w:p>
    <w:p>
      <w:pPr>
        <w:spacing w:after="80" w:before="0"/>
      </w:pPr>
      <w:r>
        <w:t xml:space="preserve"/>
      </w:r>
    </w:p>
    <w:p>
      <w:pPr>
        <w:spacing w:after="80" w:before="200"/>
      </w:pPr>
      <w:r>
        <w:rPr>
          <w:rFonts w:ascii="Arial" w:cs="Arial" w:eastAsia="Arial" w:hAnsi="Arial"/>
          <w:b/>
          <w:bCs/>
          <w:color w:val="C8922A"/>
          <w:sz w:val="22"/>
          <w:szCs w:val="22"/>
        </w:rPr>
        <w:t xml:space="preserve">Phase 2 — Conversion</w:t>
      </w:r>
    </w:p>
    <w:p>
      <w:pPr>
        <w:pStyle w:val="ListParagraph"/>
        <w:numPr>
          <w:ilvl w:val="0"/>
          <w:numId w:val="3"/>
        </w:numPr>
        <w:spacing w:after="40" w:before="40"/>
      </w:pPr>
      <w:r>
        <w:rPr>
          <w:rFonts w:ascii="Arial" w:cs="Arial" w:eastAsia="Arial" w:hAnsi="Arial"/>
          <w:color w:val="2C2C2C"/>
          <w:sz w:val="22"/>
          <w:szCs w:val="22"/>
        </w:rPr>
        <w:t xml:space="preserve">Add the five new CTA placements (Section 6)</w:t>
      </w:r>
    </w:p>
    <w:p>
      <w:pPr>
        <w:pStyle w:val="ListParagraph"/>
        <w:numPr>
          <w:ilvl w:val="0"/>
          <w:numId w:val="3"/>
        </w:numPr>
        <w:spacing w:after="40" w:before="40"/>
      </w:pPr>
      <w:r>
        <w:rPr>
          <w:rFonts w:ascii="Arial" w:cs="Arial" w:eastAsia="Arial" w:hAnsi="Arial"/>
          <w:color w:val="2C2C2C"/>
          <w:sz w:val="22"/>
          <w:szCs w:val="22"/>
        </w:rPr>
        <w:t xml:space="preserve">Add mobile sticky consultation bar</w:t>
      </w:r>
    </w:p>
    <w:p>
      <w:pPr>
        <w:pStyle w:val="ListParagraph"/>
        <w:numPr>
          <w:ilvl w:val="0"/>
          <w:numId w:val="3"/>
        </w:numPr>
        <w:spacing w:after="40" w:before="40"/>
      </w:pPr>
      <w:r>
        <w:rPr>
          <w:rFonts w:ascii="Arial" w:cs="Arial" w:eastAsia="Arial" w:hAnsi="Arial"/>
          <w:color w:val="2C2C2C"/>
          <w:sz w:val="22"/>
          <w:szCs w:val="22"/>
        </w:rPr>
        <w:t xml:space="preserve">Verify sticky nav Begin button persists on all breakpoints</w:t>
      </w:r>
    </w:p>
    <w:p>
      <w:pPr>
        <w:spacing w:after="80" w:before="0"/>
      </w:pPr>
      <w:r>
        <w:t xml:space="preserve"/>
      </w:r>
    </w:p>
    <w:p>
      <w:pPr>
        <w:spacing w:after="80" w:before="200"/>
      </w:pPr>
      <w:r>
        <w:rPr>
          <w:rFonts w:ascii="Arial" w:cs="Arial" w:eastAsia="Arial" w:hAnsi="Arial"/>
          <w:b/>
          <w:bCs/>
          <w:color w:val="1B4A3A"/>
          <w:sz w:val="22"/>
          <w:szCs w:val="22"/>
        </w:rPr>
        <w:t xml:space="preserve">Phase 3 — Architecture</w:t>
      </w:r>
    </w:p>
    <w:p>
      <w:pPr>
        <w:pStyle w:val="ListParagraph"/>
        <w:numPr>
          <w:ilvl w:val="0"/>
          <w:numId w:val="3"/>
        </w:numPr>
        <w:spacing w:after="40" w:before="40"/>
      </w:pPr>
      <w:r>
        <w:rPr>
          <w:rFonts w:ascii="Arial" w:cs="Arial" w:eastAsia="Arial" w:hAnsi="Arial"/>
          <w:color w:val="2C2C2C"/>
          <w:sz w:val="22"/>
          <w:szCs w:val="22"/>
        </w:rPr>
        <w:t xml:space="preserve">Build /philosophy page — move Foundation, relationship-as-medicine (full), Soul &amp; Story</w:t>
      </w:r>
    </w:p>
    <w:p>
      <w:pPr>
        <w:pStyle w:val="ListParagraph"/>
        <w:numPr>
          <w:ilvl w:val="0"/>
          <w:numId w:val="3"/>
        </w:numPr>
        <w:spacing w:after="40" w:before="40"/>
      </w:pPr>
      <w:r>
        <w:rPr>
          <w:rFonts w:ascii="Arial" w:cs="Arial" w:eastAsia="Arial" w:hAnsi="Arial"/>
          <w:color w:val="2C2C2C"/>
          <w:sz w:val="22"/>
          <w:szCs w:val="22"/>
        </w:rPr>
        <w:t xml:space="preserve">Build /blog index + first two posts from existing homepage content</w:t>
      </w:r>
    </w:p>
    <w:p>
      <w:pPr>
        <w:pStyle w:val="ListParagraph"/>
        <w:numPr>
          <w:ilvl w:val="0"/>
          <w:numId w:val="3"/>
        </w:numPr>
        <w:spacing w:after="40" w:before="40"/>
      </w:pPr>
      <w:r>
        <w:rPr>
          <w:rFonts w:ascii="Arial" w:cs="Arial" w:eastAsia="Arial" w:hAnsi="Arial"/>
          <w:color w:val="2C2C2C"/>
          <w:sz w:val="22"/>
          <w:szCs w:val="22"/>
        </w:rPr>
        <w:t xml:space="preserve">Remove post-traumatic growth and ACT sections from homepage once blog posts are live</w:t>
      </w:r>
    </w:p>
    <w:p>
      <w:pPr>
        <w:pStyle w:val="ListParagraph"/>
        <w:numPr>
          <w:ilvl w:val="0"/>
          <w:numId w:val="3"/>
        </w:numPr>
        <w:spacing w:after="40" w:before="40"/>
      </w:pPr>
      <w:r>
        <w:rPr>
          <w:rFonts w:ascii="Arial" w:cs="Arial" w:eastAsia="Arial" w:hAnsi="Arial"/>
          <w:color w:val="2C2C2C"/>
          <w:sz w:val="22"/>
          <w:szCs w:val="22"/>
        </w:rPr>
        <w:t xml:space="preserve">Update nav to new structure</w:t>
      </w:r>
    </w:p>
    <w:p>
      <w:pPr>
        <w:pStyle w:val="ListParagraph"/>
        <w:numPr>
          <w:ilvl w:val="0"/>
          <w:numId w:val="3"/>
        </w:numPr>
        <w:spacing w:after="40" w:before="40"/>
      </w:pPr>
      <w:r>
        <w:rPr>
          <w:rFonts w:ascii="Arial" w:cs="Arial" w:eastAsia="Arial" w:hAnsi="Arial"/>
          <w:color w:val="2C2C2C"/>
          <w:sz w:val="22"/>
          <w:szCs w:val="22"/>
        </w:rPr>
        <w:t xml:space="preserve">Set up 301 redirects — do not skip this</w:t>
      </w:r>
    </w:p>
    <w:p>
      <w:pPr>
        <w:spacing w:after="160" w:before="0"/>
      </w:pPr>
      <w:r>
        <w:t xml:space="preserve"/>
      </w:r>
    </w:p>
    <w:p>
      <w:pPr>
        <w:pBdr>
          <w:bottom w:val="single" w:color="1B4A3A" w:sz="6" w:space="1"/>
        </w:pBdr>
        <w:spacing w:after="120" w:before="80"/>
      </w:pPr>
      <w:r>
        <w:t xml:space="preserve"/>
      </w:r>
    </w:p>
    <w:p>
      <w:pPr>
        <w:spacing w:after="40" w:before="120"/>
        <w:jc w:val="center"/>
      </w:pPr>
      <w:r>
        <w:rPr>
          <w:rFonts w:ascii="Georgia" w:cs="Georgia" w:eastAsia="Georgia" w:hAnsi="Georgia"/>
          <w:i/>
          <w:iCs/>
          <w:color w:val="6B6B6B"/>
          <w:sz w:val="20"/>
          <w:szCs w:val="20"/>
        </w:rPr>
        <w:t xml:space="preserve">All copy in this document is final and ready to implement as written.</w:t>
      </w:r>
    </w:p>
    <w:p>
      <w:pPr>
        <w:jc w:val="center"/>
      </w:pPr>
      <w:r>
        <w:rPr>
          <w:rFonts w:ascii="Arial" w:cs="Arial" w:eastAsia="Arial" w:hAnsi="Arial"/>
          <w:color w:val="D4C8B4"/>
          <w:sz w:val="18"/>
          <w:szCs w:val="18"/>
        </w:rPr>
        <w:t xml:space="preserve">AlexisLyon.com · Revision Brief Part Two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Georgia" w:cs="Georgia" w:eastAsia="Georgia" w:hAnsi="Georgia"/>
      <w:b/>
      <w:bCs/>
      <w:color w:val="1B4A3A"/>
      <w:sz w:val="36"/>
      <w:szCs w:val="36"/>
    </w:rPr>
  </w:style>
  <w:style w:type="paragraph" w:styleId="Heading2">
    <w:name w:val="Heading 2"/>
    <w:basedOn w:val="Normal"/>
    <w:next w:val="Normal"/>
    <w:qFormat/>
    <w:pPr>
      <w:spacing w:after="100" w:before="280"/>
      <w:outlineLvl w:val="1"/>
    </w:pPr>
    <w:rPr>
      <w:rFonts w:ascii="Georgia" w:cs="Georgia" w:eastAsia="Georgia" w:hAnsi="Georgia"/>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2026-07-15T01:42:20.886Z</dcterms:created>
  <dcterms:modified xsi:type="dcterms:W3CDTF">2026-07-15T01:42:20.899Z</dcterms:modified>
</cp:coreProperties>
</file>

<file path=docProps/custom.xml><?xml version="1.0" encoding="utf-8"?>
<Properties xmlns="http://schemas.openxmlformats.org/officeDocument/2006/custom-properties" xmlns:vt="http://schemas.openxmlformats.org/officeDocument/2006/docPropsVTypes"/>
</file>