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8"/>
          <w:szCs w:val="28"/>
        </w:rPr>
        <w:t xml:space="preserve">MINISTRY OF HEALTH</w:t>
      </w:r>
    </w:p>
    <w:p>
      <w:pPr>
        <w:spacing w:before="600"/>
        <w:jc w:val="center"/>
      </w:pPr>
      <w:r>
        <w:rPr>
          <w:b/>
          <w:bCs/>
          <w:color w:val="1F3864"/>
          <w:sz w:val="48"/>
          <w:szCs w:val="48"/>
        </w:rPr>
        <w:t xml:space="preserve">National Civil Birth Registration System</w:t>
      </w:r>
    </w:p>
    <w:p>
      <w:pPr>
        <w:spacing w:after="600" w:before="200"/>
        <w:jc w:val="center"/>
      </w:pPr>
      <w:r>
        <w:rPr>
          <w:b/>
          <w:bCs/>
          <w:color w:val="1F3864"/>
          <w:sz w:val="32"/>
          <w:szCs w:val="32"/>
        </w:rPr>
        <w:t xml:space="preserve">(NCBRS)</w:t>
      </w:r>
    </w:p>
    <w:p>
      <w:pPr>
        <w:jc w:val="center"/>
      </w:pPr>
      <w:r>
        <w:rPr>
          <w:i/>
          <w:iCs/>
          <w:sz w:val="26"/>
          <w:szCs w:val="26"/>
        </w:rPr>
        <w:t xml:space="preserve">Full Project Draft: Policy, Legal &amp; Technical Architecture</w:t>
      </w:r>
    </w:p>
    <w:p>
      <w:pPr>
        <w:spacing w:before="100"/>
        <w:jc w:val="center"/>
      </w:pPr>
      <w:r>
        <w:rPr>
          <w:color w:val="555555"/>
          <w:sz w:val="22"/>
          <w:szCs w:val="22"/>
        </w:rPr>
        <w:t xml:space="preserve">An Offline-First, Facility-to-National Civil Registration Platform</w:t>
      </w:r>
    </w:p>
    <w:p>
      <w:pPr>
        <w:spacing w:before="1600"/>
        <w:jc w:val="center"/>
      </w:pPr>
      <w:r>
        <w:rPr>
          <w:b/>
          <w:bCs/>
          <w:sz w:val="24"/>
          <w:szCs w:val="24"/>
        </w:rPr>
        <w:t xml:space="preserve">DRAFT v1.3 — For Ministerial Review</w:t>
      </w:r>
    </w:p>
    <w:p>
      <w:pPr>
        <w:spacing w:before="200"/>
        <w:jc w:val="center"/>
      </w:pPr>
      <w:r>
        <w:rPr>
          <w:sz w:val="22"/>
          <w:szCs w:val="22"/>
        </w:rPr>
        <w:t xml:space="preserve">Prepared for: Office of the Minister of Health</w:t>
      </w:r>
    </w:p>
    <w:p>
      <w:pPr>
        <w:jc w:val="center"/>
      </w:pPr>
      <w:r>
        <w:rPr>
          <w:sz w:val="22"/>
          <w:szCs w:val="22"/>
        </w:rPr>
        <w:t xml:space="preserve">Scope: National — Hospitals, Clinics, and Village Health Posts</w:t>
      </w:r>
    </w:p>
    <w:p>
      <w:pPr>
        <w:spacing w:before="3200"/>
        <w:jc w:val="center"/>
      </w:pPr>
      <w:r>
        <w:rPr>
          <w:i/>
          <w:iCs/>
          <w:color w:val="777777"/>
          <w:sz w:val="18"/>
          <w:szCs w:val="18"/>
        </w:rPr>
        <w:t xml:space="preserve">This document is a planning draft intended to open technical and policy discussion. All timelines, org structures, and figures are indicative and subject to ministry validation.</w:t>
      </w:r>
    </w:p>
    <w:p>
      <w:pPr>
        <w:spacing w:before="160"/>
        <w:jc w:val="center"/>
      </w:pPr>
      <w:r>
        <w:rPr>
          <w:i/>
          <w:iCs/>
          <w:color w:val="777777"/>
          <w:sz w:val="18"/>
          <w:szCs w:val="18"/>
        </w:rPr>
        <w:t xml:space="preserve">Revision v1.3 aligns this draft with the central platform as built. Changes: .NET 10 LTS replaces .NET 8 (6.4); Keycloak replaces ASP.NET Core Identity (6.4); certificate revocation added as a validity condition (4.3, 6.4); signing-key custody and rotation added (6.7, 9); device-enrolment enforcement added to the risk register (9); Phase 0 and Phase 1 clarified as overlapping (8); corrections specified as a two-track workflow, with parents' names on the approval track (5.3).</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pPr>
      <w:r>
        <w:t xml:space="preserve">Birth registration is the foundation of legal identity: it determines a citizen's access to healthcare, education, social protection, inheritance, and eventually a national ID and passport. In much of the country, registration today is fragmented — paper-based, siloed per facility, and effectively unreachable for births that occur in small village clinics or at home under a traditional birth attendant. Records are lost, duplicated, delayed by weeks or months, and never reconciled against a single national source of truth.</w:t>
      </w:r>
    </w:p>
    <w:p>
      <w:pPr>
        <w:spacing w:after="160"/>
      </w:pPr>
      <w:r>
        <w:t xml:space="preserve">This draft proposes the National Civil Birth Registration System (NCBRS): a single, ministry-owned platform that captures a birth once, at the point of care — hospital, clinic, or village health post — and issues a legally valid certificate that is reconciled centrally, without requiring every facility to be online at the moment of registration.</w:t>
      </w:r>
    </w:p>
    <w:p>
      <w:pPr>
        <w:spacing w:after="160"/>
      </w:pPr>
      <w:r>
        <w:t xml:space="preserve">The central design constraint is connectivity: many village clinics do not have reliable internet. The system is therefore designed offline-first — every facility can register a birth on a local device with no connection, and the record synchronizes automatically once connectivity is available, with conflict resolution handled centrally.</w:t>
      </w:r>
    </w:p>
    <w:p>
      <w:pPr>
        <w:spacing w:after="160"/>
      </w:pPr>
      <w:r>
        <w:t xml:space="preserve">This document covers four things a minister needs to evaluate the proposal: (1) the problem and objectives, (2) the legal and governance framework required to make certificates valid, (3) the technical architecture, built on ASP.NET Core and designed for low-connectivity environments, and (4) a phased rollout plan from pilot to national scale.</w:t>
      </w:r>
    </w:p>
    <w:p>
      <w:pPr>
        <w:pStyle w:val="Heading1"/>
        <w:spacing w:after="200" w:before="400"/>
      </w:pPr>
      <w:r>
        <w:t xml:space="preserve">1. Background &amp; Problem Statement</w:t>
      </w:r>
    </w:p>
    <w:p>
      <w:pPr>
        <w:pStyle w:val="Heading2"/>
        <w:spacing w:after="150" w:before="300"/>
      </w:pPr>
      <w:r>
        <w:t xml:space="preserve">1.1 Current State</w:t>
      </w:r>
    </w:p>
    <w:p>
      <w:pPr>
        <w:pStyle w:val="ListParagraph"/>
        <w:numPr>
          <w:ilvl w:val="0"/>
          <w:numId w:val="2"/>
        </w:numPr>
        <w:spacing w:after="80"/>
      </w:pPr>
      <w:r>
        <w:t xml:space="preserve">Birth registration is largely paper-based, with registers kept per-facility and periodically transcribed by hand to district offices.</w:t>
      </w:r>
    </w:p>
    <w:p>
      <w:pPr>
        <w:pStyle w:val="ListParagraph"/>
        <w:numPr>
          <w:ilvl w:val="0"/>
          <w:numId w:val="2"/>
        </w:numPr>
        <w:spacing w:after="80"/>
      </w:pPr>
      <w:r>
        <w:t xml:space="preserve">Village clinics and community health posts — which handle a large share of rural births — have the weakest record-keeping and the longest delay before a birth is ever reflected in national statistics.</w:t>
      </w:r>
    </w:p>
    <w:p>
      <w:pPr>
        <w:pStyle w:val="ListParagraph"/>
        <w:numPr>
          <w:ilvl w:val="0"/>
          <w:numId w:val="2"/>
        </w:numPr>
        <w:spacing w:after="80"/>
      </w:pPr>
      <w:r>
        <w:t xml:space="preserve">No unique identifier links a birth record to later health, education, and national ID records, causing duplicate registrations and unregistered children.</w:t>
      </w:r>
    </w:p>
    <w:p>
      <w:pPr>
        <w:pStyle w:val="ListParagraph"/>
        <w:numPr>
          <w:ilvl w:val="0"/>
          <w:numId w:val="2"/>
        </w:numPr>
        <w:spacing w:after="80"/>
      </w:pPr>
      <w:r>
        <w:t xml:space="preserve">Certificate issuance is slow and inconsistent between regions, and there is no reliable way to verify a certificate's authenticity or detect fraud.</w:t>
      </w:r>
    </w:p>
    <w:p>
      <w:pPr>
        <w:pStyle w:val="ListParagraph"/>
        <w:numPr>
          <w:ilvl w:val="0"/>
          <w:numId w:val="2"/>
        </w:numPr>
        <w:spacing w:after="80"/>
      </w:pPr>
      <w:r>
        <w:t xml:space="preserve">Vital statistics used for national health planning (infant mortality, birth rate by region) are delayed by months and are incomplete for rural areas.</w:t>
      </w:r>
    </w:p>
    <w:p>
      <w:pPr>
        <w:pStyle w:val="Heading2"/>
        <w:spacing w:after="150" w:before="300"/>
      </w:pPr>
      <w:r>
        <w:t xml:space="preserve">1.2 Why Now</w:t>
      </w:r>
    </w:p>
    <w:p>
      <w:pPr>
        <w:spacing w:after="160"/>
      </w:pPr>
      <w:r>
        <w:t xml:space="preserve">Mobile and low-cost tablet hardware has become cheap enough to place a device in nearly every clinic, and offline-first mobile application patterns (used successfully in sectors like mobile banking and agricultural extension) now make it realistic to digitize registration even where connectivity is unreliable, without waiting for full national broadband coverage.</w:t>
      </w:r>
    </w:p>
    <w:p>
      <w:pPr>
        <w:pStyle w:val="Heading1"/>
        <w:spacing w:after="200" w:before="400"/>
      </w:pPr>
      <w:r>
        <w:t xml:space="preserve">2. Vision, Objectives &amp; Scope</w:t>
      </w:r>
    </w:p>
    <w:p>
      <w:pPr>
        <w:pStyle w:val="Heading2"/>
        <w:spacing w:after="150" w:before="300"/>
      </w:pPr>
      <w:r>
        <w:t xml:space="preserve">2.1 Vision</w:t>
      </w:r>
    </w:p>
    <w:p>
      <w:pPr>
        <w:spacing w:after="160"/>
      </w:pPr>
      <w:r>
        <w:t xml:space="preserve">Every child, regardless of where they are born — a national referral hospital or a single-room village clinic — is registered within days of birth and is issued a certificate that is legally valid, digitally verifiable, and permanently linked to a national civil registry.</w:t>
      </w:r>
    </w:p>
    <w:p>
      <w:pPr>
        <w:pStyle w:val="Heading2"/>
        <w:spacing w:after="150" w:before="300"/>
      </w:pPr>
      <w:r>
        <w:t xml:space="preserve">2.2 Objectives</w:t>
      </w:r>
    </w:p>
    <w:p>
      <w:pPr>
        <w:pStyle w:val="ListParagraph"/>
        <w:numPr>
          <w:ilvl w:val="0"/>
          <w:numId w:val="3"/>
        </w:numPr>
        <w:spacing w:after="80"/>
      </w:pPr>
      <w:r>
        <w:t xml:space="preserve">Enable birth registration at any facility type, online or offline, using a common data standard.</w:t>
      </w:r>
    </w:p>
    <w:p>
      <w:pPr>
        <w:pStyle w:val="ListParagraph"/>
        <w:numPr>
          <w:ilvl w:val="0"/>
          <w:numId w:val="3"/>
        </w:numPr>
        <w:spacing w:after="80"/>
      </w:pPr>
      <w:r>
        <w:t xml:space="preserve">Issue a nationally unique birth registration number at the point of registration, preventing duplicates even when facilities are disconnected for days or weeks.</w:t>
      </w:r>
    </w:p>
    <w:p>
      <w:pPr>
        <w:pStyle w:val="ListParagraph"/>
        <w:numPr>
          <w:ilvl w:val="0"/>
          <w:numId w:val="3"/>
        </w:numPr>
        <w:spacing w:after="80"/>
      </w:pPr>
      <w:r>
        <w:t xml:space="preserve">Produce a certificate that is cryptographically verifiable (QR code / digital signature) to reduce fraud.</w:t>
      </w:r>
    </w:p>
    <w:p>
      <w:pPr>
        <w:pStyle w:val="ListParagraph"/>
        <w:numPr>
          <w:ilvl w:val="0"/>
          <w:numId w:val="3"/>
        </w:numPr>
        <w:spacing w:after="80"/>
      </w:pPr>
      <w:r>
        <w:t xml:space="preserve">Give the Ministry of Health real-time (or near-real-time, post-sync) visibility into birth statistics nationally, by region, and by facility.</w:t>
      </w:r>
    </w:p>
    <w:p>
      <w:pPr>
        <w:pStyle w:val="ListParagraph"/>
        <w:numPr>
          <w:ilvl w:val="0"/>
          <w:numId w:val="3"/>
        </w:numPr>
        <w:spacing w:after="80"/>
      </w:pPr>
      <w:r>
        <w:t xml:space="preserve">Lay the technical foundation for future interoperability with the National ID system, the civil registry (Ministry of Interior/Justice), and existing Health Information Systems (e.g. DHIS2).</w:t>
      </w:r>
    </w:p>
    <w:p>
      <w:pPr>
        <w:pStyle w:val="ListParagraph"/>
        <w:numPr>
          <w:ilvl w:val="0"/>
          <w:numId w:val="3"/>
        </w:numPr>
        <w:spacing w:after="80"/>
      </w:pPr>
      <w:r>
        <w:t xml:space="preserve">Minimize training burden on village-level health workers, who may have limited digital literacy and intermittent device access.</w:t>
      </w:r>
    </w:p>
    <w:p>
      <w:pPr>
        <w:pStyle w:val="Heading2"/>
        <w:spacing w:after="150" w:before="300"/>
      </w:pPr>
      <w:r>
        <w:t xml:space="preserve">2.3 Scope</w:t>
      </w:r>
    </w:p>
    <w:p>
      <w:pPr>
        <w:pStyle w:val="Heading3"/>
        <w:spacing w:after="100" w:before="200"/>
      </w:pPr>
      <w:r>
        <w:t xml:space="preserve">In scope</w:t>
      </w:r>
    </w:p>
    <w:p>
      <w:pPr>
        <w:pStyle w:val="ListParagraph"/>
        <w:numPr>
          <w:ilvl w:val="0"/>
          <w:numId w:val="2"/>
        </w:numPr>
        <w:spacing w:after="80"/>
      </w:pPr>
      <w:r>
        <w:t xml:space="preserve">Birth event capture at hospitals, clinics, and village health posts (facility births and reported home births).</w:t>
      </w:r>
    </w:p>
    <w:p>
      <w:pPr>
        <w:pStyle w:val="ListParagraph"/>
        <w:numPr>
          <w:ilvl w:val="0"/>
          <w:numId w:val="2"/>
        </w:numPr>
        <w:spacing w:after="80"/>
      </w:pPr>
      <w:r>
        <w:t xml:space="preserve">Offline registration with deferred synchronization.</w:t>
      </w:r>
    </w:p>
    <w:p>
      <w:pPr>
        <w:pStyle w:val="ListParagraph"/>
        <w:numPr>
          <w:ilvl w:val="0"/>
          <w:numId w:val="2"/>
        </w:numPr>
        <w:spacing w:after="80"/>
      </w:pPr>
      <w:r>
        <w:t xml:space="preserve">Certificate generation, printing, and digital verification.</w:t>
      </w:r>
    </w:p>
    <w:p>
      <w:pPr>
        <w:pStyle w:val="ListParagraph"/>
        <w:numPr>
          <w:ilvl w:val="0"/>
          <w:numId w:val="2"/>
        </w:numPr>
        <w:spacing w:after="80"/>
      </w:pPr>
      <w:r>
        <w:t xml:space="preserve">Correction/amendment and late-registration workflows.</w:t>
      </w:r>
    </w:p>
    <w:p>
      <w:pPr>
        <w:pStyle w:val="ListParagraph"/>
        <w:numPr>
          <w:ilvl w:val="0"/>
          <w:numId w:val="2"/>
        </w:numPr>
        <w:spacing w:after="80"/>
      </w:pPr>
      <w:r>
        <w:t xml:space="preserve">Central dashboards and reporting for the Ministry of Health.</w:t>
      </w:r>
    </w:p>
    <w:p>
      <w:pPr>
        <w:pStyle w:val="ListParagraph"/>
        <w:numPr>
          <w:ilvl w:val="0"/>
          <w:numId w:val="2"/>
        </w:numPr>
        <w:spacing w:after="80"/>
      </w:pPr>
      <w:r>
        <w:t xml:space="preserve">Role-based access for registrars, facility administrators, district officers, and ministry staff.</w:t>
      </w:r>
    </w:p>
    <w:p>
      <w:pPr>
        <w:pStyle w:val="Heading3"/>
        <w:spacing w:after="100" w:before="200"/>
      </w:pPr>
      <w:r>
        <w:t xml:space="preserve">Out of scope (Phase 1)</w:t>
      </w:r>
    </w:p>
    <w:p>
      <w:pPr>
        <w:pStyle w:val="ListParagraph"/>
        <w:numPr>
          <w:ilvl w:val="0"/>
          <w:numId w:val="2"/>
        </w:numPr>
        <w:spacing w:after="80"/>
      </w:pPr>
      <w:r>
        <w:t xml:space="preserve">Death registration and marriage registration (architecturally compatible, but deferred to a later phase).</w:t>
      </w:r>
    </w:p>
    <w:p>
      <w:pPr>
        <w:pStyle w:val="ListParagraph"/>
        <w:numPr>
          <w:ilvl w:val="0"/>
          <w:numId w:val="2"/>
        </w:numPr>
        <w:spacing w:after="80"/>
      </w:pPr>
      <w:r>
        <w:t xml:space="preserve">Full national ID card issuance (NCBRS will expose data via API for that system, not replace it).</w:t>
      </w:r>
    </w:p>
    <w:p>
      <w:pPr>
        <w:pStyle w:val="ListParagraph"/>
        <w:numPr>
          <w:ilvl w:val="0"/>
          <w:numId w:val="2"/>
        </w:numPr>
        <w:spacing w:after="80"/>
      </w:pPr>
      <w:r>
        <w:t xml:space="preserve">Retrospective digitization of historical paper archives (recommended as a separate, later project).</w:t>
      </w:r>
    </w:p>
    <w:p>
      <w:pPr>
        <w:pStyle w:val="Heading1"/>
        <w:spacing w:after="200" w:before="400"/>
      </w:pPr>
      <w:r>
        <w:t xml:space="preserve">3. Stakeholders &amp; Governance</w:t>
      </w:r>
    </w:p>
    <w:p>
      <w:pPr>
        <w:pStyle w:val="Heading2"/>
        <w:spacing w:after="150" w:before="300"/>
      </w:pPr>
      <w:r>
        <w:t xml:space="preserve">3.1 Stakeholder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Stakeholder</w:t>
            </w:r>
          </w:p>
        </w:tc>
        <w:tc>
          <w:tcPr>
            <w:tcW w:type="dxa" w:w="4900"/>
            <w:shd w:fill="1F3864" w:val="clear"/>
            <w:tcMar>
              <w:top w:type="dxa" w:w="80"/>
              <w:left w:type="dxa" w:w="100"/>
              <w:bottom w:type="dxa" w:w="80"/>
              <w:right w:type="dxa" w:w="100"/>
            </w:tcMar>
          </w:tcPr>
          <w:p>
            <w:r>
              <w:rPr>
                <w:b/>
                <w:bCs/>
                <w:color w:val="FFFFFF"/>
                <w:sz w:val="20"/>
                <w:szCs w:val="20"/>
              </w:rPr>
              <w:t xml:space="preserve">Role</w:t>
            </w:r>
          </w:p>
        </w:tc>
      </w:tr>
      <w:tr>
        <w:tc>
          <w:tcPr>
            <w:tcW w:type="dxa" w:w="4600"/>
            <w:shd w:fill="F2F2F2" w:val="clear"/>
            <w:tcMar>
              <w:top w:type="dxa" w:w="80"/>
              <w:left w:type="dxa" w:w="100"/>
              <w:bottom w:type="dxa" w:w="80"/>
              <w:right w:type="dxa" w:w="100"/>
            </w:tcMar>
          </w:tcPr>
          <w:p>
            <w:r>
              <w:rPr>
                <w:sz w:val="20"/>
                <w:szCs w:val="20"/>
              </w:rPr>
              <w:t xml:space="preserve">Ministry of Health (MoH)</w:t>
            </w:r>
          </w:p>
        </w:tc>
        <w:tc>
          <w:tcPr>
            <w:tcW w:type="dxa" w:w="4900"/>
            <w:shd w:fill="F2F2F2" w:val="clear"/>
            <w:tcMar>
              <w:top w:type="dxa" w:w="80"/>
              <w:left w:type="dxa" w:w="100"/>
              <w:bottom w:type="dxa" w:w="80"/>
              <w:right w:type="dxa" w:w="100"/>
            </w:tcMar>
          </w:tcPr>
          <w:p>
            <w:r>
              <w:rPr>
                <w:sz w:val="20"/>
                <w:szCs w:val="20"/>
              </w:rPr>
              <w:t xml:space="preserve">System owner; sets policy, funds and operates the central platform</w:t>
            </w:r>
          </w:p>
        </w:tc>
      </w:tr>
      <w:tr>
        <w:tc>
          <w:tcPr>
            <w:tcW w:type="dxa" w:w="4600"/>
            <w:shd w:fill="FFFFFF" w:val="clear"/>
            <w:tcMar>
              <w:top w:type="dxa" w:w="80"/>
              <w:left w:type="dxa" w:w="100"/>
              <w:bottom w:type="dxa" w:w="80"/>
              <w:right w:type="dxa" w:w="100"/>
            </w:tcMar>
          </w:tcPr>
          <w:p>
            <w:r>
              <w:rPr>
                <w:sz w:val="20"/>
                <w:szCs w:val="20"/>
              </w:rPr>
              <w:t xml:space="preserve">Ministry of Interior / Justice (Civil Registry)</w:t>
            </w:r>
          </w:p>
        </w:tc>
        <w:tc>
          <w:tcPr>
            <w:tcW w:type="dxa" w:w="4900"/>
            <w:shd w:fill="FFFFFF" w:val="clear"/>
            <w:tcMar>
              <w:top w:type="dxa" w:w="80"/>
              <w:left w:type="dxa" w:w="100"/>
              <w:bottom w:type="dxa" w:w="80"/>
              <w:right w:type="dxa" w:w="100"/>
            </w:tcMar>
          </w:tcPr>
          <w:p>
            <w:r>
              <w:rPr>
                <w:sz w:val="20"/>
                <w:szCs w:val="20"/>
              </w:rPr>
              <w:t xml:space="preserve">Legal custodian of civil status; co-signs certificate validity</w:t>
            </w:r>
          </w:p>
        </w:tc>
      </w:tr>
      <w:tr>
        <w:tc>
          <w:tcPr>
            <w:tcW w:type="dxa" w:w="4600"/>
            <w:shd w:fill="F2F2F2" w:val="clear"/>
            <w:tcMar>
              <w:top w:type="dxa" w:w="80"/>
              <w:left w:type="dxa" w:w="100"/>
              <w:bottom w:type="dxa" w:w="80"/>
              <w:right w:type="dxa" w:w="100"/>
            </w:tcMar>
          </w:tcPr>
          <w:p>
            <w:r>
              <w:rPr>
                <w:sz w:val="20"/>
                <w:szCs w:val="20"/>
              </w:rPr>
              <w:t xml:space="preserve">National ID Authority</w:t>
            </w:r>
          </w:p>
        </w:tc>
        <w:tc>
          <w:tcPr>
            <w:tcW w:type="dxa" w:w="4900"/>
            <w:shd w:fill="F2F2F2" w:val="clear"/>
            <w:tcMar>
              <w:top w:type="dxa" w:w="80"/>
              <w:left w:type="dxa" w:w="100"/>
              <w:bottom w:type="dxa" w:w="80"/>
              <w:right w:type="dxa" w:w="100"/>
            </w:tcMar>
          </w:tcPr>
          <w:p>
            <w:r>
              <w:rPr>
                <w:sz w:val="20"/>
                <w:szCs w:val="20"/>
              </w:rPr>
              <w:t xml:space="preserve">Future data consumer — birth record feeds national ID issuance</w:t>
            </w:r>
          </w:p>
        </w:tc>
      </w:tr>
      <w:tr>
        <w:tc>
          <w:tcPr>
            <w:tcW w:type="dxa" w:w="4600"/>
            <w:shd w:fill="FFFFFF" w:val="clear"/>
            <w:tcMar>
              <w:top w:type="dxa" w:w="80"/>
              <w:left w:type="dxa" w:w="100"/>
              <w:bottom w:type="dxa" w:w="80"/>
              <w:right w:type="dxa" w:w="100"/>
            </w:tcMar>
          </w:tcPr>
          <w:p>
            <w:r>
              <w:rPr>
                <w:sz w:val="20"/>
                <w:szCs w:val="20"/>
              </w:rPr>
              <w:t xml:space="preserve">District Health Offices</w:t>
            </w:r>
          </w:p>
        </w:tc>
        <w:tc>
          <w:tcPr>
            <w:tcW w:type="dxa" w:w="4900"/>
            <w:shd w:fill="FFFFFF" w:val="clear"/>
            <w:tcMar>
              <w:top w:type="dxa" w:w="80"/>
              <w:left w:type="dxa" w:w="100"/>
              <w:bottom w:type="dxa" w:w="80"/>
              <w:right w:type="dxa" w:w="100"/>
            </w:tcMar>
          </w:tcPr>
          <w:p>
            <w:r>
              <w:rPr>
                <w:sz w:val="20"/>
                <w:szCs w:val="20"/>
              </w:rPr>
              <w:t xml:space="preserve">Regional administration, registrar oversight, device distribution</w:t>
            </w:r>
          </w:p>
        </w:tc>
      </w:tr>
      <w:tr>
        <w:tc>
          <w:tcPr>
            <w:tcW w:type="dxa" w:w="4600"/>
            <w:shd w:fill="F2F2F2" w:val="clear"/>
            <w:tcMar>
              <w:top w:type="dxa" w:w="80"/>
              <w:left w:type="dxa" w:w="100"/>
              <w:bottom w:type="dxa" w:w="80"/>
              <w:right w:type="dxa" w:w="100"/>
            </w:tcMar>
          </w:tcPr>
          <w:p>
            <w:r>
              <w:rPr>
                <w:sz w:val="20"/>
                <w:szCs w:val="20"/>
              </w:rPr>
              <w:t xml:space="preserve">Hospitals &amp; Clinics</w:t>
            </w:r>
          </w:p>
        </w:tc>
        <w:tc>
          <w:tcPr>
            <w:tcW w:type="dxa" w:w="4900"/>
            <w:shd w:fill="F2F2F2" w:val="clear"/>
            <w:tcMar>
              <w:top w:type="dxa" w:w="80"/>
              <w:left w:type="dxa" w:w="100"/>
              <w:bottom w:type="dxa" w:w="80"/>
              <w:right w:type="dxa" w:w="100"/>
            </w:tcMar>
          </w:tcPr>
          <w:p>
            <w:r>
              <w:rPr>
                <w:sz w:val="20"/>
                <w:szCs w:val="20"/>
              </w:rPr>
              <w:t xml:space="preserve">Primary registration points, always/mostly online</w:t>
            </w:r>
          </w:p>
        </w:tc>
      </w:tr>
      <w:tr>
        <w:tc>
          <w:tcPr>
            <w:tcW w:type="dxa" w:w="4600"/>
            <w:shd w:fill="FFFFFF" w:val="clear"/>
            <w:tcMar>
              <w:top w:type="dxa" w:w="80"/>
              <w:left w:type="dxa" w:w="100"/>
              <w:bottom w:type="dxa" w:w="80"/>
              <w:right w:type="dxa" w:w="100"/>
            </w:tcMar>
          </w:tcPr>
          <w:p>
            <w:r>
              <w:rPr>
                <w:sz w:val="20"/>
                <w:szCs w:val="20"/>
              </w:rPr>
              <w:t xml:space="preserve">Village Health Posts / Community Health Workers</w:t>
            </w:r>
          </w:p>
        </w:tc>
        <w:tc>
          <w:tcPr>
            <w:tcW w:type="dxa" w:w="4900"/>
            <w:shd w:fill="FFFFFF" w:val="clear"/>
            <w:tcMar>
              <w:top w:type="dxa" w:w="80"/>
              <w:left w:type="dxa" w:w="100"/>
              <w:bottom w:type="dxa" w:w="80"/>
              <w:right w:type="dxa" w:w="100"/>
            </w:tcMar>
          </w:tcPr>
          <w:p>
            <w:r>
              <w:rPr>
                <w:sz w:val="20"/>
                <w:szCs w:val="20"/>
              </w:rPr>
              <w:t xml:space="preserve">Registration in low-connectivity areas, offline-first users</w:t>
            </w:r>
          </w:p>
        </w:tc>
      </w:tr>
      <w:tr>
        <w:tc>
          <w:tcPr>
            <w:tcW w:type="dxa" w:w="4600"/>
            <w:shd w:fill="F2F2F2" w:val="clear"/>
            <w:tcMar>
              <w:top w:type="dxa" w:w="80"/>
              <w:left w:type="dxa" w:w="100"/>
              <w:bottom w:type="dxa" w:w="80"/>
              <w:right w:type="dxa" w:w="100"/>
            </w:tcMar>
          </w:tcPr>
          <w:p>
            <w:r>
              <w:rPr>
                <w:sz w:val="20"/>
                <w:szCs w:val="20"/>
              </w:rPr>
              <w:t xml:space="preserve">National Statistics Office</w:t>
            </w:r>
          </w:p>
        </w:tc>
        <w:tc>
          <w:tcPr>
            <w:tcW w:type="dxa" w:w="4900"/>
            <w:shd w:fill="F2F2F2" w:val="clear"/>
            <w:tcMar>
              <w:top w:type="dxa" w:w="80"/>
              <w:left w:type="dxa" w:w="100"/>
              <w:bottom w:type="dxa" w:w="80"/>
              <w:right w:type="dxa" w:w="100"/>
            </w:tcMar>
          </w:tcPr>
          <w:p>
            <w:r>
              <w:rPr>
                <w:sz w:val="20"/>
                <w:szCs w:val="20"/>
              </w:rPr>
              <w:t xml:space="preserve">Consumer of aggregated, anonymized vital statistics</w:t>
            </w:r>
          </w:p>
        </w:tc>
      </w:tr>
      <w:tr>
        <w:tc>
          <w:tcPr>
            <w:tcW w:type="dxa" w:w="4600"/>
            <w:shd w:fill="FFFFFF" w:val="clear"/>
            <w:tcMar>
              <w:top w:type="dxa" w:w="80"/>
              <w:left w:type="dxa" w:w="100"/>
              <w:bottom w:type="dxa" w:w="80"/>
              <w:right w:type="dxa" w:w="100"/>
            </w:tcMar>
          </w:tcPr>
          <w:p>
            <w:r>
              <w:rPr>
                <w:sz w:val="20"/>
                <w:szCs w:val="20"/>
              </w:rPr>
              <w:t xml:space="preserve">Citizens / Parents</w:t>
            </w:r>
          </w:p>
        </w:tc>
        <w:tc>
          <w:tcPr>
            <w:tcW w:type="dxa" w:w="4900"/>
            <w:shd w:fill="FFFFFF" w:val="clear"/>
            <w:tcMar>
              <w:top w:type="dxa" w:w="80"/>
              <w:left w:type="dxa" w:w="100"/>
              <w:bottom w:type="dxa" w:w="80"/>
              <w:right w:type="dxa" w:w="100"/>
            </w:tcMar>
          </w:tcPr>
          <w:p>
            <w:r>
              <w:rPr>
                <w:sz w:val="20"/>
                <w:szCs w:val="20"/>
              </w:rPr>
              <w:t xml:space="preserve">End beneficiaries; receive the certificate</w:t>
            </w:r>
          </w:p>
        </w:tc>
      </w:tr>
    </w:tbl>
    <w:p>
      <w:pPr>
        <w:pStyle w:val="Heading2"/>
        <w:spacing w:after="150" w:before="300"/>
      </w:pPr>
      <w:r>
        <w:t xml:space="preserve">3.2 Governance Structure</w:t>
      </w:r>
    </w:p>
    <w:p>
      <w:pPr>
        <w:spacing w:after="160"/>
      </w:pPr>
      <w:r>
        <w:t xml:space="preserve">A cross-ministerial Steering Committee (Health, Interior/Justice, National ID Authority, and the National Statistics Office) should approve the legal framework and data-sharing agreements before technical rollout begins. Day-to-day system ownership and operations sit with a Digital Health / Civil Registration Unit inside the Ministry of Health, with a named Data Protection Officer responsible for privacy compliance.</w:t>
      </w:r>
    </w:p>
    <w:p>
      <w:pPr>
        <w:pStyle w:val="Heading1"/>
        <w:spacing w:after="200" w:before="400"/>
      </w:pPr>
      <w:r>
        <w:t xml:space="preserve">4. Legal &amp; Policy Framework</w:t>
      </w:r>
    </w:p>
    <w:p>
      <w:pPr>
        <w:spacing w:after="160"/>
      </w:pPr>
      <w:r>
        <w:t xml:space="preserve">A technically excellent system is worthless if the certificates it produces have no legal standing. This section must be finalized – in law, not just policy – before pilot rollout.</w:t>
      </w:r>
    </w:p>
    <w:p>
      <w:pPr>
        <w:pStyle w:val="Heading2"/>
        <w:spacing w:after="150" w:before="300"/>
      </w:pPr>
      <w:r>
        <w:t xml:space="preserve">4.1 Legal Basis for Civil Registration</w:t>
      </w:r>
    </w:p>
    <w:p>
      <w:pPr>
        <w:pStyle w:val="ListParagraph"/>
        <w:numPr>
          <w:ilvl w:val="0"/>
          <w:numId w:val="2"/>
        </w:numPr>
        <w:spacing w:after="80"/>
      </w:pPr>
      <w:r>
        <w:t xml:space="preserve">Confirm or amend the Civil Registration Act (or equivalent) to explicitly recognize digitally-generated and digitally-signed birth certificates as legally equivalent to paper certificates.</w:t>
      </w:r>
    </w:p>
    <w:p>
      <w:pPr>
        <w:pStyle w:val="ListParagraph"/>
        <w:numPr>
          <w:ilvl w:val="0"/>
          <w:numId w:val="2"/>
        </w:numPr>
        <w:spacing w:after="80"/>
      </w:pPr>
      <w:r>
        <w:t xml:space="preserve">Define legal responsibility and liability for registrars at each facility tier, including village-level community health workers who may not be civil servants.</w:t>
      </w:r>
    </w:p>
    <w:p>
      <w:pPr>
        <w:pStyle w:val="ListParagraph"/>
        <w:numPr>
          <w:ilvl w:val="0"/>
          <w:numId w:val="2"/>
        </w:numPr>
        <w:spacing w:after="80"/>
      </w:pPr>
      <w:r>
        <w:t xml:space="preserve">Establish a statutory registration window (e.g. within 30/60/90 days of birth) and a separate, clearly defined late-registration process with additional verification steps.</w:t>
      </w:r>
    </w:p>
    <w:p>
      <w:pPr>
        <w:pStyle w:val="Heading2"/>
        <w:spacing w:after="150" w:before="300"/>
      </w:pPr>
      <w:r>
        <w:t xml:space="preserve">4.2 Data Protection &amp; Privacy</w:t>
      </w:r>
    </w:p>
    <w:p>
      <w:pPr>
        <w:pStyle w:val="ListParagraph"/>
        <w:numPr>
          <w:ilvl w:val="0"/>
          <w:numId w:val="2"/>
        </w:numPr>
        <w:spacing w:after="80"/>
      </w:pPr>
      <w:r>
        <w:t xml:space="preserve">Birth records contain sensitive personal data (parents' identity, health facility, sometimes health conditions at birth). The system must comply with national data protection law, or if none exists, should be built to a recognized baseline standard (e.g. purpose limitation, data minimization, right to correction).</w:t>
      </w:r>
    </w:p>
    <w:p>
      <w:pPr>
        <w:pStyle w:val="ListParagraph"/>
        <w:numPr>
          <w:ilvl w:val="0"/>
          <w:numId w:val="2"/>
        </w:numPr>
        <w:spacing w:after="80"/>
      </w:pPr>
      <w:r>
        <w:t xml:space="preserve">Data residency: define whether birth data must remain on servers physically located in-country — this affects cloud vs. on-premises hosting decisions in Section 7.</w:t>
      </w:r>
    </w:p>
    <w:p>
      <w:pPr>
        <w:pStyle w:val="ListParagraph"/>
        <w:numPr>
          <w:ilvl w:val="0"/>
          <w:numId w:val="2"/>
        </w:numPr>
        <w:spacing w:after="80"/>
      </w:pPr>
      <w:r>
        <w:t xml:space="preserve">Access to a child's birth record should be restricted to legal guardians, authorized registrars, and specific government agencies via signed data-sharing agreements — not open by default.</w:t>
      </w:r>
    </w:p>
    <w:p>
      <w:pPr>
        <w:pStyle w:val="Heading2"/>
        <w:spacing w:after="150" w:before="300"/>
      </w:pPr>
      <w:r>
        <w:t xml:space="preserve">4.3 Certificate Validity &amp; Chain of Custody</w:t>
      </w:r>
    </w:p>
    <w:p>
      <w:pPr>
        <w:pStyle w:val="ListParagraph"/>
        <w:numPr>
          <w:ilvl w:val="0"/>
          <w:numId w:val="2"/>
        </w:numPr>
        <w:spacing w:after="80"/>
      </w:pPr>
      <w:r>
        <w:t xml:space="preserve">Every certificate carries a unique Birth Registration Number (BRN), a QR code, and a digital signature issued by a Ministry-controlled certificate authority, so any third party (school, bank, passport office) can verify authenticity offline by checking the signature or online by checking the BRN against the central registry.</w:t>
      </w:r>
    </w:p>
    <w:p>
      <w:pPr>
        <w:pStyle w:val="ListParagraph"/>
        <w:numPr>
          <w:ilvl w:val="0"/>
          <w:numId w:val="2"/>
        </w:numPr>
        <w:spacing w:after="80"/>
      </w:pPr>
      <w:r>
        <w:t xml:space="preserve">Maintain an immutable audit log of every registration, edit, and certificate reprint, including which registrar/device performed the action and when — required both for legal defensibility and fraud investigation.</w:t>
      </w:r>
    </w:p>
    <w:p>
      <w:pPr>
        <w:pStyle w:val="ListParagraph"/>
        <w:numPr>
          <w:ilvl w:val="0"/>
          <w:numId w:val="2"/>
        </w:numPr>
        <w:spacing w:after="80"/>
      </w:pPr>
      <w:r>
        <w:t xml:space="preserve">A signature proves a certificate was genuinely issued; it cannot show that the register was corrected afterwards, because nothing printed on the document changes when the record does. The Ministry therefore publishes a signed certificate revocation list, and validity is defined as signed AND not revoked. Entries are opaque digests carrying no name, BRN or facility, so the list can be distributed as widely as verification requires. Verifiers must honour its stated expiry: past that point an absent certificate is unknown, never valid.</w:t>
      </w:r>
    </w:p>
    <w:p>
      <w:pPr>
        <w:pStyle w:val="Heading2"/>
        <w:spacing w:after="150" w:before="300"/>
      </w:pPr>
      <w:r>
        <w:t xml:space="preserve">4.4 Interoperability Mandates</w:t>
      </w:r>
    </w:p>
    <w:p>
      <w:pPr>
        <w:spacing w:after="160"/>
      </w:pPr>
      <w:r>
        <w:t xml:space="preserve">Data-sharing agreements should be pre-negotiated (not improvised later) with the National ID Authority and the Ministry of Interior's civil registry, defining exactly which fields are shared, in what format, and under what legal authority — this becomes the specification for the API integration work in Section 6.8.</w:t>
      </w:r>
    </w:p>
    <w:p>
      <w:pPr>
        <w:pStyle w:val="Heading1"/>
        <w:spacing w:after="200" w:before="400"/>
      </w:pPr>
      <w:r>
        <w:t xml:space="preserve">5. Business Process Design</w:t>
      </w:r>
    </w:p>
    <w:p>
      <w:pPr>
        <w:pStyle w:val="Heading2"/>
        <w:spacing w:after="150" w:before="300"/>
      </w:pPr>
      <w:r>
        <w:t xml:space="preserve">5.1 Facility Birth — Standard Workflow</w:t>
      </w:r>
    </w:p>
    <w:p>
      <w:pPr>
        <w:pStyle w:val="ListParagraph"/>
        <w:numPr>
          <w:ilvl w:val="0"/>
          <w:numId w:val="3"/>
        </w:numPr>
        <w:spacing w:after="80"/>
      </w:pPr>
      <w:r>
        <w:t xml:space="preserve">Birth occurs at a hospital or clinic; attending midwife/nurse completes a structured birth notification form (mother/father ID, birth details, attending facility) on the local device.</w:t>
      </w:r>
    </w:p>
    <w:p>
      <w:pPr>
        <w:pStyle w:val="ListParagraph"/>
        <w:numPr>
          <w:ilvl w:val="0"/>
          <w:numId w:val="3"/>
        </w:numPr>
        <w:spacing w:after="80"/>
      </w:pPr>
      <w:r>
        <w:t xml:space="preserve">The device generates a provisional Birth Registration Number (BRN) locally — valid immediately — using a pre-allocated offline ID block (see Section 6.6).</w:t>
      </w:r>
    </w:p>
    <w:p>
      <w:pPr>
        <w:pStyle w:val="ListParagraph"/>
        <w:numPr>
          <w:ilvl w:val="0"/>
          <w:numId w:val="3"/>
        </w:numPr>
        <w:spacing w:after="80"/>
      </w:pPr>
      <w:r>
        <w:t xml:space="preserve">A provisional certificate can be printed on-site immediately for the family.</w:t>
      </w:r>
    </w:p>
    <w:p>
      <w:pPr>
        <w:pStyle w:val="ListParagraph"/>
        <w:numPr>
          <w:ilvl w:val="0"/>
          <w:numId w:val="3"/>
        </w:numPr>
        <w:spacing w:after="80"/>
      </w:pPr>
      <w:r>
        <w:t xml:space="preserve">The record queues for sync; once the device has connectivity, it uploads to the district/central server, which validates and confirms the BRN as permanent.</w:t>
      </w:r>
    </w:p>
    <w:p>
      <w:pPr>
        <w:pStyle w:val="Heading2"/>
        <w:spacing w:after="150" w:before="300"/>
      </w:pPr>
      <w:r>
        <w:t xml:space="preserve">5.2 Village Clinic / Home Birth Workflow (Offline-First)</w:t>
      </w:r>
    </w:p>
    <w:p>
      <w:pPr>
        <w:pStyle w:val="ListParagraph"/>
        <w:numPr>
          <w:ilvl w:val="0"/>
          <w:numId w:val="3"/>
        </w:numPr>
        <w:spacing w:after="80"/>
      </w:pPr>
      <w:r>
        <w:t xml:space="preserve">A community health worker (CHW) records the birth on a low-cost tablet or smartphone app — no connectivity required.</w:t>
      </w:r>
    </w:p>
    <w:p>
      <w:pPr>
        <w:pStyle w:val="ListParagraph"/>
        <w:numPr>
          <w:ilvl w:val="0"/>
          <w:numId w:val="3"/>
        </w:numPr>
        <w:spacing w:after="80"/>
      </w:pPr>
      <w:r>
        <w:t xml:space="preserve">The CHW's device holds a pre-synced, locally reserved block of BRNs (assigned during the CHW's last sync), so no duplicate numbers are issued even after days offline.</w:t>
      </w:r>
    </w:p>
    <w:p>
      <w:pPr>
        <w:pStyle w:val="ListParagraph"/>
        <w:numPr>
          <w:ilvl w:val="0"/>
          <w:numId w:val="3"/>
        </w:numPr>
        <w:spacing w:after="80"/>
      </w:pPr>
      <w:r>
        <w:t xml:space="preserve">A provisional paper certificate (with QR code pointing to the offline BRN) can still be handed to the family.</w:t>
      </w:r>
    </w:p>
    <w:p>
      <w:pPr>
        <w:pStyle w:val="ListParagraph"/>
        <w:numPr>
          <w:ilvl w:val="0"/>
          <w:numId w:val="3"/>
        </w:numPr>
        <w:spacing w:after="80"/>
      </w:pPr>
      <w:r>
        <w:t xml:space="preserve">When the CHW returns to an area with signal (or periodically visits a district office with Wi-Fi), the device syncs its full offline queue in one batch.</w:t>
      </w:r>
    </w:p>
    <w:p>
      <w:pPr>
        <w:pStyle w:val="Heading2"/>
        <w:spacing w:after="150" w:before="300"/>
      </w:pPr>
      <w:r>
        <w:t xml:space="preserve">5.3 Correction, Amendment &amp; Late Registration</w:t>
      </w:r>
    </w:p>
    <w:p>
      <w:pPr>
        <w:spacing w:after="160"/>
      </w:pPr>
      <w:r>
        <w:t xml:space="preserve">Corrections run on two tracks, because not every correction carries the same weight. The immediate track is the clinical measurements that describe the birth event — birth weight, gestational age and birth order. These are corrected at once with a full audit trail, since a clerical fix held behind a district officer helps nobody and teaches staff that corrections are not worth making. The approval track is everything that describes who the record is about: the child's name, date of birth and sex, and both parents' names. These wait for approval by a registrar other than the one who submitted them. The first three are the fields a certificate's signature covers. A parent's name covers nothing on the certificate but determines filiation — it is the field through which a disputed paternity would be rewritten, and the one an inheritance claim later turns on — so it is not clerical either. A single submission may split across both tracks. While a correction is merely proposed the record is unchanged, no certificate is withdrawn, and nothing is published downstream; all three happen at the moment of approval. A correction that is refused is retained with its reason, because a refused change is part of a record's history and is often the part a dispute turns on. Late registrations (after the statutory window) require an additional evidence-verification step — e.g. a supervisor or district registrar sign-off — before a BRN is finalized, to deter fraudulent backdating.</w:t>
      </w:r>
    </w:p>
    <w:p>
      <w:pPr>
        <w:pStyle w:val="Heading1"/>
        <w:spacing w:after="200" w:before="400"/>
      </w:pPr>
      <w:r>
        <w:t xml:space="preserve">6. System Architecture (Technical)</w:t>
      </w:r>
    </w:p>
    <w:p>
      <w:pPr>
        <w:pStyle w:val="Heading2"/>
        <w:spacing w:after="150" w:before="300"/>
      </w:pPr>
      <w:r>
        <w:t xml:space="preserve">6.1 Architecture Principles</w:t>
      </w:r>
    </w:p>
    <w:p>
      <w:pPr>
        <w:pStyle w:val="ListParagraph"/>
        <w:numPr>
          <w:ilvl w:val="0"/>
          <w:numId w:val="2"/>
        </w:numPr>
        <w:spacing w:after="80"/>
      </w:pPr>
      <w:r>
        <w:t xml:space="preserve">Offline-first: every facility, including village clinics, can complete a full registration with zero connectivity.</w:t>
      </w:r>
    </w:p>
    <w:p>
      <w:pPr>
        <w:pStyle w:val="ListParagraph"/>
        <w:numPr>
          <w:ilvl w:val="0"/>
          <w:numId w:val="2"/>
        </w:numPr>
        <w:spacing w:after="80"/>
      </w:pPr>
      <w:r>
        <w:t xml:space="preserve">Eventual consistency: local records are provisional until synced and reconciled centrally; conflicts are resolved by clear, auditable rules, never silently.</w:t>
      </w:r>
    </w:p>
    <w:p>
      <w:pPr>
        <w:pStyle w:val="ListParagraph"/>
        <w:numPr>
          <w:ilvl w:val="0"/>
          <w:numId w:val="2"/>
        </w:numPr>
        <w:spacing w:after="80"/>
      </w:pPr>
      <w:r>
        <w:t xml:space="preserve">Tiered deployment: the same core data model runs at three tiers — device, district, and national — differing only in scale and connectivity, not in schema.</w:t>
      </w:r>
    </w:p>
    <w:p>
      <w:pPr>
        <w:pStyle w:val="ListParagraph"/>
        <w:numPr>
          <w:ilvl w:val="0"/>
          <w:numId w:val="2"/>
        </w:numPr>
        <w:spacing w:after="80"/>
      </w:pPr>
      <w:r>
        <w:t xml:space="preserve">Secure and auditable by design: every write is attributed to a user, device, and timestamp; nothing is ever hard-deleted.</w:t>
      </w:r>
    </w:p>
    <w:p>
      <w:pPr>
        <w:pStyle w:val="ListParagraph"/>
        <w:numPr>
          <w:ilvl w:val="0"/>
          <w:numId w:val="2"/>
        </w:numPr>
        <w:spacing w:after="80"/>
      </w:pPr>
      <w:r>
        <w:t xml:space="preserve">Low hardware/training burden: village-tier client is a simple, guided form — not a general-purpose admin tool.</w:t>
      </w:r>
    </w:p>
    <w:p>
      <w:pPr>
        <w:pStyle w:val="Heading2"/>
        <w:spacing w:after="150" w:before="300"/>
      </w:pPr>
      <w:r>
        <w:t xml:space="preserve">6.2 High-Level Architecture (Tiers)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00"/>
        <w:gridCol w:w="1600"/>
      </w:tblGrid>
      <w:tr>
        <w:trPr>
          <w:tblHeader/>
        </w:trPr>
        <w:tc>
          <w:tcPr>
            <w:tcW w:type="dxa" w:w="1700"/>
            <w:shd w:fill="1F3864" w:val="clear"/>
            <w:tcMar>
              <w:top w:type="dxa" w:w="80"/>
              <w:left w:type="dxa" w:w="100"/>
              <w:bottom w:type="dxa" w:w="80"/>
              <w:right w:type="dxa" w:w="100"/>
            </w:tcMar>
          </w:tcPr>
          <w:p>
            <w:r>
              <w:rPr>
                <w:b/>
                <w:bCs/>
                <w:color w:val="FFFFFF"/>
                <w:sz w:val="20"/>
                <w:szCs w:val="20"/>
              </w:rPr>
              <w:t xml:space="preserve">Tier</w:t>
            </w:r>
          </w:p>
        </w:tc>
        <w:tc>
          <w:tcPr>
            <w:tcW w:type="dxa" w:w="2600"/>
            <w:shd w:fill="1F3864" w:val="clear"/>
            <w:tcMar>
              <w:top w:type="dxa" w:w="80"/>
              <w:left w:type="dxa" w:w="100"/>
              <w:bottom w:type="dxa" w:w="80"/>
              <w:right w:type="dxa" w:w="100"/>
            </w:tcMar>
          </w:tcPr>
          <w:p>
            <w:r>
              <w:rPr>
                <w:b/>
                <w:bCs/>
                <w:color w:val="FFFFFF"/>
                <w:sz w:val="20"/>
                <w:szCs w:val="20"/>
              </w:rPr>
              <w:t xml:space="preserve">Location</w:t>
            </w:r>
          </w:p>
        </w:tc>
        <w:tc>
          <w:tcPr>
            <w:tcW w:type="dxa" w:w="3600"/>
            <w:shd w:fill="1F3864" w:val="clear"/>
            <w:tcMar>
              <w:top w:type="dxa" w:w="80"/>
              <w:left w:type="dxa" w:w="100"/>
              <w:bottom w:type="dxa" w:w="80"/>
              <w:right w:type="dxa" w:w="100"/>
            </w:tcMar>
          </w:tcPr>
          <w:p>
            <w:r>
              <w:rPr>
                <w:b/>
                <w:bCs/>
                <w:color w:val="FFFFFF"/>
                <w:sz w:val="20"/>
                <w:szCs w:val="20"/>
              </w:rPr>
              <w:t xml:space="preserve">Function</w:t>
            </w:r>
          </w:p>
        </w:tc>
        <w:tc>
          <w:tcPr>
            <w:tcW w:type="dxa" w:w="1600"/>
            <w:shd w:fill="1F3864" w:val="clear"/>
            <w:tcMar>
              <w:top w:type="dxa" w:w="80"/>
              <w:left w:type="dxa" w:w="100"/>
              <w:bottom w:type="dxa" w:w="80"/>
              <w:right w:type="dxa" w:w="100"/>
            </w:tcMar>
          </w:tcPr>
          <w:p>
            <w:r>
              <w:rPr>
                <w:b/>
                <w:bCs/>
                <w:color w:val="FFFFFF"/>
                <w:sz w:val="20"/>
                <w:szCs w:val="20"/>
              </w:rPr>
              <w:t xml:space="preserve">Connectivity Assumption</w:t>
            </w:r>
          </w:p>
        </w:tc>
      </w:tr>
      <w:tr>
        <w:tc>
          <w:tcPr>
            <w:tcW w:type="dxa" w:w="1700"/>
            <w:shd w:fill="F2F2F2" w:val="clear"/>
            <w:tcMar>
              <w:top w:type="dxa" w:w="80"/>
              <w:left w:type="dxa" w:w="100"/>
              <w:bottom w:type="dxa" w:w="80"/>
              <w:right w:type="dxa" w:w="100"/>
            </w:tcMar>
          </w:tcPr>
          <w:p>
            <w:r>
              <w:rPr>
                <w:sz w:val="20"/>
                <w:szCs w:val="20"/>
              </w:rPr>
              <w:t xml:space="preserve">Tier 1 — Device</w:t>
            </w:r>
          </w:p>
        </w:tc>
        <w:tc>
          <w:tcPr>
            <w:tcW w:type="dxa" w:w="2600"/>
            <w:shd w:fill="F2F2F2" w:val="clear"/>
            <w:tcMar>
              <w:top w:type="dxa" w:w="80"/>
              <w:left w:type="dxa" w:w="100"/>
              <w:bottom w:type="dxa" w:w="80"/>
              <w:right w:type="dxa" w:w="100"/>
            </w:tcMar>
          </w:tcPr>
          <w:p>
            <w:r>
              <w:rPr>
                <w:sz w:val="20"/>
                <w:szCs w:val="20"/>
              </w:rPr>
              <w:t xml:space="preserve">Hospital terminal, clinic tablet, village CHW phone/tablet</w:t>
            </w:r>
          </w:p>
        </w:tc>
        <w:tc>
          <w:tcPr>
            <w:tcW w:type="dxa" w:w="3600"/>
            <w:shd w:fill="F2F2F2" w:val="clear"/>
            <w:tcMar>
              <w:top w:type="dxa" w:w="80"/>
              <w:left w:type="dxa" w:w="100"/>
              <w:bottom w:type="dxa" w:w="80"/>
              <w:right w:type="dxa" w:w="100"/>
            </w:tcMar>
          </w:tcPr>
          <w:p>
            <w:r>
              <w:rPr>
                <w:sz w:val="20"/>
                <w:szCs w:val="20"/>
              </w:rPr>
              <w:t xml:space="preserve">Local-first data capture, local SQLite store, provisional BRN issuance, certificate printing/QR</w:t>
            </w:r>
          </w:p>
        </w:tc>
        <w:tc>
          <w:tcPr>
            <w:tcW w:type="dxa" w:w="1600"/>
            <w:shd w:fill="F2F2F2" w:val="clear"/>
            <w:tcMar>
              <w:top w:type="dxa" w:w="80"/>
              <w:left w:type="dxa" w:w="100"/>
              <w:bottom w:type="dxa" w:w="80"/>
              <w:right w:type="dxa" w:w="100"/>
            </w:tcMar>
          </w:tcPr>
          <w:p>
            <w:r>
              <w:rPr>
                <w:sz w:val="20"/>
                <w:szCs w:val="20"/>
              </w:rPr>
              <w:t xml:space="preserve">Intermittent to none</w:t>
            </w:r>
          </w:p>
        </w:tc>
      </w:tr>
      <w:tr>
        <w:tc>
          <w:tcPr>
            <w:tcW w:type="dxa" w:w="1700"/>
            <w:shd w:fill="FFFFFF" w:val="clear"/>
            <w:tcMar>
              <w:top w:type="dxa" w:w="80"/>
              <w:left w:type="dxa" w:w="100"/>
              <w:bottom w:type="dxa" w:w="80"/>
              <w:right w:type="dxa" w:w="100"/>
            </w:tcMar>
          </w:tcPr>
          <w:p>
            <w:r>
              <w:rPr>
                <w:sz w:val="20"/>
                <w:szCs w:val="20"/>
              </w:rPr>
              <w:t xml:space="preserve">Tier 2 — District/Regional Node</w:t>
            </w:r>
          </w:p>
        </w:tc>
        <w:tc>
          <w:tcPr>
            <w:tcW w:type="dxa" w:w="2600"/>
            <w:shd w:fill="FFFFFF" w:val="clear"/>
            <w:tcMar>
              <w:top w:type="dxa" w:w="80"/>
              <w:left w:type="dxa" w:w="100"/>
              <w:bottom w:type="dxa" w:w="80"/>
              <w:right w:type="dxa" w:w="100"/>
            </w:tcMar>
          </w:tcPr>
          <w:p>
            <w:r>
              <w:rPr>
                <w:sz w:val="20"/>
                <w:szCs w:val="20"/>
              </w:rPr>
              <w:t xml:space="preserve">District health office server or gateway device</w:t>
            </w:r>
          </w:p>
        </w:tc>
        <w:tc>
          <w:tcPr>
            <w:tcW w:type="dxa" w:w="3600"/>
            <w:shd w:fill="FFFFFF" w:val="clear"/>
            <w:tcMar>
              <w:top w:type="dxa" w:w="80"/>
              <w:left w:type="dxa" w:w="100"/>
              <w:bottom w:type="dxa" w:w="80"/>
              <w:right w:type="dxa" w:w="100"/>
            </w:tcMar>
          </w:tcPr>
          <w:p>
            <w:r>
              <w:rPr>
                <w:sz w:val="20"/>
                <w:szCs w:val="20"/>
              </w:rPr>
              <w:t xml:space="preserve">Batches and forwards sync traffic from facilities in its district; can operate as a local cache during national outages</w:t>
            </w:r>
          </w:p>
        </w:tc>
        <w:tc>
          <w:tcPr>
            <w:tcW w:type="dxa" w:w="1600"/>
            <w:shd w:fill="FFFFFF" w:val="clear"/>
            <w:tcMar>
              <w:top w:type="dxa" w:w="80"/>
              <w:left w:type="dxa" w:w="100"/>
              <w:bottom w:type="dxa" w:w="80"/>
              <w:right w:type="dxa" w:w="100"/>
            </w:tcMar>
          </w:tcPr>
          <w:p>
            <w:r>
              <w:rPr>
                <w:sz w:val="20"/>
                <w:szCs w:val="20"/>
              </w:rPr>
              <w:t xml:space="preserve">Periodic (daily/weekly acceptable)</w:t>
            </w:r>
          </w:p>
        </w:tc>
      </w:tr>
      <w:tr>
        <w:tc>
          <w:tcPr>
            <w:tcW w:type="dxa" w:w="1700"/>
            <w:shd w:fill="F2F2F2" w:val="clear"/>
            <w:tcMar>
              <w:top w:type="dxa" w:w="80"/>
              <w:left w:type="dxa" w:w="100"/>
              <w:bottom w:type="dxa" w:w="80"/>
              <w:right w:type="dxa" w:w="100"/>
            </w:tcMar>
          </w:tcPr>
          <w:p>
            <w:r>
              <w:rPr>
                <w:sz w:val="20"/>
                <w:szCs w:val="20"/>
              </w:rPr>
              <w:t xml:space="preserve">Tier 3 — National Central Platform</w:t>
            </w:r>
          </w:p>
        </w:tc>
        <w:tc>
          <w:tcPr>
            <w:tcW w:type="dxa" w:w="2600"/>
            <w:shd w:fill="F2F2F2" w:val="clear"/>
            <w:tcMar>
              <w:top w:type="dxa" w:w="80"/>
              <w:left w:type="dxa" w:w="100"/>
              <w:bottom w:type="dxa" w:w="80"/>
              <w:right w:type="dxa" w:w="100"/>
            </w:tcMar>
          </w:tcPr>
          <w:p>
            <w:r>
              <w:rPr>
                <w:sz w:val="20"/>
                <w:szCs w:val="20"/>
              </w:rPr>
              <w:t xml:space="preserve">MoH data center or sovereign cloud region</w:t>
            </w:r>
          </w:p>
        </w:tc>
        <w:tc>
          <w:tcPr>
            <w:tcW w:type="dxa" w:w="3600"/>
            <w:shd w:fill="F2F2F2" w:val="clear"/>
            <w:tcMar>
              <w:top w:type="dxa" w:w="80"/>
              <w:left w:type="dxa" w:w="100"/>
              <w:bottom w:type="dxa" w:w="80"/>
              <w:right w:type="dxa" w:w="100"/>
            </w:tcMar>
          </w:tcPr>
          <w:p>
            <w:r>
              <w:rPr>
                <w:sz w:val="20"/>
                <w:szCs w:val="20"/>
              </w:rPr>
              <w:t xml:space="preserve">System of record; BRN finalization, reporting, national dashboards, external API integrations</w:t>
            </w:r>
          </w:p>
        </w:tc>
        <w:tc>
          <w:tcPr>
            <w:tcW w:type="dxa" w:w="1600"/>
            <w:shd w:fill="F2F2F2" w:val="clear"/>
            <w:tcMar>
              <w:top w:type="dxa" w:w="80"/>
              <w:left w:type="dxa" w:w="100"/>
              <w:bottom w:type="dxa" w:w="80"/>
              <w:right w:type="dxa" w:w="100"/>
            </w:tcMar>
          </w:tcPr>
          <w:p>
            <w:r>
              <w:rPr>
                <w:sz w:val="20"/>
                <w:szCs w:val="20"/>
              </w:rPr>
              <w:t xml:space="preserve">Always-on</w:t>
            </w:r>
          </w:p>
        </w:tc>
      </w:tr>
    </w:tbl>
    <w:p>
      <w:pPr>
        <w:pStyle w:val="Heading2"/>
        <w:spacing w:after="150" w:before="300"/>
      </w:pPr>
      <w:r>
        <w:t xml:space="preserve">6.3 Offline-First Design &amp; Sync Strategy</w:t>
      </w:r>
    </w:p>
    <w:p>
      <w:pPr>
        <w:spacing w:after="160"/>
      </w:pPr>
      <w:r>
        <w:t xml:space="preserve">The hardest problem in this system is not the UI — it is guaranteeing that two offline village clinics never issue the same Birth Registration Number, and that when their records eventually reach the center, nothing is lost or silently overwritten.</w:t>
      </w:r>
    </w:p>
    <w:p>
      <w:pPr>
        <w:pStyle w:val="Heading3"/>
        <w:spacing w:after="100" w:before="200"/>
      </w:pPr>
      <w:r>
        <w:t xml:space="preserve">ID allocation without collisions</w:t>
      </w:r>
    </w:p>
    <w:p>
      <w:pPr>
        <w:pStyle w:val="ListParagraph"/>
        <w:numPr>
          <w:ilvl w:val="0"/>
          <w:numId w:val="2"/>
        </w:numPr>
        <w:spacing w:after="80"/>
      </w:pPr>
      <w:r>
        <w:t xml:space="preserve">The central platform pre-allocates blocks of BRNs (e.g. 200 at a time) to each device or facility whenever it has connectivity, similar to how offline-capable POS/banking systems allocate transaction ID ranges.</w:t>
      </w:r>
    </w:p>
    <w:p>
      <w:pPr>
        <w:pStyle w:val="ListParagraph"/>
        <w:numPr>
          <w:ilvl w:val="0"/>
          <w:numId w:val="2"/>
        </w:numPr>
        <w:spacing w:after="80"/>
      </w:pPr>
      <w:r>
        <w:t xml:space="preserve">A device that goes offline for weeks can still issue unique, permanent-format BRNs from its reserved block — no placeholder/temporary IDs, no renumbering later.</w:t>
      </w:r>
    </w:p>
    <w:p>
      <w:pPr>
        <w:pStyle w:val="ListParagraph"/>
        <w:numPr>
          <w:ilvl w:val="0"/>
          <w:numId w:val="2"/>
        </w:numPr>
        <w:spacing w:after="80"/>
      </w:pPr>
      <w:r>
        <w:t xml:space="preserve">When a device's block runs low, it requests a new block on next connectivity; if it truly runs out while offline, it falls back to a clearly-flagged local sequence that is reconciled (not silently merged) on sync.</w:t>
      </w:r>
    </w:p>
    <w:p>
      <w:pPr>
        <w:pStyle w:val="Heading3"/>
        <w:spacing w:after="100" w:before="200"/>
      </w:pPr>
      <w:r>
        <w:t xml:space="preserve">Sync mechanism</w:t>
      </w:r>
    </w:p>
    <w:p>
      <w:pPr>
        <w:pStyle w:val="ListParagraph"/>
        <w:numPr>
          <w:ilvl w:val="0"/>
          <w:numId w:val="2"/>
        </w:numPr>
        <w:spacing w:after="80"/>
      </w:pPr>
      <w:r>
        <w:t xml:space="preserve">Each device maintains a local append-only outbox of registration events. On connectivity, it pushes the outbox to its district node (or directly to the central API if the district node is itself offline) and pulls down configuration/reference data updates.</w:t>
      </w:r>
    </w:p>
    <w:p>
      <w:pPr>
        <w:pStyle w:val="ListParagraph"/>
        <w:numPr>
          <w:ilvl w:val="0"/>
          <w:numId w:val="2"/>
        </w:numPr>
        <w:spacing w:after="80"/>
      </w:pPr>
      <w:r>
        <w:t xml:space="preserve">Sync is transactional per record: a birth record and its associated certificate metadata sync as one atomic unit, so a partial sync never leaves an orphaned certificate.</w:t>
      </w:r>
    </w:p>
    <w:p>
      <w:pPr>
        <w:pStyle w:val="ListParagraph"/>
        <w:numPr>
          <w:ilvl w:val="0"/>
          <w:numId w:val="2"/>
        </w:numPr>
        <w:spacing w:after="80"/>
      </w:pPr>
      <w:r>
        <w:t xml:space="preserve">Low-connectivity fallback tiers, in order of preference: (1) direct HTTPS sync when online, (2) sync via district office Wi-Fi during a CHW's periodic visit, (3) SMS-based confirmation of a minimal record subset as a last-resort fallback for the most remote posts, with full-record sync to follow when the device eventually reaches connectivity.</w:t>
      </w:r>
    </w:p>
    <w:p>
      <w:pPr>
        <w:pStyle w:val="Heading3"/>
        <w:spacing w:after="100" w:before="200"/>
      </w:pPr>
      <w:r>
        <w:t xml:space="preserve">Conflict handling</w:t>
      </w:r>
    </w:p>
    <w:p>
      <w:pPr>
        <w:pStyle w:val="ListParagraph"/>
        <w:numPr>
          <w:ilvl w:val="0"/>
          <w:numId w:val="2"/>
        </w:numPr>
        <w:spacing w:after="80"/>
      </w:pPr>
      <w:r>
        <w:t xml:space="preserve">True conflicts are rare by design (each device owns its own BRN block), but amendments made both locally and centrally on the same record are resolved by a last-writer-wins-with-audit-trail rule, and flagged for registrar review rather than auto-merged silently.</w:t>
      </w:r>
    </w:p>
    <w:p>
      <w:pPr>
        <w:pStyle w:val="Heading2"/>
        <w:spacing w:after="150" w:before="300"/>
      </w:pPr>
      <w:r>
        <w:t xml:space="preserve">6.4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Layer</w:t>
            </w:r>
          </w:p>
        </w:tc>
        <w:tc>
          <w:tcPr>
            <w:tcW w:type="dxa" w:w="3200"/>
            <w:shd w:fill="1F3864" w:val="clear"/>
            <w:tcMar>
              <w:top w:type="dxa" w:w="80"/>
              <w:left w:type="dxa" w:w="100"/>
              <w:bottom w:type="dxa" w:w="80"/>
              <w:right w:type="dxa" w:w="100"/>
            </w:tcMar>
          </w:tcPr>
          <w:p>
            <w:r>
              <w:rPr>
                <w:b/>
                <w:bCs/>
                <w:color w:val="FFFFFF"/>
                <w:sz w:val="20"/>
                <w:szCs w:val="20"/>
              </w:rPr>
              <w:t xml:space="preserve">Technology</w:t>
            </w:r>
          </w:p>
        </w:tc>
        <w:tc>
          <w:tcPr>
            <w:tcW w:type="dxa" w:w="4300"/>
            <w:shd w:fill="1F3864" w:val="clear"/>
            <w:tcMar>
              <w:top w:type="dxa" w:w="80"/>
              <w:left w:type="dxa" w:w="100"/>
              <w:bottom w:type="dxa" w:w="80"/>
              <w:right w:type="dxa" w:w="100"/>
            </w:tcMar>
          </w:tcPr>
          <w:p>
            <w:r>
              <w:rPr>
                <w:b/>
                <w:bCs/>
                <w:color w:val="FFFFFF"/>
                <w:sz w:val="20"/>
                <w:szCs w:val="20"/>
              </w:rPr>
              <w:t xml:space="preserve">Rationale</w:t>
            </w:r>
          </w:p>
        </w:tc>
      </w:tr>
      <w:tr>
        <w:tc>
          <w:tcPr>
            <w:tcW w:type="dxa" w:w="2000"/>
            <w:shd w:fill="F2F2F2" w:val="clear"/>
            <w:tcMar>
              <w:top w:type="dxa" w:w="80"/>
              <w:left w:type="dxa" w:w="100"/>
              <w:bottom w:type="dxa" w:w="80"/>
              <w:right w:type="dxa" w:w="100"/>
            </w:tcMar>
          </w:tcPr>
          <w:p>
            <w:r>
              <w:rPr>
                <w:sz w:val="20"/>
                <w:szCs w:val="20"/>
              </w:rPr>
              <w:t xml:space="preserve">Central API</w:t>
            </w:r>
          </w:p>
        </w:tc>
        <w:tc>
          <w:tcPr>
            <w:tcW w:type="dxa" w:w="3200"/>
            <w:shd w:fill="F2F2F2" w:val="clear"/>
            <w:tcMar>
              <w:top w:type="dxa" w:w="80"/>
              <w:left w:type="dxa" w:w="100"/>
              <w:bottom w:type="dxa" w:w="80"/>
              <w:right w:type="dxa" w:w="100"/>
            </w:tcMar>
          </w:tcPr>
          <w:p>
            <w:r>
              <w:rPr>
                <w:sz w:val="20"/>
                <w:szCs w:val="20"/>
              </w:rPr>
              <w:t xml:space="preserve">ASP.NET Core Web API (.NET 10 LTS)</w:t>
            </w:r>
          </w:p>
        </w:tc>
        <w:tc>
          <w:tcPr>
            <w:tcW w:type="dxa" w:w="4300"/>
            <w:shd w:fill="F2F2F2" w:val="clear"/>
            <w:tcMar>
              <w:top w:type="dxa" w:w="80"/>
              <w:left w:type="dxa" w:w="100"/>
              <w:bottom w:type="dxa" w:w="80"/>
              <w:right w:type="dxa" w:w="100"/>
            </w:tcMar>
          </w:tcPr>
          <w:p>
            <w:r>
              <w:rPr>
                <w:sz w:val="20"/>
                <w:szCs w:val="20"/>
              </w:rPr>
              <w:t xml:space="preserve">Long-term support, strong typing, mature tooling, good fit for compliance-heavy government workloads. .NET 10 is the current LTS release and carries a longer support horizon than .NET 8 — material for a system with a decade-plus operational life.</w:t>
            </w:r>
          </w:p>
        </w:tc>
      </w:tr>
      <w:tr>
        <w:tc>
          <w:tcPr>
            <w:tcW w:type="dxa" w:w="2000"/>
            <w:shd w:fill="FFFFFF" w:val="clear"/>
            <w:tcMar>
              <w:top w:type="dxa" w:w="80"/>
              <w:left w:type="dxa" w:w="100"/>
              <w:bottom w:type="dxa" w:w="80"/>
              <w:right w:type="dxa" w:w="100"/>
            </w:tcMar>
          </w:tcPr>
          <w:p>
            <w:r>
              <w:rPr>
                <w:sz w:val="20"/>
                <w:szCs w:val="20"/>
              </w:rPr>
              <w:t xml:space="preserve">Central Database</w:t>
            </w:r>
          </w:p>
        </w:tc>
        <w:tc>
          <w:tcPr>
            <w:tcW w:type="dxa" w:w="3200"/>
            <w:shd w:fill="FFFFFF" w:val="clear"/>
            <w:tcMar>
              <w:top w:type="dxa" w:w="80"/>
              <w:left w:type="dxa" w:w="100"/>
              <w:bottom w:type="dxa" w:w="80"/>
              <w:right w:type="dxa" w:w="100"/>
            </w:tcMar>
          </w:tcPr>
          <w:p>
            <w:r>
              <w:rPr>
                <w:sz w:val="20"/>
                <w:szCs w:val="20"/>
              </w:rPr>
              <w:t xml:space="preserve">PostgreSQL or SQL Server (in-country hosted)</w:t>
            </w:r>
          </w:p>
        </w:tc>
        <w:tc>
          <w:tcPr>
            <w:tcW w:type="dxa" w:w="4300"/>
            <w:shd w:fill="FFFFFF" w:val="clear"/>
            <w:tcMar>
              <w:top w:type="dxa" w:w="80"/>
              <w:left w:type="dxa" w:w="100"/>
              <w:bottom w:type="dxa" w:w="80"/>
              <w:right w:type="dxa" w:w="100"/>
            </w:tcMar>
          </w:tcPr>
          <w:p>
            <w:r>
              <w:rPr>
                <w:sz w:val="20"/>
                <w:szCs w:val="20"/>
              </w:rPr>
              <w:t xml:space="preserve">ACID-compliant system of record; PostgreSQL if open-source/licensing cost is a priority</w:t>
            </w:r>
          </w:p>
        </w:tc>
      </w:tr>
      <w:tr>
        <w:tc>
          <w:tcPr>
            <w:tcW w:type="dxa" w:w="2000"/>
            <w:shd w:fill="F2F2F2" w:val="clear"/>
            <w:tcMar>
              <w:top w:type="dxa" w:w="80"/>
              <w:left w:type="dxa" w:w="100"/>
              <w:bottom w:type="dxa" w:w="80"/>
              <w:right w:type="dxa" w:w="100"/>
            </w:tcMar>
          </w:tcPr>
          <w:p>
            <w:r>
              <w:rPr>
                <w:sz w:val="20"/>
                <w:szCs w:val="20"/>
              </w:rPr>
              <w:t xml:space="preserve">ORM</w:t>
            </w:r>
          </w:p>
        </w:tc>
        <w:tc>
          <w:tcPr>
            <w:tcW w:type="dxa" w:w="3200"/>
            <w:shd w:fill="F2F2F2" w:val="clear"/>
            <w:tcMar>
              <w:top w:type="dxa" w:w="80"/>
              <w:left w:type="dxa" w:w="100"/>
              <w:bottom w:type="dxa" w:w="80"/>
              <w:right w:type="dxa" w:w="100"/>
            </w:tcMar>
          </w:tcPr>
          <w:p>
            <w:r>
              <w:rPr>
                <w:sz w:val="20"/>
                <w:szCs w:val="20"/>
              </w:rPr>
              <w:t xml:space="preserve">Entity Framework Core</w:t>
            </w:r>
          </w:p>
        </w:tc>
        <w:tc>
          <w:tcPr>
            <w:tcW w:type="dxa" w:w="4300"/>
            <w:shd w:fill="F2F2F2" w:val="clear"/>
            <w:tcMar>
              <w:top w:type="dxa" w:w="80"/>
              <w:left w:type="dxa" w:w="100"/>
              <w:bottom w:type="dxa" w:w="80"/>
              <w:right w:type="dxa" w:w="100"/>
            </w:tcMar>
          </w:tcPr>
          <w:p>
            <w:r>
              <w:rPr>
                <w:sz w:val="20"/>
                <w:szCs w:val="20"/>
              </w:rPr>
              <w:t xml:space="preserve">Code-first migrations, LINQ querying, strong integration with ASP.NET Core</w:t>
            </w:r>
          </w:p>
        </w:tc>
      </w:tr>
      <w:tr>
        <w:tc>
          <w:tcPr>
            <w:tcW w:type="dxa" w:w="2000"/>
            <w:shd w:fill="FFFFFF" w:val="clear"/>
            <w:tcMar>
              <w:top w:type="dxa" w:w="80"/>
              <w:left w:type="dxa" w:w="100"/>
              <w:bottom w:type="dxa" w:w="80"/>
              <w:right w:type="dxa" w:w="100"/>
            </w:tcMar>
          </w:tcPr>
          <w:p>
            <w:r>
              <w:rPr>
                <w:sz w:val="20"/>
                <w:szCs w:val="20"/>
              </w:rPr>
              <w:t xml:space="preserve">District Node</w:t>
            </w:r>
          </w:p>
        </w:tc>
        <w:tc>
          <w:tcPr>
            <w:tcW w:type="dxa" w:w="3200"/>
            <w:shd w:fill="FFFFFF" w:val="clear"/>
            <w:tcMar>
              <w:top w:type="dxa" w:w="80"/>
              <w:left w:type="dxa" w:w="100"/>
              <w:bottom w:type="dxa" w:w="80"/>
              <w:right w:type="dxa" w:w="100"/>
            </w:tcMar>
          </w:tcPr>
          <w:p>
            <w:r>
              <w:rPr>
                <w:sz w:val="20"/>
                <w:szCs w:val="20"/>
              </w:rPr>
              <w:t xml:space="preserve">Lightweight ASP.NET Core service + PostgreSQL/SQLite, deployable on low-spec hardware</w:t>
            </w:r>
          </w:p>
        </w:tc>
        <w:tc>
          <w:tcPr>
            <w:tcW w:type="dxa" w:w="4300"/>
            <w:shd w:fill="FFFFFF" w:val="clear"/>
            <w:tcMar>
              <w:top w:type="dxa" w:w="80"/>
              <w:left w:type="dxa" w:w="100"/>
              <w:bottom w:type="dxa" w:w="80"/>
              <w:right w:type="dxa" w:w="100"/>
            </w:tcMar>
          </w:tcPr>
          <w:p>
            <w:r>
              <w:rPr>
                <w:sz w:val="20"/>
                <w:szCs w:val="20"/>
              </w:rPr>
              <w:t xml:space="preserve">Can run semi-autonomously during national connectivity outages</w:t>
            </w:r>
          </w:p>
        </w:tc>
      </w:tr>
      <w:tr>
        <w:tc>
          <w:tcPr>
            <w:tcW w:type="dxa" w:w="2000"/>
            <w:shd w:fill="F2F2F2" w:val="clear"/>
            <w:tcMar>
              <w:top w:type="dxa" w:w="80"/>
              <w:left w:type="dxa" w:w="100"/>
              <w:bottom w:type="dxa" w:w="80"/>
              <w:right w:type="dxa" w:w="100"/>
            </w:tcMar>
          </w:tcPr>
          <w:p>
            <w:r>
              <w:rPr>
                <w:sz w:val="20"/>
                <w:szCs w:val="20"/>
              </w:rPr>
              <w:t xml:space="preserve">Facility/Village Client</w:t>
            </w:r>
          </w:p>
        </w:tc>
        <w:tc>
          <w:tcPr>
            <w:tcW w:type="dxa" w:w="3200"/>
            <w:shd w:fill="F2F2F2" w:val="clear"/>
            <w:tcMar>
              <w:top w:type="dxa" w:w="80"/>
              <w:left w:type="dxa" w:w="100"/>
              <w:bottom w:type="dxa" w:w="80"/>
              <w:right w:type="dxa" w:w="100"/>
            </w:tcMar>
          </w:tcPr>
          <w:p>
            <w:r>
              <w:rPr>
                <w:sz w:val="20"/>
                <w:szCs w:val="20"/>
              </w:rPr>
              <w:t xml:space="preserve">.NET MAUI or Progressive Web App (PWA), local SQLite storage</w:t>
            </w:r>
          </w:p>
        </w:tc>
        <w:tc>
          <w:tcPr>
            <w:tcW w:type="dxa" w:w="4300"/>
            <w:shd w:fill="F2F2F2" w:val="clear"/>
            <w:tcMar>
              <w:top w:type="dxa" w:w="80"/>
              <w:left w:type="dxa" w:w="100"/>
              <w:bottom w:type="dxa" w:w="80"/>
              <w:right w:type="dxa" w:w="100"/>
            </w:tcMar>
          </w:tcPr>
          <w:p>
            <w:r>
              <w:rPr>
                <w:sz w:val="20"/>
                <w:szCs w:val="20"/>
              </w:rPr>
              <w:t xml:space="preserve">Single C# codebase for Android tablets — the realistic hardware for rural deployment — with true offline data storage</w:t>
            </w:r>
          </w:p>
        </w:tc>
      </w:tr>
      <w:tr>
        <w:tc>
          <w:tcPr>
            <w:tcW w:type="dxa" w:w="2000"/>
            <w:shd w:fill="FFFFFF" w:val="clear"/>
            <w:tcMar>
              <w:top w:type="dxa" w:w="80"/>
              <w:left w:type="dxa" w:w="100"/>
              <w:bottom w:type="dxa" w:w="80"/>
              <w:right w:type="dxa" w:w="100"/>
            </w:tcMar>
          </w:tcPr>
          <w:p>
            <w:r>
              <w:rPr>
                <w:sz w:val="20"/>
                <w:szCs w:val="20"/>
              </w:rPr>
              <w:t xml:space="preserve">Sync Layer</w:t>
            </w:r>
          </w:p>
        </w:tc>
        <w:tc>
          <w:tcPr>
            <w:tcW w:type="dxa" w:w="3200"/>
            <w:shd w:fill="FFFFFF" w:val="clear"/>
            <w:tcMar>
              <w:top w:type="dxa" w:w="80"/>
              <w:left w:type="dxa" w:w="100"/>
              <w:bottom w:type="dxa" w:w="80"/>
              <w:right w:type="dxa" w:w="100"/>
            </w:tcMar>
          </w:tcPr>
          <w:p>
            <w:r>
              <w:rPr>
                <w:sz w:val="20"/>
                <w:szCs w:val="20"/>
              </w:rPr>
              <w:t xml:space="preserve">Apache Kafka as the central event backbone: each district/central ingestion writes a BirthRegistered event to a topic; downstream consumers (National ID push, dashboards, audit stream) process independently and can replay history if needed</w:t>
            </w:r>
          </w:p>
        </w:tc>
        <w:tc>
          <w:tcPr>
            <w:tcW w:type="dxa" w:w="4300"/>
            <w:shd w:fill="FFFFFF" w:val="clear"/>
            <w:tcMar>
              <w:top w:type="dxa" w:w="80"/>
              <w:left w:type="dxa" w:w="100"/>
              <w:bottom w:type="dxa" w:w="80"/>
              <w:right w:type="dxa" w:w="100"/>
            </w:tcMar>
          </w:tcPr>
          <w:p>
            <w:r>
              <w:rPr>
                <w:sz w:val="20"/>
                <w:szCs w:val="20"/>
              </w:rPr>
              <w:t xml:space="preserve">Decouples ingestion spikes (many clinics syncing at once after a connectivity window opens) from processing, and gives durable, replayable history for downstream integrations — a stronger fit than a plain queue given how many independent consumers Section 6.8's interoperability list implies</w:t>
            </w:r>
          </w:p>
        </w:tc>
      </w:tr>
      <w:tr>
        <w:tc>
          <w:tcPr>
            <w:tcW w:type="dxa" w:w="2000"/>
            <w:shd w:fill="F2F2F2" w:val="clear"/>
            <w:tcMar>
              <w:top w:type="dxa" w:w="80"/>
              <w:left w:type="dxa" w:w="100"/>
              <w:bottom w:type="dxa" w:w="80"/>
              <w:right w:type="dxa" w:w="100"/>
            </w:tcMar>
          </w:tcPr>
          <w:p>
            <w:r>
              <w:rPr>
                <w:sz w:val="20"/>
                <w:szCs w:val="20"/>
              </w:rPr>
              <w:t xml:space="preserve">Authentication</w:t>
            </w:r>
          </w:p>
        </w:tc>
        <w:tc>
          <w:tcPr>
            <w:tcW w:type="dxa" w:w="3200"/>
            <w:shd w:fill="F2F2F2" w:val="clear"/>
            <w:tcMar>
              <w:top w:type="dxa" w:w="80"/>
              <w:left w:type="dxa" w:w="100"/>
              <w:bottom w:type="dxa" w:w="80"/>
              <w:right w:type="dxa" w:w="100"/>
            </w:tcMar>
          </w:tcPr>
          <w:p>
            <w:r>
              <w:rPr>
                <w:sz w:val="20"/>
                <w:szCs w:val="20"/>
              </w:rPr>
              <w:t xml:space="preserve">Keycloak (OIDC) issuing short-lived JWTs, with offline device-level PIN/biometric lock</w:t>
            </w:r>
          </w:p>
        </w:tc>
        <w:tc>
          <w:tcPr>
            <w:tcW w:type="dxa" w:w="4300"/>
            <w:shd w:fill="F2F2F2" w:val="clear"/>
            <w:tcMar>
              <w:top w:type="dxa" w:w="80"/>
              <w:left w:type="dxa" w:w="100"/>
              <w:bottom w:type="dxa" w:w="80"/>
              <w:right w:type="dxa" w:w="100"/>
            </w:tcMar>
          </w:tcPr>
          <w:p>
            <w:r>
              <w:rPr>
                <w:sz w:val="20"/>
                <w:szCs w:val="20"/>
              </w:rPr>
              <w:t xml:space="preserve">Devices must authenticate locally even offline; server-side identity for sync/API access. Keycloak is preferred over ASP.NET Core Identity because this system must manage both users and client applications, and realm roles plus client registration come as standard rather than being built in-house — the API stays a pure resource server that never issues or stores credentials.</w:t>
            </w:r>
          </w:p>
        </w:tc>
      </w:tr>
      <w:tr>
        <w:tc>
          <w:tcPr>
            <w:tcW w:type="dxa" w:w="2000"/>
            <w:shd w:fill="FFFFFF" w:val="clear"/>
            <w:tcMar>
              <w:top w:type="dxa" w:w="80"/>
              <w:left w:type="dxa" w:w="100"/>
              <w:bottom w:type="dxa" w:w="80"/>
              <w:right w:type="dxa" w:w="100"/>
            </w:tcMar>
          </w:tcPr>
          <w:p>
            <w:r>
              <w:rPr>
                <w:sz w:val="20"/>
                <w:szCs w:val="20"/>
              </w:rPr>
              <w:t xml:space="preserve">Digital Signature / Certificate Authority</w:t>
            </w:r>
          </w:p>
        </w:tc>
        <w:tc>
          <w:tcPr>
            <w:tcW w:type="dxa" w:w="3200"/>
            <w:shd w:fill="FFFFFF" w:val="clear"/>
            <w:tcMar>
              <w:top w:type="dxa" w:w="80"/>
              <w:left w:type="dxa" w:w="100"/>
              <w:bottom w:type="dxa" w:w="80"/>
              <w:right w:type="dxa" w:w="100"/>
            </w:tcMar>
          </w:tcPr>
          <w:p>
            <w:r>
              <w:rPr>
                <w:sz w:val="20"/>
                <w:szCs w:val="20"/>
              </w:rPr>
              <w:t xml:space="preserve">.NET cryptography libraries (X.509) with a Ministry-controlled signing key, or integration with a national PKI if one exists</w:t>
            </w:r>
          </w:p>
        </w:tc>
        <w:tc>
          <w:tcPr>
            <w:tcW w:type="dxa" w:w="4300"/>
            <w:shd w:fill="FFFFFF" w:val="clear"/>
            <w:tcMar>
              <w:top w:type="dxa" w:w="80"/>
              <w:left w:type="dxa" w:w="100"/>
              <w:bottom w:type="dxa" w:w="80"/>
              <w:right w:type="dxa" w:w="100"/>
            </w:tcMar>
          </w:tcPr>
          <w:p>
            <w:r>
              <w:rPr>
                <w:sz w:val="20"/>
                <w:szCs w:val="20"/>
              </w:rPr>
              <w:t xml:space="preserve">Makes printed/QR certificates independently verifiable. Paired with a signed revocation list (4.3), so a certificate withdrawn after correction stops being accepted — a signature alone cannot express that the register changed after issuance.</w:t>
            </w:r>
          </w:p>
        </w:tc>
      </w:tr>
      <w:tr>
        <w:tc>
          <w:tcPr>
            <w:tcW w:type="dxa" w:w="2000"/>
            <w:shd w:fill="F2F2F2" w:val="clear"/>
            <w:tcMar>
              <w:top w:type="dxa" w:w="80"/>
              <w:left w:type="dxa" w:w="100"/>
              <w:bottom w:type="dxa" w:w="80"/>
              <w:right w:type="dxa" w:w="100"/>
            </w:tcMar>
          </w:tcPr>
          <w:p>
            <w:r>
              <w:rPr>
                <w:sz w:val="20"/>
                <w:szCs w:val="20"/>
              </w:rPr>
              <w:t xml:space="preserve">Reporting &amp; Dashboards</w:t>
            </w:r>
          </w:p>
        </w:tc>
        <w:tc>
          <w:tcPr>
            <w:tcW w:type="dxa" w:w="3200"/>
            <w:shd w:fill="F2F2F2" w:val="clear"/>
            <w:tcMar>
              <w:top w:type="dxa" w:w="80"/>
              <w:left w:type="dxa" w:w="100"/>
              <w:bottom w:type="dxa" w:w="80"/>
              <w:right w:type="dxa" w:w="100"/>
            </w:tcMar>
          </w:tcPr>
          <w:p>
            <w:r>
              <w:rPr>
                <w:sz w:val="20"/>
                <w:szCs w:val="20"/>
              </w:rPr>
              <w:t xml:space="preserve">Power BI Embedded or a custom Blazor dashboard reading from a reporting replica</w:t>
            </w:r>
          </w:p>
        </w:tc>
        <w:tc>
          <w:tcPr>
            <w:tcW w:type="dxa" w:w="4300"/>
            <w:shd w:fill="F2F2F2" w:val="clear"/>
            <w:tcMar>
              <w:top w:type="dxa" w:w="80"/>
              <w:left w:type="dxa" w:w="100"/>
              <w:bottom w:type="dxa" w:w="80"/>
              <w:right w:type="dxa" w:w="100"/>
            </w:tcMar>
          </w:tcPr>
          <w:p>
            <w:r>
              <w:rPr>
                <w:sz w:val="20"/>
                <w:szCs w:val="20"/>
              </w:rPr>
              <w:t xml:space="preserve">Near-real-time visibility for Ministry leadership without hitting the transactional database directly</w:t>
            </w:r>
          </w:p>
        </w:tc>
      </w:tr>
      <w:tr>
        <w:tc>
          <w:tcPr>
            <w:tcW w:type="dxa" w:w="2000"/>
            <w:shd w:fill="FFFFFF" w:val="clear"/>
            <w:tcMar>
              <w:top w:type="dxa" w:w="80"/>
              <w:left w:type="dxa" w:w="100"/>
              <w:bottom w:type="dxa" w:w="80"/>
              <w:right w:type="dxa" w:w="100"/>
            </w:tcMar>
          </w:tcPr>
          <w:p>
            <w:r>
              <w:rPr>
                <w:sz w:val="20"/>
                <w:szCs w:val="20"/>
              </w:rPr>
              <w:t xml:space="preserve">Hosting</w:t>
            </w:r>
          </w:p>
        </w:tc>
        <w:tc>
          <w:tcPr>
            <w:tcW w:type="dxa" w:w="3200"/>
            <w:shd w:fill="FFFFFF" w:val="clear"/>
            <w:tcMar>
              <w:top w:type="dxa" w:w="80"/>
              <w:left w:type="dxa" w:w="100"/>
              <w:bottom w:type="dxa" w:w="80"/>
              <w:right w:type="dxa" w:w="100"/>
            </w:tcMar>
          </w:tcPr>
          <w:p>
            <w:r>
              <w:rPr>
                <w:sz w:val="20"/>
                <w:szCs w:val="20"/>
              </w:rPr>
              <w:t xml:space="preserve">In-country data center or sovereign cloud region (Azure Government-equivalent if available)</w:t>
            </w:r>
          </w:p>
        </w:tc>
        <w:tc>
          <w:tcPr>
            <w:tcW w:type="dxa" w:w="4300"/>
            <w:shd w:fill="FFFFFF" w:val="clear"/>
            <w:tcMar>
              <w:top w:type="dxa" w:w="80"/>
              <w:left w:type="dxa" w:w="100"/>
              <w:bottom w:type="dxa" w:w="80"/>
              <w:right w:type="dxa" w:w="100"/>
            </w:tcMar>
          </w:tcPr>
          <w:p>
            <w:r>
              <w:rPr>
                <w:sz w:val="20"/>
                <w:szCs w:val="20"/>
              </w:rPr>
              <w:t xml:space="preserve">Satisfies likely data-residency requirements from Section 4.2</w:t>
            </w:r>
          </w:p>
        </w:tc>
      </w:tr>
    </w:tbl>
    <w:p>
      <w:pPr>
        <w:pStyle w:val="Heading2"/>
        <w:spacing w:after="150" w:before="300"/>
      </w:pPr>
      <w:r>
        <w:t xml:space="preserve">6.5 Core Data Model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800"/>
      </w:tblGrid>
      <w:tr>
        <w:trPr>
          <w:tblHeader/>
        </w:trPr>
        <w:tc>
          <w:tcPr>
            <w:tcW w:type="dxa" w:w="1900"/>
            <w:shd w:fill="1F3864" w:val="clear"/>
            <w:tcMar>
              <w:top w:type="dxa" w:w="80"/>
              <w:left w:type="dxa" w:w="100"/>
              <w:bottom w:type="dxa" w:w="80"/>
              <w:right w:type="dxa" w:w="100"/>
            </w:tcMar>
          </w:tcPr>
          <w:p>
            <w:r>
              <w:rPr>
                <w:b/>
                <w:bCs/>
                <w:color w:val="FFFFFF"/>
                <w:sz w:val="20"/>
                <w:szCs w:val="20"/>
              </w:rPr>
              <w:t xml:space="preserve">Entity</w:t>
            </w:r>
          </w:p>
        </w:tc>
        <w:tc>
          <w:tcPr>
            <w:tcW w:type="dxa" w:w="3400"/>
            <w:shd w:fill="1F3864" w:val="clear"/>
            <w:tcMar>
              <w:top w:type="dxa" w:w="80"/>
              <w:left w:type="dxa" w:w="100"/>
              <w:bottom w:type="dxa" w:w="80"/>
              <w:right w:type="dxa" w:w="100"/>
            </w:tcMar>
          </w:tcPr>
          <w:p>
            <w:r>
              <w:rPr>
                <w:b/>
                <w:bCs/>
                <w:color w:val="FFFFFF"/>
                <w:sz w:val="20"/>
                <w:szCs w:val="20"/>
              </w:rPr>
              <w:t xml:space="preserve">Purpose</w:t>
            </w:r>
          </w:p>
        </w:tc>
        <w:tc>
          <w:tcPr>
            <w:tcW w:type="dxa" w:w="3800"/>
            <w:shd w:fill="1F3864" w:val="clear"/>
            <w:tcMar>
              <w:top w:type="dxa" w:w="80"/>
              <w:left w:type="dxa" w:w="100"/>
              <w:bottom w:type="dxa" w:w="80"/>
              <w:right w:type="dxa" w:w="100"/>
            </w:tcMar>
          </w:tcPr>
          <w:p>
            <w:r>
              <w:rPr>
                <w:b/>
                <w:bCs/>
                <w:color w:val="FFFFFF"/>
                <w:sz w:val="20"/>
                <w:szCs w:val="20"/>
              </w:rPr>
              <w:t xml:space="preserve">Key Fields</w:t>
            </w:r>
          </w:p>
        </w:tc>
      </w:tr>
      <w:tr>
        <w:tc>
          <w:tcPr>
            <w:tcW w:type="dxa" w:w="1900"/>
            <w:shd w:fill="F2F2F2" w:val="clear"/>
            <w:tcMar>
              <w:top w:type="dxa" w:w="80"/>
              <w:left w:type="dxa" w:w="100"/>
              <w:bottom w:type="dxa" w:w="80"/>
              <w:right w:type="dxa" w:w="100"/>
            </w:tcMar>
          </w:tcPr>
          <w:p>
            <w:r>
              <w:rPr>
                <w:sz w:val="20"/>
                <w:szCs w:val="20"/>
              </w:rPr>
              <w:t xml:space="preserve">Person</w:t>
            </w:r>
          </w:p>
        </w:tc>
        <w:tc>
          <w:tcPr>
            <w:tcW w:type="dxa" w:w="3400"/>
            <w:shd w:fill="F2F2F2" w:val="clear"/>
            <w:tcMar>
              <w:top w:type="dxa" w:w="80"/>
              <w:left w:type="dxa" w:w="100"/>
              <w:bottom w:type="dxa" w:w="80"/>
              <w:right w:type="dxa" w:w="100"/>
            </w:tcMar>
          </w:tcPr>
          <w:p>
            <w:r>
              <w:rPr>
                <w:sz w:val="20"/>
                <w:szCs w:val="20"/>
              </w:rPr>
              <w:t xml:space="preserve">Any individual referenced (child, mother, father, registrar)</w:t>
            </w:r>
          </w:p>
        </w:tc>
        <w:tc>
          <w:tcPr>
            <w:tcW w:type="dxa" w:w="3800"/>
            <w:shd w:fill="F2F2F2" w:val="clear"/>
            <w:tcMar>
              <w:top w:type="dxa" w:w="80"/>
              <w:left w:type="dxa" w:w="100"/>
              <w:bottom w:type="dxa" w:w="80"/>
              <w:right w:type="dxa" w:w="100"/>
            </w:tcMar>
          </w:tcPr>
          <w:p>
            <w:r>
              <w:rPr>
                <w:sz w:val="20"/>
                <w:szCs w:val="20"/>
              </w:rPr>
              <w:t xml:space="preserve">PersonId, Name, DateOfBirth, NationalIdRef (nullable)</w:t>
            </w:r>
          </w:p>
        </w:tc>
      </w:tr>
      <w:tr>
        <w:tc>
          <w:tcPr>
            <w:tcW w:type="dxa" w:w="1900"/>
            <w:shd w:fill="FFFFFF" w:val="clear"/>
            <w:tcMar>
              <w:top w:type="dxa" w:w="80"/>
              <w:left w:type="dxa" w:w="100"/>
              <w:bottom w:type="dxa" w:w="80"/>
              <w:right w:type="dxa" w:w="100"/>
            </w:tcMar>
          </w:tcPr>
          <w:p>
            <w:r>
              <w:rPr>
                <w:sz w:val="20"/>
                <w:szCs w:val="20"/>
              </w:rPr>
              <w:t xml:space="preserve">BirthRecord</w:t>
            </w:r>
          </w:p>
        </w:tc>
        <w:tc>
          <w:tcPr>
            <w:tcW w:type="dxa" w:w="3400"/>
            <w:shd w:fill="FFFFFF" w:val="clear"/>
            <w:tcMar>
              <w:top w:type="dxa" w:w="80"/>
              <w:left w:type="dxa" w:w="100"/>
              <w:bottom w:type="dxa" w:w="80"/>
              <w:right w:type="dxa" w:w="100"/>
            </w:tcMar>
          </w:tcPr>
          <w:p>
            <w:r>
              <w:rPr>
                <w:sz w:val="20"/>
                <w:szCs w:val="20"/>
              </w:rPr>
              <w:t xml:space="preserve">The core registration event — WHO/UN vital-event standard fields</w:t>
            </w:r>
          </w:p>
        </w:tc>
        <w:tc>
          <w:tcPr>
            <w:tcW w:type="dxa" w:w="3800"/>
            <w:shd w:fill="FFFFFF" w:val="clear"/>
            <w:tcMar>
              <w:top w:type="dxa" w:w="80"/>
              <w:left w:type="dxa" w:w="100"/>
              <w:bottom w:type="dxa" w:w="80"/>
              <w:right w:type="dxa" w:w="100"/>
            </w:tcMar>
          </w:tcPr>
          <w:p>
            <w:r>
              <w:rPr>
                <w:sz w:val="20"/>
                <w:szCs w:val="20"/>
              </w:rPr>
              <w:t xml:space="preserve">BirthRecordId, BRN, VitalEventType (LiveBirth/FetalDeath), ChildPersonId, MotherPersonId, FatherPersonId, FacilityId, DateOfBirth, Sex, BirthWeightGrams, GestationalAgeWeeks, BirthType (Singleton/Multiple+Order), Status (Provisional/Confirmed/Amended)</w:t>
            </w:r>
          </w:p>
        </w:tc>
      </w:tr>
      <w:tr>
        <w:tc>
          <w:tcPr>
            <w:tcW w:type="dxa" w:w="1900"/>
            <w:shd w:fill="F2F2F2" w:val="clear"/>
            <w:tcMar>
              <w:top w:type="dxa" w:w="80"/>
              <w:left w:type="dxa" w:w="100"/>
              <w:bottom w:type="dxa" w:w="80"/>
              <w:right w:type="dxa" w:w="100"/>
            </w:tcMar>
          </w:tcPr>
          <w:p>
            <w:r>
              <w:rPr>
                <w:sz w:val="20"/>
                <w:szCs w:val="20"/>
              </w:rPr>
              <w:t xml:space="preserve">MaternalStatistics</w:t>
            </w:r>
          </w:p>
        </w:tc>
        <w:tc>
          <w:tcPr>
            <w:tcW w:type="dxa" w:w="3400"/>
            <w:shd w:fill="F2F2F2" w:val="clear"/>
            <w:tcMar>
              <w:top w:type="dxa" w:w="80"/>
              <w:left w:type="dxa" w:w="100"/>
              <w:bottom w:type="dxa" w:w="80"/>
              <w:right w:type="dxa" w:w="100"/>
            </w:tcMar>
          </w:tcPr>
          <w:p>
            <w:r>
              <w:rPr>
                <w:sz w:val="20"/>
                <w:szCs w:val="20"/>
              </w:rPr>
              <w:t xml:space="preserve">Statistical variables riding alongside the legal record, per UN P&amp;R Rev.3</w:t>
            </w:r>
          </w:p>
        </w:tc>
        <w:tc>
          <w:tcPr>
            <w:tcW w:type="dxa" w:w="3800"/>
            <w:shd w:fill="F2F2F2" w:val="clear"/>
            <w:tcMar>
              <w:top w:type="dxa" w:w="80"/>
              <w:left w:type="dxa" w:w="100"/>
              <w:bottom w:type="dxa" w:w="80"/>
              <w:right w:type="dxa" w:w="100"/>
            </w:tcMar>
          </w:tcPr>
          <w:p>
            <w:r>
              <w:rPr>
                <w:sz w:val="20"/>
                <w:szCs w:val="20"/>
              </w:rPr>
              <w:t xml:space="preserve">BirthRecordId (FK), MotherEducationLevel, MotherOccupation, PriorLiveBirths, PriorFetalDeaths, PrenatalVisitCount, DateOfLastLiveBirth</w:t>
            </w:r>
          </w:p>
        </w:tc>
      </w:tr>
      <w:tr>
        <w:tc>
          <w:tcPr>
            <w:tcW w:type="dxa" w:w="1900"/>
            <w:shd w:fill="FFFFFF" w:val="clear"/>
            <w:tcMar>
              <w:top w:type="dxa" w:w="80"/>
              <w:left w:type="dxa" w:w="100"/>
              <w:bottom w:type="dxa" w:w="80"/>
              <w:right w:type="dxa" w:w="100"/>
            </w:tcMar>
          </w:tcPr>
          <w:p>
            <w:r>
              <w:rPr>
                <w:sz w:val="20"/>
                <w:szCs w:val="20"/>
              </w:rPr>
              <w:t xml:space="preserve">NeonatalOutcome</w:t>
            </w:r>
          </w:p>
        </w:tc>
        <w:tc>
          <w:tcPr>
            <w:tcW w:type="dxa" w:w="3400"/>
            <w:shd w:fill="FFFFFF" w:val="clear"/>
            <w:tcMar>
              <w:top w:type="dxa" w:w="80"/>
              <w:left w:type="dxa" w:w="100"/>
              <w:bottom w:type="dxa" w:w="80"/>
              <w:right w:type="dxa" w:w="100"/>
            </w:tcMar>
          </w:tcPr>
          <w:p>
            <w:r>
              <w:rPr>
                <w:sz w:val="20"/>
                <w:szCs w:val="20"/>
              </w:rPr>
              <w:t xml:space="preserve">Death within 28 days following a live birth — kept separate from BirthRecord so it stays null for the ~99% of records with no death</w:t>
            </w:r>
          </w:p>
        </w:tc>
        <w:tc>
          <w:tcPr>
            <w:tcW w:type="dxa" w:w="3800"/>
            <w:shd w:fill="FFFFFF" w:val="clear"/>
            <w:tcMar>
              <w:top w:type="dxa" w:w="80"/>
              <w:left w:type="dxa" w:w="100"/>
              <w:bottom w:type="dxa" w:w="80"/>
              <w:right w:type="dxa" w:w="100"/>
            </w:tcMar>
          </w:tcPr>
          <w:p>
            <w:r>
              <w:rPr>
                <w:sz w:val="20"/>
                <w:szCs w:val="20"/>
              </w:rPr>
              <w:t xml:space="preserve">BirthRecordId (FK), DeathDate, IcdPmTiming (Antepartum/Intrapartum/Neonatal), IcdPmCause, ContributingMaternalCondition</w:t>
            </w:r>
          </w:p>
        </w:tc>
      </w:tr>
      <w:tr>
        <w:tc>
          <w:tcPr>
            <w:tcW w:type="dxa" w:w="1900"/>
            <w:shd w:fill="F2F2F2" w:val="clear"/>
            <w:tcMar>
              <w:top w:type="dxa" w:w="80"/>
              <w:left w:type="dxa" w:w="100"/>
              <w:bottom w:type="dxa" w:w="80"/>
              <w:right w:type="dxa" w:w="100"/>
            </w:tcMar>
          </w:tcPr>
          <w:p>
            <w:r>
              <w:rPr>
                <w:sz w:val="20"/>
                <w:szCs w:val="20"/>
              </w:rPr>
              <w:t xml:space="preserve">MaternalOutcome</w:t>
            </w:r>
          </w:p>
        </w:tc>
        <w:tc>
          <w:tcPr>
            <w:tcW w:type="dxa" w:w="3400"/>
            <w:shd w:fill="F2F2F2" w:val="clear"/>
            <w:tcMar>
              <w:top w:type="dxa" w:w="80"/>
              <w:left w:type="dxa" w:w="100"/>
              <w:bottom w:type="dxa" w:w="80"/>
              <w:right w:type="dxa" w:w="100"/>
            </w:tcMar>
          </w:tcPr>
          <w:p>
            <w:r>
              <w:rPr>
                <w:sz w:val="20"/>
                <w:szCs w:val="20"/>
              </w:rPr>
              <w:t xml:space="preserve">Maternal death linked to a birth event, classified per ICD-MM</w:t>
            </w:r>
          </w:p>
        </w:tc>
        <w:tc>
          <w:tcPr>
            <w:tcW w:type="dxa" w:w="3800"/>
            <w:shd w:fill="F2F2F2" w:val="clear"/>
            <w:tcMar>
              <w:top w:type="dxa" w:w="80"/>
              <w:left w:type="dxa" w:w="100"/>
              <w:bottom w:type="dxa" w:w="80"/>
              <w:right w:type="dxa" w:w="100"/>
            </w:tcMar>
          </w:tcPr>
          <w:p>
            <w:r>
              <w:rPr>
                <w:sz w:val="20"/>
                <w:szCs w:val="20"/>
              </w:rPr>
              <w:t xml:space="preserve">BirthRecordId (FK), DeathDate, IcdMmCause</w:t>
            </w:r>
          </w:p>
        </w:tc>
      </w:tr>
      <w:tr>
        <w:tc>
          <w:tcPr>
            <w:tcW w:type="dxa" w:w="1900"/>
            <w:shd w:fill="FFFFFF" w:val="clear"/>
            <w:tcMar>
              <w:top w:type="dxa" w:w="80"/>
              <w:left w:type="dxa" w:w="100"/>
              <w:bottom w:type="dxa" w:w="80"/>
              <w:right w:type="dxa" w:w="100"/>
            </w:tcMar>
          </w:tcPr>
          <w:p>
            <w:r>
              <w:rPr>
                <w:sz w:val="20"/>
                <w:szCs w:val="20"/>
              </w:rPr>
              <w:t xml:space="preserve">Facility</w:t>
            </w:r>
          </w:p>
        </w:tc>
        <w:tc>
          <w:tcPr>
            <w:tcW w:type="dxa" w:w="3400"/>
            <w:shd w:fill="FFFFFF" w:val="clear"/>
            <w:tcMar>
              <w:top w:type="dxa" w:w="80"/>
              <w:left w:type="dxa" w:w="100"/>
              <w:bottom w:type="dxa" w:w="80"/>
              <w:right w:type="dxa" w:w="100"/>
            </w:tcMar>
          </w:tcPr>
          <w:p>
            <w:r>
              <w:rPr>
                <w:sz w:val="20"/>
                <w:szCs w:val="20"/>
              </w:rPr>
              <w:t xml:space="preserve">Hospital, clinic, or village health post</w:t>
            </w:r>
          </w:p>
        </w:tc>
        <w:tc>
          <w:tcPr>
            <w:tcW w:type="dxa" w:w="3800"/>
            <w:shd w:fill="FFFFFF" w:val="clear"/>
            <w:tcMar>
              <w:top w:type="dxa" w:w="80"/>
              <w:left w:type="dxa" w:w="100"/>
              <w:bottom w:type="dxa" w:w="80"/>
              <w:right w:type="dxa" w:w="100"/>
            </w:tcMar>
          </w:tcPr>
          <w:p>
            <w:r>
              <w:rPr>
                <w:sz w:val="20"/>
                <w:szCs w:val="20"/>
              </w:rPr>
              <w:t xml:space="preserve">FacilityId, Name, Tier, DistrictId, ConnectivityProfile</w:t>
            </w:r>
          </w:p>
        </w:tc>
      </w:tr>
      <w:tr>
        <w:tc>
          <w:tcPr>
            <w:tcW w:type="dxa" w:w="1900"/>
            <w:shd w:fill="F2F2F2" w:val="clear"/>
            <w:tcMar>
              <w:top w:type="dxa" w:w="80"/>
              <w:left w:type="dxa" w:w="100"/>
              <w:bottom w:type="dxa" w:w="80"/>
              <w:right w:type="dxa" w:w="100"/>
            </w:tcMar>
          </w:tcPr>
          <w:p>
            <w:r>
              <w:rPr>
                <w:sz w:val="20"/>
                <w:szCs w:val="20"/>
              </w:rPr>
              <w:t xml:space="preserve">Registrar</w:t>
            </w:r>
          </w:p>
        </w:tc>
        <w:tc>
          <w:tcPr>
            <w:tcW w:type="dxa" w:w="3400"/>
            <w:shd w:fill="F2F2F2" w:val="clear"/>
            <w:tcMar>
              <w:top w:type="dxa" w:w="80"/>
              <w:left w:type="dxa" w:w="100"/>
              <w:bottom w:type="dxa" w:w="80"/>
              <w:right w:type="dxa" w:w="100"/>
            </w:tcMar>
          </w:tcPr>
          <w:p>
            <w:r>
              <w:rPr>
                <w:sz w:val="20"/>
                <w:szCs w:val="20"/>
              </w:rPr>
              <w:t xml:space="preserve">User authorized to register births at a facility</w:t>
            </w:r>
          </w:p>
        </w:tc>
        <w:tc>
          <w:tcPr>
            <w:tcW w:type="dxa" w:w="3800"/>
            <w:shd w:fill="F2F2F2" w:val="clear"/>
            <w:tcMar>
              <w:top w:type="dxa" w:w="80"/>
              <w:left w:type="dxa" w:w="100"/>
              <w:bottom w:type="dxa" w:w="80"/>
              <w:right w:type="dxa" w:w="100"/>
            </w:tcMar>
          </w:tcPr>
          <w:p>
            <w:r>
              <w:rPr>
                <w:sz w:val="20"/>
                <w:szCs w:val="20"/>
              </w:rPr>
              <w:t xml:space="preserve">RegistrarId, FacilityId, Role, CredentialHash</w:t>
            </w:r>
          </w:p>
        </w:tc>
      </w:tr>
      <w:tr>
        <w:tc>
          <w:tcPr>
            <w:tcW w:type="dxa" w:w="1900"/>
            <w:shd w:fill="FFFFFF" w:val="clear"/>
            <w:tcMar>
              <w:top w:type="dxa" w:w="80"/>
              <w:left w:type="dxa" w:w="100"/>
              <w:bottom w:type="dxa" w:w="80"/>
              <w:right w:type="dxa" w:w="100"/>
            </w:tcMar>
          </w:tcPr>
          <w:p>
            <w:r>
              <w:rPr>
                <w:sz w:val="20"/>
                <w:szCs w:val="20"/>
              </w:rPr>
              <w:t xml:space="preserve">Certificate</w:t>
            </w:r>
          </w:p>
        </w:tc>
        <w:tc>
          <w:tcPr>
            <w:tcW w:type="dxa" w:w="3400"/>
            <w:shd w:fill="FFFFFF" w:val="clear"/>
            <w:tcMar>
              <w:top w:type="dxa" w:w="80"/>
              <w:left w:type="dxa" w:w="100"/>
              <w:bottom w:type="dxa" w:w="80"/>
              <w:right w:type="dxa" w:w="100"/>
            </w:tcMar>
          </w:tcPr>
          <w:p>
            <w:r>
              <w:rPr>
                <w:sz w:val="20"/>
                <w:szCs w:val="20"/>
              </w:rPr>
              <w:t xml:space="preserve">Issued document tied to a BirthRecord (live births only — fetal deaths do not receive a birth certificate)</w:t>
            </w:r>
          </w:p>
        </w:tc>
        <w:tc>
          <w:tcPr>
            <w:tcW w:type="dxa" w:w="3800"/>
            <w:shd w:fill="FFFFFF" w:val="clear"/>
            <w:tcMar>
              <w:top w:type="dxa" w:w="80"/>
              <w:left w:type="dxa" w:w="100"/>
              <w:bottom w:type="dxa" w:w="80"/>
              <w:right w:type="dxa" w:w="100"/>
            </w:tcMar>
          </w:tcPr>
          <w:p>
            <w:r>
              <w:rPr>
                <w:sz w:val="20"/>
                <w:szCs w:val="20"/>
              </w:rPr>
              <w:t xml:space="preserve">CertificateId, BirthRecordId, IssueDate, SignatureHash, QrPayload, ReprintCount</w:t>
            </w:r>
          </w:p>
        </w:tc>
      </w:tr>
      <w:tr>
        <w:tc>
          <w:tcPr>
            <w:tcW w:type="dxa" w:w="1900"/>
            <w:shd w:fill="F2F2F2" w:val="clear"/>
            <w:tcMar>
              <w:top w:type="dxa" w:w="80"/>
              <w:left w:type="dxa" w:w="100"/>
              <w:bottom w:type="dxa" w:w="80"/>
              <w:right w:type="dxa" w:w="100"/>
            </w:tcMar>
          </w:tcPr>
          <w:p>
            <w:r>
              <w:rPr>
                <w:sz w:val="20"/>
                <w:szCs w:val="20"/>
              </w:rPr>
              <w:t xml:space="preserve">SyncBatch</w:t>
            </w:r>
          </w:p>
        </w:tc>
        <w:tc>
          <w:tcPr>
            <w:tcW w:type="dxa" w:w="3400"/>
            <w:shd w:fill="F2F2F2" w:val="clear"/>
            <w:tcMar>
              <w:top w:type="dxa" w:w="80"/>
              <w:left w:type="dxa" w:w="100"/>
              <w:bottom w:type="dxa" w:w="80"/>
              <w:right w:type="dxa" w:w="100"/>
            </w:tcMar>
          </w:tcPr>
          <w:p>
            <w:r>
              <w:rPr>
                <w:sz w:val="20"/>
                <w:szCs w:val="20"/>
              </w:rPr>
              <w:t xml:space="preserve">A device's outbox transmission</w:t>
            </w:r>
          </w:p>
        </w:tc>
        <w:tc>
          <w:tcPr>
            <w:tcW w:type="dxa" w:w="3800"/>
            <w:shd w:fill="F2F2F2" w:val="clear"/>
            <w:tcMar>
              <w:top w:type="dxa" w:w="80"/>
              <w:left w:type="dxa" w:w="100"/>
              <w:bottom w:type="dxa" w:w="80"/>
              <w:right w:type="dxa" w:w="100"/>
            </w:tcMar>
          </w:tcPr>
          <w:p>
            <w:r>
              <w:rPr>
                <w:sz w:val="20"/>
                <w:szCs w:val="20"/>
              </w:rPr>
              <w:t xml:space="preserve">SyncBatchId, DeviceId, SubmittedAt, RecordCount, Status</w:t>
            </w:r>
          </w:p>
        </w:tc>
      </w:tr>
      <w:tr>
        <w:tc>
          <w:tcPr>
            <w:tcW w:type="dxa" w:w="1900"/>
            <w:shd w:fill="FFFFFF" w:val="clear"/>
            <w:tcMar>
              <w:top w:type="dxa" w:w="80"/>
              <w:left w:type="dxa" w:w="100"/>
              <w:bottom w:type="dxa" w:w="80"/>
              <w:right w:type="dxa" w:w="100"/>
            </w:tcMar>
          </w:tcPr>
          <w:p>
            <w:r>
              <w:rPr>
                <w:sz w:val="20"/>
                <w:szCs w:val="20"/>
              </w:rPr>
              <w:t xml:space="preserve">AuditLog</w:t>
            </w:r>
          </w:p>
        </w:tc>
        <w:tc>
          <w:tcPr>
            <w:tcW w:type="dxa" w:w="3400"/>
            <w:shd w:fill="FFFFFF" w:val="clear"/>
            <w:tcMar>
              <w:top w:type="dxa" w:w="80"/>
              <w:left w:type="dxa" w:w="100"/>
              <w:bottom w:type="dxa" w:w="80"/>
              <w:right w:type="dxa" w:w="100"/>
            </w:tcMar>
          </w:tcPr>
          <w:p>
            <w:r>
              <w:rPr>
                <w:sz w:val="20"/>
                <w:szCs w:val="20"/>
              </w:rPr>
              <w:t xml:space="preserve">Immutable record of every write/edit/reprint</w:t>
            </w:r>
          </w:p>
        </w:tc>
        <w:tc>
          <w:tcPr>
            <w:tcW w:type="dxa" w:w="3800"/>
            <w:shd w:fill="FFFFFF" w:val="clear"/>
            <w:tcMar>
              <w:top w:type="dxa" w:w="80"/>
              <w:left w:type="dxa" w:w="100"/>
              <w:bottom w:type="dxa" w:w="80"/>
              <w:right w:type="dxa" w:w="100"/>
            </w:tcMar>
          </w:tcPr>
          <w:p>
            <w:r>
              <w:rPr>
                <w:sz w:val="20"/>
                <w:szCs w:val="20"/>
              </w:rPr>
              <w:t xml:space="preserve">AuditLogId, EntityType, EntityId, Action, UserId, DeviceId, Timestamp</w:t>
            </w:r>
          </w:p>
        </w:tc>
      </w:tr>
    </w:tbl>
    <w:p>
      <w:pPr>
        <w:spacing w:after="160"/>
      </w:pPr>
      <w:r>
        <w:t xml:space="preserve">This model maps cleanly onto EF Core: BirthRecord, Facility, and AuditLog are the natural DbSets, with the Person entity shared across roles to avoid duplicating name/ID fields for mother, father, and child. NeonatalOutcome and MaternalOutcome are kept as separate, nullable-relationship entities rather than extra columns on BirthRecord — the large majority of records have neither, and keeping them separate preserves a clean legal chain of custody between the birth registration and any death that follows it (Section 4.3).</w:t>
      </w:r>
    </w:p>
    <w:p>
      <w:pPr>
        <w:pStyle w:val="Heading2"/>
        <w:spacing w:after="150" w:before="300"/>
      </w:pPr>
      <w:r>
        <w:t xml:space="preserve">6.4.1 Event Streaming Architecture (Kafka)</w:t>
      </w:r>
    </w:p>
    <w:p>
      <w:pPr>
        <w:spacing w:after="160"/>
      </w:pPr>
      <w:r>
        <w:t xml:space="preserve">Once a record is confirmed centrally (Section 6.3), the system publishes an event rather than calling each downstream consumer directly — this keeps the registration path fast and keeps the growing list of interoperability consumers (Section 6.8) from becoming tightly coupled to the registration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000"/>
      </w:tblGrid>
      <w:tr>
        <w:trPr>
          <w:tblHeader/>
        </w:trPr>
        <w:tc>
          <w:tcPr>
            <w:tcW w:type="dxa" w:w="3100"/>
            <w:shd w:fill="1F3864" w:val="clear"/>
            <w:tcMar>
              <w:top w:type="dxa" w:w="80"/>
              <w:left w:type="dxa" w:w="100"/>
              <w:bottom w:type="dxa" w:w="80"/>
              <w:right w:type="dxa" w:w="100"/>
            </w:tcMar>
          </w:tcPr>
          <w:p>
            <w:r>
              <w:rPr>
                <w:b/>
                <w:bCs/>
                <w:color w:val="FFFFFF"/>
                <w:sz w:val="20"/>
                <w:szCs w:val="20"/>
              </w:rPr>
              <w:t xml:space="preserve">Topic</w:t>
            </w:r>
          </w:p>
        </w:tc>
        <w:tc>
          <w:tcPr>
            <w:tcW w:type="dxa" w:w="3100"/>
            <w:shd w:fill="1F3864" w:val="clear"/>
            <w:tcMar>
              <w:top w:type="dxa" w:w="80"/>
              <w:left w:type="dxa" w:w="100"/>
              <w:bottom w:type="dxa" w:w="80"/>
              <w:right w:type="dxa" w:w="100"/>
            </w:tcMar>
          </w:tcPr>
          <w:p>
            <w:r>
              <w:rPr>
                <w:b/>
                <w:bCs/>
                <w:color w:val="FFFFFF"/>
                <w:sz w:val="20"/>
                <w:szCs w:val="20"/>
              </w:rPr>
              <w:t xml:space="preserve">Published When</w:t>
            </w:r>
          </w:p>
        </w:tc>
        <w:tc>
          <w:tcPr>
            <w:tcW w:type="dxa" w:w="3000"/>
            <w:shd w:fill="1F3864" w:val="clear"/>
            <w:tcMar>
              <w:top w:type="dxa" w:w="80"/>
              <w:left w:type="dxa" w:w="100"/>
              <w:bottom w:type="dxa" w:w="80"/>
              <w:right w:type="dxa" w:w="100"/>
            </w:tcMar>
          </w:tcPr>
          <w:p>
            <w:r>
              <w:rPr>
                <w:b/>
                <w:bCs/>
                <w:color w:val="FFFFFF"/>
                <w:sz w:val="20"/>
                <w:szCs w:val="20"/>
              </w:rPr>
              <w:t xml:space="preserve">Consumers</w:t>
            </w:r>
          </w:p>
        </w:tc>
      </w:tr>
      <w:tr>
        <w:tc>
          <w:tcPr>
            <w:tcW w:type="dxa" w:w="3100"/>
            <w:shd w:fill="F2F2F2" w:val="clear"/>
            <w:tcMar>
              <w:top w:type="dxa" w:w="80"/>
              <w:left w:type="dxa" w:w="100"/>
              <w:bottom w:type="dxa" w:w="80"/>
              <w:right w:type="dxa" w:w="100"/>
            </w:tcMar>
          </w:tcPr>
          <w:p>
            <w:r>
              <w:rPr>
                <w:sz w:val="20"/>
                <w:szCs w:val="20"/>
              </w:rPr>
              <w:t xml:space="preserve">ncbrs.birth-records.registered</w:t>
            </w:r>
          </w:p>
        </w:tc>
        <w:tc>
          <w:tcPr>
            <w:tcW w:type="dxa" w:w="3100"/>
            <w:shd w:fill="F2F2F2" w:val="clear"/>
            <w:tcMar>
              <w:top w:type="dxa" w:w="80"/>
              <w:left w:type="dxa" w:w="100"/>
              <w:bottom w:type="dxa" w:w="80"/>
              <w:right w:type="dxa" w:w="100"/>
            </w:tcMar>
          </w:tcPr>
          <w:p>
            <w:r>
              <w:rPr>
                <w:sz w:val="20"/>
                <w:szCs w:val="20"/>
              </w:rPr>
              <w:t xml:space="preserve">A BirthRecord is confirmed centrally after device sync</w:t>
            </w:r>
          </w:p>
        </w:tc>
        <w:tc>
          <w:tcPr>
            <w:tcW w:type="dxa" w:w="3000"/>
            <w:shd w:fill="F2F2F2" w:val="clear"/>
            <w:tcMar>
              <w:top w:type="dxa" w:w="80"/>
              <w:left w:type="dxa" w:w="100"/>
              <w:bottom w:type="dxa" w:w="80"/>
              <w:right w:type="dxa" w:w="100"/>
            </w:tcMar>
          </w:tcPr>
          <w:p>
            <w:r>
              <w:rPr>
                <w:sz w:val="20"/>
                <w:szCs w:val="20"/>
              </w:rPr>
              <w:t xml:space="preserve">National ID Authority integration, statistics dashboard updater, audit stream archiver</w:t>
            </w:r>
          </w:p>
        </w:tc>
      </w:tr>
      <w:tr>
        <w:tc>
          <w:tcPr>
            <w:tcW w:type="dxa" w:w="3100"/>
            <w:shd w:fill="FFFFFF" w:val="clear"/>
            <w:tcMar>
              <w:top w:type="dxa" w:w="80"/>
              <w:left w:type="dxa" w:w="100"/>
              <w:bottom w:type="dxa" w:w="80"/>
              <w:right w:type="dxa" w:w="100"/>
            </w:tcMar>
          </w:tcPr>
          <w:p>
            <w:r>
              <w:rPr>
                <w:sz w:val="20"/>
                <w:szCs w:val="20"/>
              </w:rPr>
              <w:t xml:space="preserve">ncbrs.birth-records.amended</w:t>
            </w:r>
          </w:p>
        </w:tc>
        <w:tc>
          <w:tcPr>
            <w:tcW w:type="dxa" w:w="3100"/>
            <w:shd w:fill="FFFFFF" w:val="clear"/>
            <w:tcMar>
              <w:top w:type="dxa" w:w="80"/>
              <w:left w:type="dxa" w:w="100"/>
              <w:bottom w:type="dxa" w:w="80"/>
              <w:right w:type="dxa" w:w="100"/>
            </w:tcMar>
          </w:tcPr>
          <w:p>
            <w:r>
              <w:rPr>
                <w:sz w:val="20"/>
                <w:szCs w:val="20"/>
              </w:rPr>
              <w:t xml:space="preserve">A correction/amendment (Section 5.3) is approved</w:t>
            </w:r>
          </w:p>
        </w:tc>
        <w:tc>
          <w:tcPr>
            <w:tcW w:type="dxa" w:w="3000"/>
            <w:shd w:fill="FFFFFF" w:val="clear"/>
            <w:tcMar>
              <w:top w:type="dxa" w:w="80"/>
              <w:left w:type="dxa" w:w="100"/>
              <w:bottom w:type="dxa" w:w="80"/>
              <w:right w:type="dxa" w:w="100"/>
            </w:tcMar>
          </w:tcPr>
          <w:p>
            <w:r>
              <w:rPr>
                <w:sz w:val="20"/>
                <w:szCs w:val="20"/>
              </w:rPr>
              <w:t xml:space="preserve">Same consumers, so downstream systems stay in sync with corrections</w:t>
            </w:r>
          </w:p>
        </w:tc>
      </w:tr>
      <w:tr>
        <w:tc>
          <w:tcPr>
            <w:tcW w:type="dxa" w:w="3100"/>
            <w:shd w:fill="F2F2F2" w:val="clear"/>
            <w:tcMar>
              <w:top w:type="dxa" w:w="80"/>
              <w:left w:type="dxa" w:w="100"/>
              <w:bottom w:type="dxa" w:w="80"/>
              <w:right w:type="dxa" w:w="100"/>
            </w:tcMar>
          </w:tcPr>
          <w:p>
            <w:r>
              <w:rPr>
                <w:sz w:val="20"/>
                <w:szCs w:val="20"/>
              </w:rPr>
              <w:t xml:space="preserve">ncbrs.outcomes.neonatal</w:t>
            </w:r>
          </w:p>
        </w:tc>
        <w:tc>
          <w:tcPr>
            <w:tcW w:type="dxa" w:w="3100"/>
            <w:shd w:fill="F2F2F2" w:val="clear"/>
            <w:tcMar>
              <w:top w:type="dxa" w:w="80"/>
              <w:left w:type="dxa" w:w="100"/>
              <w:bottom w:type="dxa" w:w="80"/>
              <w:right w:type="dxa" w:w="100"/>
            </w:tcMar>
          </w:tcPr>
          <w:p>
            <w:r>
              <w:rPr>
                <w:sz w:val="20"/>
                <w:szCs w:val="20"/>
              </w:rPr>
              <w:t xml:space="preserve">A NeonatalOutcome is recorded against an existing BirthRecord</w:t>
            </w:r>
          </w:p>
        </w:tc>
        <w:tc>
          <w:tcPr>
            <w:tcW w:type="dxa" w:w="3000"/>
            <w:shd w:fill="F2F2F2" w:val="clear"/>
            <w:tcMar>
              <w:top w:type="dxa" w:w="80"/>
              <w:left w:type="dxa" w:w="100"/>
              <w:bottom w:type="dxa" w:w="80"/>
              <w:right w:type="dxa" w:w="100"/>
            </w:tcMar>
          </w:tcPr>
          <w:p>
            <w:r>
              <w:rPr>
                <w:sz w:val="20"/>
                <w:szCs w:val="20"/>
              </w:rPr>
              <w:t xml:space="preserve">Health-sector mortality dashboards, DHIS2 aggregate export job</w:t>
            </w:r>
          </w:p>
        </w:tc>
      </w:tr>
      <w:tr>
        <w:tc>
          <w:tcPr>
            <w:tcW w:type="dxa" w:w="3100"/>
            <w:shd w:fill="FFFFFF" w:val="clear"/>
            <w:tcMar>
              <w:top w:type="dxa" w:w="80"/>
              <w:left w:type="dxa" w:w="100"/>
              <w:bottom w:type="dxa" w:w="80"/>
              <w:right w:type="dxa" w:w="100"/>
            </w:tcMar>
          </w:tcPr>
          <w:p>
            <w:r>
              <w:rPr>
                <w:sz w:val="20"/>
                <w:szCs w:val="20"/>
              </w:rPr>
              <w:t xml:space="preserve">ncbrs.outcomes.maternal</w:t>
            </w:r>
          </w:p>
        </w:tc>
        <w:tc>
          <w:tcPr>
            <w:tcW w:type="dxa" w:w="3100"/>
            <w:shd w:fill="FFFFFF" w:val="clear"/>
            <w:tcMar>
              <w:top w:type="dxa" w:w="80"/>
              <w:left w:type="dxa" w:w="100"/>
              <w:bottom w:type="dxa" w:w="80"/>
              <w:right w:type="dxa" w:w="100"/>
            </w:tcMar>
          </w:tcPr>
          <w:p>
            <w:r>
              <w:rPr>
                <w:sz w:val="20"/>
                <w:szCs w:val="20"/>
              </w:rPr>
              <w:t xml:space="preserve">A MaternalOutcome is recorded</w:t>
            </w:r>
          </w:p>
        </w:tc>
        <w:tc>
          <w:tcPr>
            <w:tcW w:type="dxa" w:w="3000"/>
            <w:shd w:fill="FFFFFF" w:val="clear"/>
            <w:tcMar>
              <w:top w:type="dxa" w:w="80"/>
              <w:left w:type="dxa" w:w="100"/>
              <w:bottom w:type="dxa" w:w="80"/>
              <w:right w:type="dxa" w:w="100"/>
            </w:tcMar>
          </w:tcPr>
          <w:p>
            <w:r>
              <w:rPr>
                <w:sz w:val="20"/>
                <w:szCs w:val="20"/>
              </w:rPr>
              <w:t xml:space="preserve">Maternal mortality review process trigger (Section 3.2 governance)</w:t>
            </w:r>
          </w:p>
        </w:tc>
      </w:tr>
      <w:tr>
        <w:tc>
          <w:tcPr>
            <w:tcW w:type="dxa" w:w="3100"/>
            <w:shd w:fill="F2F2F2" w:val="clear"/>
            <w:tcMar>
              <w:top w:type="dxa" w:w="80"/>
              <w:left w:type="dxa" w:w="100"/>
              <w:bottom w:type="dxa" w:w="80"/>
              <w:right w:type="dxa" w:w="100"/>
            </w:tcMar>
          </w:tcPr>
          <w:p>
            <w:r>
              <w:rPr>
                <w:sz w:val="20"/>
                <w:szCs w:val="20"/>
              </w:rPr>
              <w:t xml:space="preserve">ncbrs.sync.audit</w:t>
            </w:r>
          </w:p>
        </w:tc>
        <w:tc>
          <w:tcPr>
            <w:tcW w:type="dxa" w:w="3100"/>
            <w:shd w:fill="F2F2F2" w:val="clear"/>
            <w:tcMar>
              <w:top w:type="dxa" w:w="80"/>
              <w:left w:type="dxa" w:w="100"/>
              <w:bottom w:type="dxa" w:w="80"/>
              <w:right w:type="dxa" w:w="100"/>
            </w:tcMar>
          </w:tcPr>
          <w:p>
            <w:r>
              <w:rPr>
                <w:sz w:val="20"/>
                <w:szCs w:val="20"/>
              </w:rPr>
              <w:t xml:space="preserve">Every AuditLog write</w:t>
            </w:r>
          </w:p>
        </w:tc>
        <w:tc>
          <w:tcPr>
            <w:tcW w:type="dxa" w:w="3000"/>
            <w:shd w:fill="F2F2F2" w:val="clear"/>
            <w:tcMar>
              <w:top w:type="dxa" w:w="80"/>
              <w:left w:type="dxa" w:w="100"/>
              <w:bottom w:type="dxa" w:w="80"/>
              <w:right w:type="dxa" w:w="100"/>
            </w:tcMar>
          </w:tcPr>
          <w:p>
            <w:r>
              <w:rPr>
                <w:sz w:val="20"/>
                <w:szCs w:val="20"/>
              </w:rPr>
              <w:t xml:space="preserve">Long-term audit archive, independent of the operational database</w:t>
            </w:r>
          </w:p>
        </w:tc>
      </w:tr>
    </w:tbl>
    <w:p>
      <w:pPr>
        <w:pStyle w:val="ListParagraph"/>
        <w:numPr>
          <w:ilvl w:val="0"/>
          <w:numId w:val="2"/>
        </w:numPr>
        <w:spacing w:after="80"/>
      </w:pPr>
      <w:r>
        <w:t xml:space="preserve">Partitioning: partition by FacilityId or DistrictId so a downstream consumer can process a region's events in order without needing global ordering across the whole country.</w:t>
      </w:r>
    </w:p>
    <w:p>
      <w:pPr>
        <w:pStyle w:val="ListParagraph"/>
        <w:numPr>
          <w:ilvl w:val="0"/>
          <w:numId w:val="2"/>
        </w:numPr>
        <w:spacing w:after="80"/>
      </w:pPr>
      <w:r>
        <w:t xml:space="preserve">Retention: keep at least 30–90 days of history on the core topics so a downstream consumer that was offline (e.g. a batch job to the National ID Authority) can catch up by replay rather than requiring a manual backfill.</w:t>
      </w:r>
    </w:p>
    <w:p>
      <w:pPr>
        <w:pStyle w:val="ListParagraph"/>
        <w:numPr>
          <w:ilvl w:val="0"/>
          <w:numId w:val="2"/>
        </w:numPr>
        <w:spacing w:after="80"/>
      </w:pPr>
      <w:r>
        <w:t xml:space="preserve">The registration API (Section 6.6) remains the single writer to the database; Kafka events are an outbound notification of what already happened, never the primary record — the database, not the topic, is the legal system of record.</w:t>
      </w:r>
    </w:p>
    <w:p>
      <w:pPr>
        <w:pStyle w:val="Heading2"/>
        <w:spacing w:after="150" w:before="300"/>
      </w:pPr>
      <w:r>
        <w:t xml:space="preserve">6.5.1 WHO / UN Vital Statistics Compliance</w:t>
      </w:r>
    </w:p>
    <w:p>
      <w:pPr>
        <w:spacing w:after="160"/>
      </w:pPr>
      <w:r>
        <w:t xml:space="preserve">Rather than an ad hoc field list, the data model above is built to the international standard used by WHO and the UN Statistics Division (whose framework UNICEF also follows for birth registration reporting), so the resulting statistics are comparable with global and regional data, not just internally consistent.</w:t>
      </w:r>
    </w:p>
    <w:p>
      <w:pPr>
        <w:pStyle w:val="ListParagraph"/>
        <w:numPr>
          <w:ilvl w:val="0"/>
          <w:numId w:val="2"/>
        </w:numPr>
        <w:spacing w:after="80"/>
      </w:pPr>
      <w:r>
        <w:t xml:space="preserve">Live birth vs. fetal death: a birth record is created for any infant showing signs of life at birth, regardless of gestational age, per UN vital statistics standards. A fetal death (stillbirth) is registered separately — it does not receive a birth certificate. WHO's international comparison threshold for late fetal death is 28 weeks gestation and/or 1,000g birthweight, though many countries additionally register earlier fetal deaths nationally.</w:t>
      </w:r>
    </w:p>
    <w:p>
      <w:pPr>
        <w:pStyle w:val="ListParagraph"/>
        <w:numPr>
          <w:ilvl w:val="0"/>
          <w:numId w:val="2"/>
        </w:numPr>
        <w:spacing w:after="80"/>
      </w:pPr>
      <w:r>
        <w:t xml:space="preserve">Live birth followed by death: always two records — a birth registration and a separate death registration — never a single combined “outcome” field. This is what lets NCBRS report neonatal mortality accurately rather than masking it.</w:t>
      </w:r>
    </w:p>
    <w:p>
      <w:pPr>
        <w:pStyle w:val="ListParagraph"/>
        <w:numPr>
          <w:ilvl w:val="0"/>
          <w:numId w:val="2"/>
        </w:numPr>
        <w:spacing w:after="80"/>
      </w:pPr>
      <w:r>
        <w:t xml:space="preserve">Multiple births: each infant born alive is registered as its own live birth; any siblings not born alive are registered as separate fetal deaths — never bundled into one record.</w:t>
      </w:r>
    </w:p>
    <w:p>
      <w:pPr>
        <w:pStyle w:val="ListParagraph"/>
        <w:numPr>
          <w:ilvl w:val="0"/>
          <w:numId w:val="2"/>
        </w:numPr>
        <w:spacing w:after="80"/>
      </w:pPr>
      <w:r>
        <w:t xml:space="preserve">Cause classification uses coded systems, not free text: neonatal/perinatal deaths are classified with WHO's ICD-PM (timing — antepartum, intrapartum, or neonatal — plus cause and contributing maternal condition); maternal deaths use the equivalent WHO ICD-MM classification. Coded classification is what makes cause-of-death statistics comparable across facilities and countries; free-text “notes” fields are not statistically usable at national scale.</w:t>
      </w:r>
    </w:p>
    <w:p>
      <w:pPr>
        <w:pStyle w:val="ListParagraph"/>
        <w:numPr>
          <w:ilvl w:val="0"/>
          <w:numId w:val="2"/>
        </w:numPr>
        <w:spacing w:after="80"/>
      </w:pPr>
      <w:r>
        <w:t xml:space="preserve">Statistical variables (mother's education, occupation, prenatal visit count, etc.) are collected per the UN's Principles and Recommendations for a Vital Statistics System, but are kept in a separate MaternalStatistics table — legally, the birth registration and the statistical questionnaire are distinct functions, even though NCBRS captures both in one workflow for efficiency.</w:t>
      </w:r>
    </w:p>
    <w:p>
      <w:pPr>
        <w:pStyle w:val="Heading2"/>
        <w:spacing w:after="150" w:before="300"/>
      </w:pPr>
      <w:r>
        <w:t xml:space="preserve">6.6 Unique ID Generation &amp; Duplicate Prevention</w:t>
      </w:r>
    </w:p>
    <w:p>
      <w:pPr>
        <w:spacing w:after="160"/>
      </w:pPr>
      <w:r>
        <w:t xml:space="preserve">Beyond the offline block-allocation strategy in 6.3, the system should run a periodic central deduplication check (matching on mother's national ID + date of birth + facility) to flag likely duplicate registrations for manual registrar review — duplicates will still occasionally occur (e.g. a mother registering at two different facilities), and the system should surface them rather than assume the offline ID scheme alone prevents every case.</w:t>
      </w:r>
    </w:p>
    <w:p>
      <w:pPr>
        <w:pStyle w:val="Heading2"/>
        <w:spacing w:after="150" w:before="300"/>
      </w:pPr>
      <w:r>
        <w:t xml:space="preserve">6.7 Security Architecture</w:t>
      </w:r>
    </w:p>
    <w:p>
      <w:pPr>
        <w:pStyle w:val="ListParagraph"/>
        <w:numPr>
          <w:ilvl w:val="0"/>
          <w:numId w:val="2"/>
        </w:numPr>
        <w:spacing w:after="80"/>
      </w:pPr>
      <w:r>
        <w:t xml:space="preserve">Role-based access control (RBAC): CHW/facility registrars can create and view records for their facility only; district officers see their district; ministry staff see national aggregate and drill-down.</w:t>
      </w:r>
    </w:p>
    <w:p>
      <w:pPr>
        <w:pStyle w:val="ListParagraph"/>
        <w:numPr>
          <w:ilvl w:val="0"/>
          <w:numId w:val="2"/>
        </w:numPr>
        <w:spacing w:after="80"/>
      </w:pPr>
      <w:r>
        <w:t xml:space="preserve">Encryption in transit (TLS) for all sync traffic, and encryption at rest for the local SQLite store on facility devices, so a lost/stolen tablet does not expose birth records.</w:t>
      </w:r>
    </w:p>
    <w:p>
      <w:pPr>
        <w:pStyle w:val="ListParagraph"/>
        <w:numPr>
          <w:ilvl w:val="0"/>
          <w:numId w:val="2"/>
        </w:numPr>
        <w:spacing w:after="80"/>
      </w:pPr>
      <w:r>
        <w:t xml:space="preserve">Device enrollment: each facility device is registered and issued a device certificate before it can sync — unregistered devices cannot submit records, closing a major fraud vector.</w:t>
      </w:r>
    </w:p>
    <w:p>
      <w:pPr>
        <w:pStyle w:val="ListParagraph"/>
        <w:numPr>
          <w:ilvl w:val="0"/>
          <w:numId w:val="2"/>
        </w:numPr>
        <w:spacing w:after="80"/>
      </w:pPr>
      <w:r>
        <w:t xml:space="preserve">Full audit trail (Section 6.5) satisfying the legal chain-of-custody requirement from Section 4.3.</w:t>
      </w:r>
    </w:p>
    <w:p>
      <w:pPr>
        <w:pStyle w:val="ListParagraph"/>
        <w:numPr>
          <w:ilvl w:val="0"/>
          <w:numId w:val="2"/>
        </w:numPr>
        <w:spacing w:after="80"/>
      </w:pPr>
      <w:r>
        <w:t xml:space="preserve">Signing key custody and rotation: the Ministry signing key is the most sensitive secret in the system, since whoever holds it can mint certificates that verify as genuine. It must be held in an HSM or secret store, never in source control or configuration files. Verification clients must accept a set of valid keys rather than exactly one, so that during a rotation window a device still holding the previous key continues to accept genuine certificates instead of rejecting them.</w:t>
      </w:r>
    </w:p>
    <w:p>
      <w:pPr>
        <w:pStyle w:val="Heading2"/>
        <w:spacing w:after="150" w:before="300"/>
      </w:pPr>
      <w:r>
        <w:t xml:space="preserve">6.8 Interoperability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External System</w:t>
            </w:r>
          </w:p>
        </w:tc>
        <w:tc>
          <w:tcPr>
            <w:tcW w:type="dxa" w:w="6100"/>
            <w:shd w:fill="1F3864" w:val="clear"/>
            <w:tcMar>
              <w:top w:type="dxa" w:w="80"/>
              <w:left w:type="dxa" w:w="100"/>
              <w:bottom w:type="dxa" w:w="80"/>
              <w:right w:type="dxa" w:w="100"/>
            </w:tcMar>
          </w:tcPr>
          <w:p>
            <w:r>
              <w:rPr>
                <w:b/>
                <w:bCs/>
                <w:color w:val="FFFFFF"/>
                <w:sz w:val="20"/>
                <w:szCs w:val="20"/>
              </w:rPr>
              <w:t xml:space="preserve">Integration Pattern</w:t>
            </w:r>
          </w:p>
        </w:tc>
      </w:tr>
      <w:tr>
        <w:tc>
          <w:tcPr>
            <w:tcW w:type="dxa" w:w="2800"/>
            <w:shd w:fill="F2F2F2" w:val="clear"/>
            <w:tcMar>
              <w:top w:type="dxa" w:w="80"/>
              <w:left w:type="dxa" w:w="100"/>
              <w:bottom w:type="dxa" w:w="80"/>
              <w:right w:type="dxa" w:w="100"/>
            </w:tcMar>
          </w:tcPr>
          <w:p>
            <w:r>
              <w:rPr>
                <w:sz w:val="20"/>
                <w:szCs w:val="20"/>
              </w:rPr>
              <w:t xml:space="preserve">National ID Authority</w:t>
            </w:r>
          </w:p>
        </w:tc>
        <w:tc>
          <w:tcPr>
            <w:tcW w:type="dxa" w:w="6100"/>
            <w:shd w:fill="F2F2F2" w:val="clear"/>
            <w:tcMar>
              <w:top w:type="dxa" w:w="80"/>
              <w:left w:type="dxa" w:w="100"/>
              <w:bottom w:type="dxa" w:w="80"/>
              <w:right w:type="dxa" w:w="100"/>
            </w:tcMar>
          </w:tcPr>
          <w:p>
            <w:r>
              <w:rPr>
                <w:sz w:val="20"/>
                <w:szCs w:val="20"/>
              </w:rPr>
              <w:t xml:space="preserve">Outbound API: on BRN confirmation, push a minimal identity record (name, DOB, BRN) so a National ID can later be linked to this birth record</w:t>
            </w:r>
          </w:p>
        </w:tc>
      </w:tr>
      <w:tr>
        <w:tc>
          <w:tcPr>
            <w:tcW w:type="dxa" w:w="2800"/>
            <w:shd w:fill="FFFFFF" w:val="clear"/>
            <w:tcMar>
              <w:top w:type="dxa" w:w="80"/>
              <w:left w:type="dxa" w:w="100"/>
              <w:bottom w:type="dxa" w:w="80"/>
              <w:right w:type="dxa" w:w="100"/>
            </w:tcMar>
          </w:tcPr>
          <w:p>
            <w:r>
              <w:rPr>
                <w:sz w:val="20"/>
                <w:szCs w:val="20"/>
              </w:rPr>
              <w:t xml:space="preserve">Civil Registry (Interior/Justice)</w:t>
            </w:r>
          </w:p>
        </w:tc>
        <w:tc>
          <w:tcPr>
            <w:tcW w:type="dxa" w:w="6100"/>
            <w:shd w:fill="FFFFFF" w:val="clear"/>
            <w:tcMar>
              <w:top w:type="dxa" w:w="80"/>
              <w:left w:type="dxa" w:w="100"/>
              <w:bottom w:type="dxa" w:w="80"/>
              <w:right w:type="dxa" w:w="100"/>
            </w:tcMar>
          </w:tcPr>
          <w:p>
            <w:r>
              <w:rPr>
                <w:sz w:val="20"/>
                <w:szCs w:val="20"/>
              </w:rPr>
              <w:t xml:space="preserve">Two-way API per the data-sharing agreement in Section 4.4; civil registry may be the legal system of record with NCBRS as its intake channel, or vice versa — to be settled in governance</w:t>
            </w:r>
          </w:p>
        </w:tc>
      </w:tr>
      <w:tr>
        <w:tc>
          <w:tcPr>
            <w:tcW w:type="dxa" w:w="2800"/>
            <w:shd w:fill="F2F2F2" w:val="clear"/>
            <w:tcMar>
              <w:top w:type="dxa" w:w="80"/>
              <w:left w:type="dxa" w:w="100"/>
              <w:bottom w:type="dxa" w:w="80"/>
              <w:right w:type="dxa" w:w="100"/>
            </w:tcMar>
          </w:tcPr>
          <w:p>
            <w:r>
              <w:rPr>
                <w:sz w:val="20"/>
                <w:szCs w:val="20"/>
              </w:rPr>
              <w:t xml:space="preserve">Health Information System (e.g. DHIS2)</w:t>
            </w:r>
          </w:p>
        </w:tc>
        <w:tc>
          <w:tcPr>
            <w:tcW w:type="dxa" w:w="6100"/>
            <w:shd w:fill="F2F2F2" w:val="clear"/>
            <w:tcMar>
              <w:top w:type="dxa" w:w="80"/>
              <w:left w:type="dxa" w:w="100"/>
              <w:bottom w:type="dxa" w:w="80"/>
              <w:right w:type="dxa" w:w="100"/>
            </w:tcMar>
          </w:tcPr>
          <w:p>
            <w:r>
              <w:rPr>
                <w:sz w:val="20"/>
                <w:szCs w:val="20"/>
              </w:rPr>
              <w:t xml:space="preserve">Aggregate, anonymized statistical export (birth counts by facility/region/period) — no individually identifiable data</w:t>
            </w:r>
          </w:p>
        </w:tc>
      </w:tr>
      <w:tr>
        <w:tc>
          <w:tcPr>
            <w:tcW w:type="dxa" w:w="2800"/>
            <w:shd w:fill="FFFFFF" w:val="clear"/>
            <w:tcMar>
              <w:top w:type="dxa" w:w="80"/>
              <w:left w:type="dxa" w:w="100"/>
              <w:bottom w:type="dxa" w:w="80"/>
              <w:right w:type="dxa" w:w="100"/>
            </w:tcMar>
          </w:tcPr>
          <w:p>
            <w:r>
              <w:rPr>
                <w:sz w:val="20"/>
                <w:szCs w:val="20"/>
              </w:rPr>
              <w:t xml:space="preserve">National Statistics Office</w:t>
            </w:r>
          </w:p>
        </w:tc>
        <w:tc>
          <w:tcPr>
            <w:tcW w:type="dxa" w:w="6100"/>
            <w:shd w:fill="FFFFFF" w:val="clear"/>
            <w:tcMar>
              <w:top w:type="dxa" w:w="80"/>
              <w:left w:type="dxa" w:w="100"/>
              <w:bottom w:type="dxa" w:w="80"/>
              <w:right w:type="dxa" w:w="100"/>
            </w:tcMar>
          </w:tcPr>
          <w:p>
            <w:r>
              <w:rPr>
                <w:sz w:val="20"/>
                <w:szCs w:val="20"/>
              </w:rPr>
              <w:t xml:space="preserve">Scheduled anonymized data extract for vital statistics reporting</w:t>
            </w:r>
          </w:p>
        </w:tc>
      </w:tr>
    </w:tbl>
    <w:p>
      <w:pPr>
        <w:pStyle w:val="Heading1"/>
        <w:spacing w:after="200" w:before="400"/>
      </w:pPr>
      <w:r>
        <w:t xml:space="preserve">7. Infrastructure &amp; Deployment Model</w:t>
      </w:r>
    </w:p>
    <w:p>
      <w:pPr>
        <w:pStyle w:val="Heading2"/>
        <w:spacing w:after="150" w:before="300"/>
      </w:pPr>
      <w:r>
        <w:t xml:space="preserve">7.1 Central Tier</w:t>
      </w:r>
    </w:p>
    <w:p>
      <w:pPr>
        <w:spacing w:after="160"/>
      </w:pPr>
      <w:r>
        <w:t xml:space="preserve">Hosted in-country (data center or sovereign cloud region) to satisfy likely data-residency rules. Deployed with standard production practices: load-balanced API instances, a primary/replica database setup, and automated backups with a tested disaster-recovery process — this is a civil registry; data loss is not an acceptable risk.</w:t>
      </w:r>
    </w:p>
    <w:p>
      <w:pPr>
        <w:pStyle w:val="Heading2"/>
        <w:spacing w:after="150" w:before="300"/>
      </w:pPr>
      <w:r>
        <w:t xml:space="preserve">7.2 District/Regional Tier</w:t>
      </w:r>
    </w:p>
    <w:p>
      <w:pPr>
        <w:spacing w:after="160"/>
      </w:pPr>
      <w:r>
        <w:t xml:space="preserve">A modest on-premises server or ruggedized mini-PC per district office, capable of running a scaled-down version of the platform and acting as a local sync relay and cache during national connectivity outages.</w:t>
      </w:r>
    </w:p>
    <w:p>
      <w:pPr>
        <w:pStyle w:val="Heading2"/>
        <w:spacing w:after="150" w:before="300"/>
      </w:pPr>
      <w:r>
        <w:t xml:space="preserve">7.3 Facility Tier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000"/>
      </w:tblGrid>
      <w:tr>
        <w:trPr>
          <w:tblHeader/>
        </w:trPr>
        <w:tc>
          <w:tcPr>
            <w:tcW w:type="dxa" w:w="2700"/>
            <w:shd w:fill="1F3864" w:val="clear"/>
            <w:tcMar>
              <w:top w:type="dxa" w:w="80"/>
              <w:left w:type="dxa" w:w="100"/>
              <w:bottom w:type="dxa" w:w="80"/>
              <w:right w:type="dxa" w:w="100"/>
            </w:tcMar>
          </w:tcPr>
          <w:p>
            <w:r>
              <w:rPr>
                <w:b/>
                <w:bCs/>
                <w:color w:val="FFFFFF"/>
                <w:sz w:val="20"/>
                <w:szCs w:val="20"/>
              </w:rPr>
              <w:t xml:space="preserve">Facility Type</w:t>
            </w:r>
          </w:p>
        </w:tc>
        <w:tc>
          <w:tcPr>
            <w:tcW w:type="dxa" w:w="3200"/>
            <w:shd w:fill="1F3864" w:val="clear"/>
            <w:tcMar>
              <w:top w:type="dxa" w:w="80"/>
              <w:left w:type="dxa" w:w="100"/>
              <w:bottom w:type="dxa" w:w="80"/>
              <w:right w:type="dxa" w:w="100"/>
            </w:tcMar>
          </w:tcPr>
          <w:p>
            <w:r>
              <w:rPr>
                <w:b/>
                <w:bCs/>
                <w:color w:val="FFFFFF"/>
                <w:sz w:val="20"/>
                <w:szCs w:val="20"/>
              </w:rPr>
              <w:t xml:space="preserve">Typical Device</w:t>
            </w:r>
          </w:p>
        </w:tc>
        <w:tc>
          <w:tcPr>
            <w:tcW w:type="dxa" w:w="3000"/>
            <w:shd w:fill="1F3864" w:val="clear"/>
            <w:tcMar>
              <w:top w:type="dxa" w:w="80"/>
              <w:left w:type="dxa" w:w="100"/>
              <w:bottom w:type="dxa" w:w="80"/>
              <w:right w:type="dxa" w:w="100"/>
            </w:tcMar>
          </w:tcPr>
          <w:p>
            <w:r>
              <w:rPr>
                <w:b/>
                <w:bCs/>
                <w:color w:val="FFFFFF"/>
                <w:sz w:val="20"/>
                <w:szCs w:val="20"/>
              </w:rPr>
              <w:t xml:space="preserve">Connectivity Pattern</w:t>
            </w:r>
          </w:p>
        </w:tc>
      </w:tr>
      <w:tr>
        <w:tc>
          <w:tcPr>
            <w:tcW w:type="dxa" w:w="2700"/>
            <w:shd w:fill="F2F2F2" w:val="clear"/>
            <w:tcMar>
              <w:top w:type="dxa" w:w="80"/>
              <w:left w:type="dxa" w:w="100"/>
              <w:bottom w:type="dxa" w:w="80"/>
              <w:right w:type="dxa" w:w="100"/>
            </w:tcMar>
          </w:tcPr>
          <w:p>
            <w:r>
              <w:rPr>
                <w:sz w:val="20"/>
                <w:szCs w:val="20"/>
              </w:rPr>
              <w:t xml:space="preserve">National/Regional Hospital</w:t>
            </w:r>
          </w:p>
        </w:tc>
        <w:tc>
          <w:tcPr>
            <w:tcW w:type="dxa" w:w="3200"/>
            <w:shd w:fill="F2F2F2" w:val="clear"/>
            <w:tcMar>
              <w:top w:type="dxa" w:w="80"/>
              <w:left w:type="dxa" w:w="100"/>
              <w:bottom w:type="dxa" w:w="80"/>
              <w:right w:type="dxa" w:w="100"/>
            </w:tcMar>
          </w:tcPr>
          <w:p>
            <w:r>
              <w:rPr>
                <w:sz w:val="20"/>
                <w:szCs w:val="20"/>
              </w:rPr>
              <w:t xml:space="preserve">Desktop or laptop terminal, wired/Wi-Fi network</w:t>
            </w:r>
          </w:p>
        </w:tc>
        <w:tc>
          <w:tcPr>
            <w:tcW w:type="dxa" w:w="3000"/>
            <w:shd w:fill="F2F2F2" w:val="clear"/>
            <w:tcMar>
              <w:top w:type="dxa" w:w="80"/>
              <w:left w:type="dxa" w:w="100"/>
              <w:bottom w:type="dxa" w:w="80"/>
              <w:right w:type="dxa" w:w="100"/>
            </w:tcMar>
          </w:tcPr>
          <w:p>
            <w:r>
              <w:rPr>
                <w:sz w:val="20"/>
                <w:szCs w:val="20"/>
              </w:rPr>
              <w:t xml:space="preserve">Mostly always-on; near-real-time sync</w:t>
            </w:r>
          </w:p>
        </w:tc>
      </w:tr>
      <w:tr>
        <w:tc>
          <w:tcPr>
            <w:tcW w:type="dxa" w:w="2700"/>
            <w:shd w:fill="FFFFFF" w:val="clear"/>
            <w:tcMar>
              <w:top w:type="dxa" w:w="80"/>
              <w:left w:type="dxa" w:w="100"/>
              <w:bottom w:type="dxa" w:w="80"/>
              <w:right w:type="dxa" w:w="100"/>
            </w:tcMar>
          </w:tcPr>
          <w:p>
            <w:r>
              <w:rPr>
                <w:sz w:val="20"/>
                <w:szCs w:val="20"/>
              </w:rPr>
              <w:t xml:space="preserve">District/Small Clinic</w:t>
            </w:r>
          </w:p>
        </w:tc>
        <w:tc>
          <w:tcPr>
            <w:tcW w:type="dxa" w:w="3200"/>
            <w:shd w:fill="FFFFFF" w:val="clear"/>
            <w:tcMar>
              <w:top w:type="dxa" w:w="80"/>
              <w:left w:type="dxa" w:w="100"/>
              <w:bottom w:type="dxa" w:w="80"/>
              <w:right w:type="dxa" w:w="100"/>
            </w:tcMar>
          </w:tcPr>
          <w:p>
            <w:r>
              <w:rPr>
                <w:sz w:val="20"/>
                <w:szCs w:val="20"/>
              </w:rPr>
              <w:t xml:space="preserve">Laptop or tablet</w:t>
            </w:r>
          </w:p>
        </w:tc>
        <w:tc>
          <w:tcPr>
            <w:tcW w:type="dxa" w:w="3000"/>
            <w:shd w:fill="FFFFFF" w:val="clear"/>
            <w:tcMar>
              <w:top w:type="dxa" w:w="80"/>
              <w:left w:type="dxa" w:w="100"/>
              <w:bottom w:type="dxa" w:w="80"/>
              <w:right w:type="dxa" w:w="100"/>
            </w:tcMar>
          </w:tcPr>
          <w:p>
            <w:r>
              <w:rPr>
                <w:sz w:val="20"/>
                <w:szCs w:val="20"/>
              </w:rPr>
              <w:t xml:space="preserve">Daily connectivity typical; occasional gaps</w:t>
            </w:r>
          </w:p>
        </w:tc>
      </w:tr>
      <w:tr>
        <w:tc>
          <w:tcPr>
            <w:tcW w:type="dxa" w:w="2700"/>
            <w:shd w:fill="F2F2F2" w:val="clear"/>
            <w:tcMar>
              <w:top w:type="dxa" w:w="80"/>
              <w:left w:type="dxa" w:w="100"/>
              <w:bottom w:type="dxa" w:w="80"/>
              <w:right w:type="dxa" w:w="100"/>
            </w:tcMar>
          </w:tcPr>
          <w:p>
            <w:r>
              <w:rPr>
                <w:sz w:val="20"/>
                <w:szCs w:val="20"/>
              </w:rPr>
              <w:t xml:space="preserve">Village Health Post</w:t>
            </w:r>
          </w:p>
        </w:tc>
        <w:tc>
          <w:tcPr>
            <w:tcW w:type="dxa" w:w="3200"/>
            <w:shd w:fill="F2F2F2" w:val="clear"/>
            <w:tcMar>
              <w:top w:type="dxa" w:w="80"/>
              <w:left w:type="dxa" w:w="100"/>
              <w:bottom w:type="dxa" w:w="80"/>
              <w:right w:type="dxa" w:w="100"/>
            </w:tcMar>
          </w:tcPr>
          <w:p>
            <w:r>
              <w:rPr>
                <w:sz w:val="20"/>
                <w:szCs w:val="20"/>
              </w:rPr>
              <w:t xml:space="preserve">Low-cost Android tablet or CHW's smartphone</w:t>
            </w:r>
          </w:p>
        </w:tc>
        <w:tc>
          <w:tcPr>
            <w:tcW w:type="dxa" w:w="3000"/>
            <w:shd w:fill="F2F2F2" w:val="clear"/>
            <w:tcMar>
              <w:top w:type="dxa" w:w="80"/>
              <w:left w:type="dxa" w:w="100"/>
              <w:bottom w:type="dxa" w:w="80"/>
              <w:right w:type="dxa" w:w="100"/>
            </w:tcMar>
          </w:tcPr>
          <w:p>
            <w:r>
              <w:rPr>
                <w:sz w:val="20"/>
                <w:szCs w:val="20"/>
              </w:rPr>
              <w:t xml:space="preserve">Offline for days/weeks at a time; syncs opportunistically or on periodic district visits</w:t>
            </w:r>
          </w:p>
        </w:tc>
      </w:tr>
    </w:tbl>
    <w:p>
      <w:pPr>
        <w:pStyle w:val="Heading2"/>
        <w:spacing w:after="150" w:before="300"/>
      </w:pPr>
      <w:r>
        <w:t xml:space="preserve">7.4 Connectivity Fallback Options</w:t>
      </w:r>
    </w:p>
    <w:p>
      <w:pPr>
        <w:pStyle w:val="ListParagraph"/>
        <w:numPr>
          <w:ilvl w:val="0"/>
          <w:numId w:val="2"/>
        </w:numPr>
        <w:spacing w:after="80"/>
      </w:pPr>
      <w:r>
        <w:t xml:space="preserve">Primary: direct mobile data / Wi-Fi sync whenever available.</w:t>
      </w:r>
    </w:p>
    <w:p>
      <w:pPr>
        <w:pStyle w:val="ListParagraph"/>
        <w:numPr>
          <w:ilvl w:val="0"/>
          <w:numId w:val="2"/>
        </w:numPr>
        <w:spacing w:after="80"/>
      </w:pPr>
      <w:r>
        <w:t xml:space="preserve">Secondary: scheduled sync during a CHW's periodic visit to a district office or a fixed 'sync point' with connectivity (e.g. a market town clinic).</w:t>
      </w:r>
    </w:p>
    <w:p>
      <w:pPr>
        <w:pStyle w:val="ListParagraph"/>
        <w:numPr>
          <w:ilvl w:val="0"/>
          <w:numId w:val="2"/>
        </w:numPr>
        <w:spacing w:after="80"/>
      </w:pPr>
      <w:r>
        <w:t xml:space="preserve">Tertiary: USB/offline file transfer as a manual fallback for the most isolated posts, carried by a supervisor on a routine visit.</w:t>
      </w:r>
    </w:p>
    <w:p>
      <w:pPr>
        <w:pStyle w:val="ListParagraph"/>
        <w:numPr>
          <w:ilvl w:val="0"/>
          <w:numId w:val="2"/>
        </w:numPr>
        <w:spacing w:after="80"/>
      </w:pPr>
      <w:r>
        <w:t xml:space="preserve">Last resort: SMS-based confirmation of a minimal data subset (BRN + core fields) where even periodic physical sync is impractical, with the full record following once real connectivity is reached.</w:t>
      </w:r>
    </w:p>
    <w:p>
      <w:pPr>
        <w:pStyle w:val="Heading1"/>
        <w:spacing w:after="200" w:before="400"/>
      </w:pPr>
      <w:r>
        <w:t xml:space="preserve">8. Implementation Roadmap (Phased)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19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Phase</w:t>
            </w:r>
          </w:p>
        </w:tc>
        <w:tc>
          <w:tcPr>
            <w:tcW w:type="dxa" w:w="4700"/>
            <w:shd w:fill="1F3864" w:val="clear"/>
            <w:tcMar>
              <w:top w:type="dxa" w:w="80"/>
              <w:left w:type="dxa" w:w="100"/>
              <w:bottom w:type="dxa" w:w="80"/>
              <w:right w:type="dxa" w:w="100"/>
            </w:tcMar>
          </w:tcPr>
          <w:p>
            <w:r>
              <w:rPr>
                <w:b/>
                <w:bCs/>
                <w:color w:val="FFFFFF"/>
                <w:sz w:val="20"/>
                <w:szCs w:val="20"/>
              </w:rPr>
              <w:t xml:space="preserve">Focus</w:t>
            </w:r>
          </w:p>
        </w:tc>
        <w:tc>
          <w:tcPr>
            <w:tcW w:type="dxa" w:w="1900"/>
            <w:shd w:fill="1F3864" w:val="clear"/>
            <w:tcMar>
              <w:top w:type="dxa" w:w="80"/>
              <w:left w:type="dxa" w:w="100"/>
              <w:bottom w:type="dxa" w:w="80"/>
              <w:right w:type="dxa" w:w="100"/>
            </w:tcMar>
          </w:tcPr>
          <w:p>
            <w:r>
              <w:rPr>
                <w:b/>
                <w:bCs/>
                <w:color w:val="FFFFFF"/>
                <w:sz w:val="20"/>
                <w:szCs w:val="20"/>
              </w:rPr>
              <w:t xml:space="preserve">Indicative Duration</w:t>
            </w:r>
          </w:p>
        </w:tc>
      </w:tr>
      <w:tr>
        <w:tc>
          <w:tcPr>
            <w:tcW w:type="dxa" w:w="2800"/>
            <w:shd w:fill="F2F2F2" w:val="clear"/>
            <w:tcMar>
              <w:top w:type="dxa" w:w="80"/>
              <w:left w:type="dxa" w:w="100"/>
              <w:bottom w:type="dxa" w:w="80"/>
              <w:right w:type="dxa" w:w="100"/>
            </w:tcMar>
          </w:tcPr>
          <w:p>
            <w:r>
              <w:rPr>
                <w:sz w:val="20"/>
                <w:szCs w:val="20"/>
              </w:rPr>
              <w:t xml:space="preserve">Phase 0 — Foundation</w:t>
            </w:r>
          </w:p>
        </w:tc>
        <w:tc>
          <w:tcPr>
            <w:tcW w:type="dxa" w:w="4700"/>
            <w:shd w:fill="F2F2F2" w:val="clear"/>
            <w:tcMar>
              <w:top w:type="dxa" w:w="80"/>
              <w:left w:type="dxa" w:w="100"/>
              <w:bottom w:type="dxa" w:w="80"/>
              <w:right w:type="dxa" w:w="100"/>
            </w:tcMar>
          </w:tcPr>
          <w:p>
            <w:r>
              <w:rPr>
                <w:sz w:val="20"/>
                <w:szCs w:val="20"/>
              </w:rPr>
              <w:t xml:space="preserve">Legal framework amendment, governance committee formation, data-sharing agreements, data protection policy, procurement planning</w:t>
            </w:r>
          </w:p>
        </w:tc>
        <w:tc>
          <w:tcPr>
            <w:tcW w:type="dxa" w:w="1900"/>
            <w:shd w:fill="F2F2F2" w:val="clear"/>
            <w:tcMar>
              <w:top w:type="dxa" w:w="80"/>
              <w:left w:type="dxa" w:w="100"/>
              <w:bottom w:type="dxa" w:w="80"/>
              <w:right w:type="dxa" w:w="100"/>
            </w:tcMar>
          </w:tcPr>
          <w:p>
            <w:r>
              <w:rPr>
                <w:sz w:val="20"/>
                <w:szCs w:val="20"/>
              </w:rPr>
              <w:t xml:space="preserve">3–6 months</w:t>
            </w:r>
          </w:p>
        </w:tc>
      </w:tr>
      <w:tr>
        <w:tc>
          <w:tcPr>
            <w:tcW w:type="dxa" w:w="2800"/>
            <w:shd w:fill="FFFFFF" w:val="clear"/>
            <w:tcMar>
              <w:top w:type="dxa" w:w="80"/>
              <w:left w:type="dxa" w:w="100"/>
              <w:bottom w:type="dxa" w:w="80"/>
              <w:right w:type="dxa" w:w="100"/>
            </w:tcMar>
          </w:tcPr>
          <w:p>
            <w:r>
              <w:rPr>
                <w:sz w:val="20"/>
                <w:szCs w:val="20"/>
              </w:rPr>
              <w:t xml:space="preserve">Phase 1 — Pilot</w:t>
            </w:r>
          </w:p>
        </w:tc>
        <w:tc>
          <w:tcPr>
            <w:tcW w:type="dxa" w:w="4700"/>
            <w:shd w:fill="FFFFFF" w:val="clear"/>
            <w:tcMar>
              <w:top w:type="dxa" w:w="80"/>
              <w:left w:type="dxa" w:w="100"/>
              <w:bottom w:type="dxa" w:w="80"/>
              <w:right w:type="dxa" w:w="100"/>
            </w:tcMar>
          </w:tcPr>
          <w:p>
            <w:r>
              <w:rPr>
                <w:sz w:val="20"/>
                <w:szCs w:val="20"/>
              </w:rPr>
              <w:t xml:space="preserve">Deploy to a small number of hospitals + one district's clinics and village posts; validate offline sync, certificate issuance, and registrar workflows end-to-end</w:t>
            </w:r>
          </w:p>
        </w:tc>
        <w:tc>
          <w:tcPr>
            <w:tcW w:type="dxa" w:w="1900"/>
            <w:shd w:fill="FFFFFF" w:val="clear"/>
            <w:tcMar>
              <w:top w:type="dxa" w:w="80"/>
              <w:left w:type="dxa" w:w="100"/>
              <w:bottom w:type="dxa" w:w="80"/>
              <w:right w:type="dxa" w:w="100"/>
            </w:tcMar>
          </w:tcPr>
          <w:p>
            <w:r>
              <w:rPr>
                <w:sz w:val="20"/>
                <w:szCs w:val="20"/>
              </w:rPr>
              <w:t xml:space="preserve">4–6 months</w:t>
            </w:r>
          </w:p>
        </w:tc>
      </w:tr>
      <w:tr>
        <w:tc>
          <w:tcPr>
            <w:tcW w:type="dxa" w:w="2800"/>
            <w:shd w:fill="F2F2F2" w:val="clear"/>
            <w:tcMar>
              <w:top w:type="dxa" w:w="80"/>
              <w:left w:type="dxa" w:w="100"/>
              <w:bottom w:type="dxa" w:w="80"/>
              <w:right w:type="dxa" w:w="100"/>
            </w:tcMar>
          </w:tcPr>
          <w:p>
            <w:r>
              <w:rPr>
                <w:sz w:val="20"/>
                <w:szCs w:val="20"/>
              </w:rPr>
              <w:t xml:space="preserve">Phase 2 — Regional Rollout</w:t>
            </w:r>
          </w:p>
        </w:tc>
        <w:tc>
          <w:tcPr>
            <w:tcW w:type="dxa" w:w="4700"/>
            <w:shd w:fill="F2F2F2" w:val="clear"/>
            <w:tcMar>
              <w:top w:type="dxa" w:w="80"/>
              <w:left w:type="dxa" w:w="100"/>
              <w:bottom w:type="dxa" w:w="80"/>
              <w:right w:type="dxa" w:w="100"/>
            </w:tcMar>
          </w:tcPr>
          <w:p>
            <w:r>
              <w:rPr>
                <w:sz w:val="20"/>
                <w:szCs w:val="20"/>
              </w:rPr>
              <w:t xml:space="preserve">Expand to full regions, incorporating pilot feedback; formal registrar training program; begin district-tier deployment at scale</w:t>
            </w:r>
          </w:p>
        </w:tc>
        <w:tc>
          <w:tcPr>
            <w:tcW w:type="dxa" w:w="1900"/>
            <w:shd w:fill="F2F2F2" w:val="clear"/>
            <w:tcMar>
              <w:top w:type="dxa" w:w="80"/>
              <w:left w:type="dxa" w:w="100"/>
              <w:bottom w:type="dxa" w:w="80"/>
              <w:right w:type="dxa" w:w="100"/>
            </w:tcMar>
          </w:tcPr>
          <w:p>
            <w:r>
              <w:rPr>
                <w:sz w:val="20"/>
                <w:szCs w:val="20"/>
              </w:rPr>
              <w:t xml:space="preserve">9–12 months</w:t>
            </w:r>
          </w:p>
        </w:tc>
      </w:tr>
      <w:tr>
        <w:tc>
          <w:tcPr>
            <w:tcW w:type="dxa" w:w="2800"/>
            <w:shd w:fill="FFFFFF" w:val="clear"/>
            <w:tcMar>
              <w:top w:type="dxa" w:w="80"/>
              <w:left w:type="dxa" w:w="100"/>
              <w:bottom w:type="dxa" w:w="80"/>
              <w:right w:type="dxa" w:w="100"/>
            </w:tcMar>
          </w:tcPr>
          <w:p>
            <w:r>
              <w:rPr>
                <w:sz w:val="20"/>
                <w:szCs w:val="20"/>
              </w:rPr>
              <w:t xml:space="preserve">Phase 3 — National Rollout</w:t>
            </w:r>
          </w:p>
        </w:tc>
        <w:tc>
          <w:tcPr>
            <w:tcW w:type="dxa" w:w="4700"/>
            <w:shd w:fill="FFFFFF" w:val="clear"/>
            <w:tcMar>
              <w:top w:type="dxa" w:w="80"/>
              <w:left w:type="dxa" w:w="100"/>
              <w:bottom w:type="dxa" w:w="80"/>
              <w:right w:type="dxa" w:w="100"/>
            </w:tcMar>
          </w:tcPr>
          <w:p>
            <w:r>
              <w:rPr>
                <w:sz w:val="20"/>
                <w:szCs w:val="20"/>
              </w:rPr>
              <w:t xml:space="preserve">Extend to all remaining districts and village health posts nationally; full CHW device distribution and training</w:t>
            </w:r>
          </w:p>
        </w:tc>
        <w:tc>
          <w:tcPr>
            <w:tcW w:type="dxa" w:w="1900"/>
            <w:shd w:fill="FFFFFF" w:val="clear"/>
            <w:tcMar>
              <w:top w:type="dxa" w:w="80"/>
              <w:left w:type="dxa" w:w="100"/>
              <w:bottom w:type="dxa" w:w="80"/>
              <w:right w:type="dxa" w:w="100"/>
            </w:tcMar>
          </w:tcPr>
          <w:p>
            <w:r>
              <w:rPr>
                <w:sz w:val="20"/>
                <w:szCs w:val="20"/>
              </w:rPr>
              <w:t xml:space="preserve">12–18 months</w:t>
            </w:r>
          </w:p>
        </w:tc>
      </w:tr>
      <w:tr>
        <w:tc>
          <w:tcPr>
            <w:tcW w:type="dxa" w:w="2800"/>
            <w:shd w:fill="F2F2F2" w:val="clear"/>
            <w:tcMar>
              <w:top w:type="dxa" w:w="80"/>
              <w:left w:type="dxa" w:w="100"/>
              <w:bottom w:type="dxa" w:w="80"/>
              <w:right w:type="dxa" w:w="100"/>
            </w:tcMar>
          </w:tcPr>
          <w:p>
            <w:r>
              <w:rPr>
                <w:sz w:val="20"/>
                <w:szCs w:val="20"/>
              </w:rPr>
              <w:t xml:space="preserve">Phase 4 — Interoperability &amp; Optimization</w:t>
            </w:r>
          </w:p>
        </w:tc>
        <w:tc>
          <w:tcPr>
            <w:tcW w:type="dxa" w:w="4700"/>
            <w:shd w:fill="F2F2F2" w:val="clear"/>
            <w:tcMar>
              <w:top w:type="dxa" w:w="80"/>
              <w:left w:type="dxa" w:w="100"/>
              <w:bottom w:type="dxa" w:w="80"/>
              <w:right w:type="dxa" w:w="100"/>
            </w:tcMar>
          </w:tcPr>
          <w:p>
            <w:r>
              <w:rPr>
                <w:sz w:val="20"/>
                <w:szCs w:val="20"/>
              </w:rPr>
              <w:t xml:space="preserve">Live integration with National ID Authority and civil registry; dashboard maturity; performance tuning at national scale</w:t>
            </w:r>
          </w:p>
        </w:tc>
        <w:tc>
          <w:tcPr>
            <w:tcW w:type="dxa" w:w="1900"/>
            <w:shd w:fill="F2F2F2" w:val="clear"/>
            <w:tcMar>
              <w:top w:type="dxa" w:w="80"/>
              <w:left w:type="dxa" w:w="100"/>
              <w:bottom w:type="dxa" w:w="80"/>
              <w:right w:type="dxa" w:w="100"/>
            </w:tcMar>
          </w:tcPr>
          <w:p>
            <w:r>
              <w:rPr>
                <w:sz w:val="20"/>
                <w:szCs w:val="20"/>
              </w:rPr>
              <w:t xml:space="preserve">Ongoing</w:t>
            </w:r>
          </w:p>
        </w:tc>
      </w:tr>
    </w:tbl>
    <w:p>
      <w:pPr>
        <w:spacing w:after="160"/>
      </w:pPr>
      <w:r>
        <w:t xml:space="preserve">Each phase should close with a formal go/no-go review against the KPIs in Section 10 before expanding — particularly registration completeness and sync reliability from village-tier devices, which is the highest-risk component of the whole system.</w:t>
      </w:r>
    </w:p>
    <w:p>
      <w:pPr>
        <w:spacing w:after="120"/>
      </w:pPr>
      <w:r>
        <w:t xml:space="preserve">Phases 0 and 1 overlap deliberately. The legal workstream runs on legislative time and the facility/village client is the longest technical build, so client development should begin at programme start rather than on Phase 0 exit; only pilot go-live depends on the legal framework being in place. Sequencing them strictly end to end adds the duration of one to the other for no benefit.</w:t>
      </w:r>
    </w:p>
    <w:p>
      <w:pPr>
        <w:pStyle w:val="Heading1"/>
        <w:spacing w:after="200" w:before="400"/>
      </w:pPr>
      <w:r>
        <w:t xml:space="preserve">9. Risk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3700"/>
      </w:tblGrid>
      <w:tr>
        <w:trPr>
          <w:tblHeader/>
        </w:trPr>
        <w:tc>
          <w:tcPr>
            <w:tcW w:type="dxa" w:w="2900"/>
            <w:shd w:fill="1F3864" w:val="clear"/>
            <w:tcMar>
              <w:top w:type="dxa" w:w="80"/>
              <w:left w:type="dxa" w:w="100"/>
              <w:bottom w:type="dxa" w:w="80"/>
              <w:right w:type="dxa" w:w="100"/>
            </w:tcMar>
          </w:tcPr>
          <w:p>
            <w:r>
              <w:rPr>
                <w:b/>
                <w:bCs/>
                <w:color w:val="FFFFFF"/>
                <w:sz w:val="20"/>
                <w:szCs w:val="20"/>
              </w:rPr>
              <w:t xml:space="preserve">Risk</w:t>
            </w:r>
          </w:p>
        </w:tc>
        <w:tc>
          <w:tcPr>
            <w:tcW w:type="dxa" w:w="1400"/>
            <w:shd w:fill="1F3864" w:val="clear"/>
            <w:tcMar>
              <w:top w:type="dxa" w:w="80"/>
              <w:left w:type="dxa" w:w="100"/>
              <w:bottom w:type="dxa" w:w="80"/>
              <w:right w:type="dxa" w:w="100"/>
            </w:tcMar>
          </w:tcPr>
          <w:p>
            <w:r>
              <w:rPr>
                <w:b/>
                <w:bCs/>
                <w:color w:val="FFFFFF"/>
                <w:sz w:val="20"/>
                <w:szCs w:val="20"/>
              </w:rPr>
              <w:t xml:space="preserve">Likelihood</w:t>
            </w:r>
          </w:p>
        </w:tc>
        <w:tc>
          <w:tcPr>
            <w:tcW w:type="dxa" w:w="1400"/>
            <w:shd w:fill="1F3864" w:val="clear"/>
            <w:tcMar>
              <w:top w:type="dxa" w:w="80"/>
              <w:left w:type="dxa" w:w="100"/>
              <w:bottom w:type="dxa" w:w="80"/>
              <w:right w:type="dxa" w:w="100"/>
            </w:tcMar>
          </w:tcPr>
          <w:p>
            <w:r>
              <w:rPr>
                <w:b/>
                <w:bCs/>
                <w:color w:val="FFFFFF"/>
                <w:sz w:val="20"/>
                <w:szCs w:val="20"/>
              </w:rPr>
              <w:t xml:space="preserve">Impact</w:t>
            </w:r>
          </w:p>
        </w:tc>
        <w:tc>
          <w:tcPr>
            <w:tcW w:type="dxa" w:w="3700"/>
            <w:shd w:fill="1F3864" w:val="clear"/>
            <w:tcMar>
              <w:top w:type="dxa" w:w="80"/>
              <w:left w:type="dxa" w:w="100"/>
              <w:bottom w:type="dxa" w:w="80"/>
              <w:right w:type="dxa" w:w="100"/>
            </w:tcMar>
          </w:tcPr>
          <w:p>
            <w:r>
              <w:rPr>
                <w:b/>
                <w:bCs/>
                <w:color w:val="FFFFFF"/>
                <w:sz w:val="20"/>
                <w:szCs w:val="20"/>
              </w:rPr>
              <w:t xml:space="preserve">Mitigation</w:t>
            </w:r>
          </w:p>
        </w:tc>
      </w:tr>
      <w:tr>
        <w:tc>
          <w:tcPr>
            <w:tcW w:type="dxa" w:w="2900"/>
            <w:shd w:fill="F2F2F2" w:val="clear"/>
            <w:tcMar>
              <w:top w:type="dxa" w:w="80"/>
              <w:left w:type="dxa" w:w="100"/>
              <w:bottom w:type="dxa" w:w="80"/>
              <w:right w:type="dxa" w:w="100"/>
            </w:tcMar>
          </w:tcPr>
          <w:p>
            <w:r>
              <w:rPr>
                <w:sz w:val="20"/>
                <w:szCs w:val="20"/>
              </w:rPr>
              <w:t xml:space="preserve">Duplicate BRNs from prolonged offline use</w:t>
            </w:r>
          </w:p>
        </w:tc>
        <w:tc>
          <w:tcPr>
            <w:tcW w:type="dxa" w:w="1400"/>
            <w:shd w:fill="F2F2F2" w:val="clear"/>
            <w:tcMar>
              <w:top w:type="dxa" w:w="80"/>
              <w:left w:type="dxa" w:w="100"/>
              <w:bottom w:type="dxa" w:w="80"/>
              <w:right w:type="dxa" w:w="100"/>
            </w:tcMar>
          </w:tcPr>
          <w:p>
            <w:r>
              <w:rPr>
                <w:sz w:val="20"/>
                <w:szCs w:val="20"/>
              </w:rPr>
              <w:t xml:space="preserve">Medium</w:t>
            </w:r>
          </w:p>
        </w:tc>
        <w:tc>
          <w:tcPr>
            <w:tcW w:type="dxa" w:w="1400"/>
            <w:shd w:fill="F2F2F2" w:val="clear"/>
            <w:tcMar>
              <w:top w:type="dxa" w:w="80"/>
              <w:left w:type="dxa" w:w="100"/>
              <w:bottom w:type="dxa" w:w="80"/>
              <w:right w:type="dxa" w:w="100"/>
            </w:tcMar>
          </w:tcPr>
          <w:p>
            <w:r>
              <w:rPr>
                <w:sz w:val="20"/>
                <w:szCs w:val="20"/>
              </w:rPr>
              <w:t xml:space="preserve">High</w:t>
            </w:r>
          </w:p>
        </w:tc>
        <w:tc>
          <w:tcPr>
            <w:tcW w:type="dxa" w:w="3700"/>
            <w:shd w:fill="F2F2F2" w:val="clear"/>
            <w:tcMar>
              <w:top w:type="dxa" w:w="80"/>
              <w:left w:type="dxa" w:w="100"/>
              <w:bottom w:type="dxa" w:w="80"/>
              <w:right w:type="dxa" w:w="100"/>
            </w:tcMar>
          </w:tcPr>
          <w:p>
            <w:r>
              <w:rPr>
                <w:sz w:val="20"/>
                <w:szCs w:val="20"/>
              </w:rPr>
              <w:t xml:space="preserve">Pre-allocated ID blocks (6.3/6.6) plus periodic central deduplication checks</w:t>
            </w:r>
          </w:p>
        </w:tc>
      </w:tr>
      <w:tr>
        <w:tc>
          <w:tcPr>
            <w:tcW w:type="dxa" w:w="2900"/>
            <w:shd w:fill="FFFFFF" w:val="clear"/>
            <w:tcMar>
              <w:top w:type="dxa" w:w="80"/>
              <w:left w:type="dxa" w:w="100"/>
              <w:bottom w:type="dxa" w:w="80"/>
              <w:right w:type="dxa" w:w="100"/>
            </w:tcMar>
          </w:tcPr>
          <w:p>
            <w:r>
              <w:rPr>
                <w:sz w:val="20"/>
                <w:szCs w:val="20"/>
              </w:rPr>
              <w:t xml:space="preserve">Legal ambiguity delays certificate validity</w:t>
            </w:r>
          </w:p>
        </w:tc>
        <w:tc>
          <w:tcPr>
            <w:tcW w:type="dxa" w:w="1400"/>
            <w:shd w:fill="FFFFFF" w:val="clear"/>
            <w:tcMar>
              <w:top w:type="dxa" w:w="80"/>
              <w:left w:type="dxa" w:w="100"/>
              <w:bottom w:type="dxa" w:w="80"/>
              <w:right w:type="dxa" w:w="100"/>
            </w:tcMar>
          </w:tcPr>
          <w:p>
            <w:r>
              <w:rPr>
                <w:sz w:val="20"/>
                <w:szCs w:val="20"/>
              </w:rPr>
              <w:t xml:space="preserve">Medium</w:t>
            </w:r>
          </w:p>
        </w:tc>
        <w:tc>
          <w:tcPr>
            <w:tcW w:type="dxa" w:w="1400"/>
            <w:shd w:fill="FFFFFF" w:val="clear"/>
            <w:tcMar>
              <w:top w:type="dxa" w:w="80"/>
              <w:left w:type="dxa" w:w="100"/>
              <w:bottom w:type="dxa" w:w="80"/>
              <w:right w:type="dxa" w:w="100"/>
            </w:tcMar>
          </w:tcPr>
          <w:p>
            <w:r>
              <w:rPr>
                <w:sz w:val="20"/>
                <w:szCs w:val="20"/>
              </w:rPr>
              <w:t xml:space="preserve">High</w:t>
            </w:r>
          </w:p>
        </w:tc>
        <w:tc>
          <w:tcPr>
            <w:tcW w:type="dxa" w:w="3700"/>
            <w:shd w:fill="FFFFFF" w:val="clear"/>
            <w:tcMar>
              <w:top w:type="dxa" w:w="80"/>
              <w:left w:type="dxa" w:w="100"/>
              <w:bottom w:type="dxa" w:w="80"/>
              <w:right w:type="dxa" w:w="100"/>
            </w:tcMar>
          </w:tcPr>
          <w:p>
            <w:r>
              <w:rPr>
                <w:sz w:val="20"/>
                <w:szCs w:val="20"/>
              </w:rPr>
              <w:t xml:space="preserve">Legal framework work (Phase 0) precedes any technical rollout</w:t>
            </w:r>
          </w:p>
        </w:tc>
      </w:tr>
      <w:tr>
        <w:tc>
          <w:tcPr>
            <w:tcW w:type="dxa" w:w="2900"/>
            <w:shd w:fill="F2F2F2" w:val="clear"/>
            <w:tcMar>
              <w:top w:type="dxa" w:w="80"/>
              <w:left w:type="dxa" w:w="100"/>
              <w:bottom w:type="dxa" w:w="80"/>
              <w:right w:type="dxa" w:w="100"/>
            </w:tcMar>
          </w:tcPr>
          <w:p>
            <w:r>
              <w:rPr>
                <w:sz w:val="20"/>
                <w:szCs w:val="20"/>
              </w:rPr>
              <w:t xml:space="preserve">Low digital literacy among village CHWs slows adoption</w:t>
            </w:r>
          </w:p>
        </w:tc>
        <w:tc>
          <w:tcPr>
            <w:tcW w:type="dxa" w:w="1400"/>
            <w:shd w:fill="F2F2F2" w:val="clear"/>
            <w:tcMar>
              <w:top w:type="dxa" w:w="80"/>
              <w:left w:type="dxa" w:w="100"/>
              <w:bottom w:type="dxa" w:w="80"/>
              <w:right w:type="dxa" w:w="100"/>
            </w:tcMar>
          </w:tcPr>
          <w:p>
            <w:r>
              <w:rPr>
                <w:sz w:val="20"/>
                <w:szCs w:val="20"/>
              </w:rPr>
              <w:t xml:space="preserve">High</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Minimal, guided-form UI; in-person training; peer support network per district</w:t>
            </w:r>
          </w:p>
        </w:tc>
      </w:tr>
      <w:tr>
        <w:tc>
          <w:tcPr>
            <w:tcW w:type="dxa" w:w="2900"/>
            <w:shd w:fill="FFFFFF" w:val="clear"/>
            <w:tcMar>
              <w:top w:type="dxa" w:w="80"/>
              <w:left w:type="dxa" w:w="100"/>
              <w:bottom w:type="dxa" w:w="80"/>
              <w:right w:type="dxa" w:w="100"/>
            </w:tcMar>
          </w:tcPr>
          <w:p>
            <w:r>
              <w:rPr>
                <w:sz w:val="20"/>
                <w:szCs w:val="20"/>
              </w:rPr>
              <w:t xml:space="preserve">Device loss/theft exposes personal data</w:t>
            </w:r>
          </w:p>
        </w:tc>
        <w:tc>
          <w:tcPr>
            <w:tcW w:type="dxa" w:w="1400"/>
            <w:shd w:fill="FFFFFF" w:val="clear"/>
            <w:tcMar>
              <w:top w:type="dxa" w:w="80"/>
              <w:left w:type="dxa" w:w="100"/>
              <w:bottom w:type="dxa" w:w="80"/>
              <w:right w:type="dxa" w:w="100"/>
            </w:tcMar>
          </w:tcPr>
          <w:p>
            <w:r>
              <w:rPr>
                <w:sz w:val="20"/>
                <w:szCs w:val="20"/>
              </w:rPr>
              <w:t xml:space="preserve">Medium</w:t>
            </w:r>
          </w:p>
        </w:tc>
        <w:tc>
          <w:tcPr>
            <w:tcW w:type="dxa" w:w="1400"/>
            <w:shd w:fill="FFFFFF" w:val="clear"/>
            <w:tcMar>
              <w:top w:type="dxa" w:w="80"/>
              <w:left w:type="dxa" w:w="100"/>
              <w:bottom w:type="dxa" w:w="80"/>
              <w:right w:type="dxa" w:w="100"/>
            </w:tcMar>
          </w:tcPr>
          <w:p>
            <w:r>
              <w:rPr>
                <w:sz w:val="20"/>
                <w:szCs w:val="20"/>
              </w:rPr>
              <w:t xml:space="preserve">Medium</w:t>
            </w:r>
          </w:p>
        </w:tc>
        <w:tc>
          <w:tcPr>
            <w:tcW w:type="dxa" w:w="3700"/>
            <w:shd w:fill="FFFFFF" w:val="clear"/>
            <w:tcMar>
              <w:top w:type="dxa" w:w="80"/>
              <w:left w:type="dxa" w:w="100"/>
              <w:bottom w:type="dxa" w:w="80"/>
              <w:right w:type="dxa" w:w="100"/>
            </w:tcMar>
          </w:tcPr>
          <w:p>
            <w:r>
              <w:rPr>
                <w:sz w:val="20"/>
                <w:szCs w:val="20"/>
              </w:rPr>
              <w:t xml:space="preserve">Encrypted local storage, remote device de-registration, minimal data cached locally</w:t>
            </w:r>
          </w:p>
        </w:tc>
      </w:tr>
      <w:tr>
        <w:tc>
          <w:tcPr>
            <w:tcW w:type="dxa" w:w="2900"/>
            <w:shd w:fill="FFFFFF" w:val="clear"/>
            <w:tcMar>
              <w:top w:type="dxa" w:w="80"/>
              <w:left w:type="dxa" w:w="100"/>
              <w:bottom w:type="dxa" w:w="80"/>
              <w:right w:type="dxa" w:w="100"/>
            </w:tcMar>
          </w:tcPr>
          <w:p>
            <w:r>
              <w:rPr>
                <w:sz w:val="20"/>
                <w:szCs w:val="20"/>
              </w:rPr>
              <w:t xml:space="preserve">Unenrolled device submits fraudulent records</w:t>
            </w:r>
          </w:p>
        </w:tc>
        <w:tc>
          <w:tcPr>
            <w:tcW w:type="dxa" w:w="1400"/>
            <w:shd w:fill="FFFFFF" w:val="clear"/>
            <w:tcMar>
              <w:top w:type="dxa" w:w="80"/>
              <w:left w:type="dxa" w:w="100"/>
              <w:bottom w:type="dxa" w:w="80"/>
              <w:right w:type="dxa" w:w="100"/>
            </w:tcMar>
          </w:tcPr>
          <w:p>
            <w:r>
              <w:rPr>
                <w:sz w:val="20"/>
                <w:szCs w:val="20"/>
              </w:rPr>
              <w:t xml:space="preserve">Medium</w:t>
            </w:r>
          </w:p>
        </w:tc>
        <w:tc>
          <w:tcPr>
            <w:tcW w:type="dxa" w:w="1400"/>
            <w:shd w:fill="FFFFFF" w:val="clear"/>
            <w:tcMar>
              <w:top w:type="dxa" w:w="80"/>
              <w:left w:type="dxa" w:w="100"/>
              <w:bottom w:type="dxa" w:w="80"/>
              <w:right w:type="dxa" w:w="100"/>
            </w:tcMar>
          </w:tcPr>
          <w:p>
            <w:r>
              <w:rPr>
                <w:sz w:val="20"/>
                <w:szCs w:val="20"/>
              </w:rPr>
              <w:t xml:space="preserve">High</w:t>
            </w:r>
          </w:p>
        </w:tc>
        <w:tc>
          <w:tcPr>
            <w:tcW w:type="dxa" w:w="3700"/>
            <w:shd w:fill="FFFFFF" w:val="clear"/>
            <w:tcMar>
              <w:top w:type="dxa" w:w="80"/>
              <w:left w:type="dxa" w:w="100"/>
              <w:bottom w:type="dxa" w:w="80"/>
              <w:right w:type="dxa" w:w="100"/>
            </w:tcMar>
          </w:tcPr>
          <w:p>
            <w:r>
              <w:rPr>
                <w:sz w:val="20"/>
                <w:szCs w:val="20"/>
              </w:rPr>
              <w:t xml:space="preserve">Device enrolment is mandatory before sync (6.7): each device is issued a device certificate and the central API rejects submissions from any device without one. A device identifier asserted by the client is not sufficient evidence of origin.</w:t>
            </w:r>
          </w:p>
        </w:tc>
      </w:tr>
      <w:tr>
        <w:tc>
          <w:tcPr>
            <w:tcW w:type="dxa" w:w="2900"/>
            <w:shd w:fill="FFFFFF" w:val="clear"/>
            <w:tcMar>
              <w:top w:type="dxa" w:w="80"/>
              <w:left w:type="dxa" w:w="100"/>
              <w:bottom w:type="dxa" w:w="80"/>
              <w:right w:type="dxa" w:w="100"/>
            </w:tcMar>
          </w:tcPr>
          <w:p>
            <w:r>
              <w:rPr>
                <w:sz w:val="20"/>
                <w:szCs w:val="20"/>
              </w:rPr>
              <w:t xml:space="preserve">Signing key compromise, expiry, or rotation</w:t>
            </w:r>
          </w:p>
        </w:tc>
        <w:tc>
          <w:tcPr>
            <w:tcW w:type="dxa" w:w="1400"/>
            <w:shd w:fill="FFFFFF" w:val="clear"/>
            <w:tcMar>
              <w:top w:type="dxa" w:w="80"/>
              <w:left w:type="dxa" w:w="100"/>
              <w:bottom w:type="dxa" w:w="80"/>
              <w:right w:type="dxa" w:w="100"/>
            </w:tcMar>
          </w:tcPr>
          <w:p>
            <w:r>
              <w:rPr>
                <w:sz w:val="20"/>
                <w:szCs w:val="20"/>
              </w:rPr>
              <w:t xml:space="preserve">Low</w:t>
            </w:r>
          </w:p>
        </w:tc>
        <w:tc>
          <w:tcPr>
            <w:tcW w:type="dxa" w:w="1400"/>
            <w:shd w:fill="FFFFFF" w:val="clear"/>
            <w:tcMar>
              <w:top w:type="dxa" w:w="80"/>
              <w:left w:type="dxa" w:w="100"/>
              <w:bottom w:type="dxa" w:w="80"/>
              <w:right w:type="dxa" w:w="100"/>
            </w:tcMar>
          </w:tcPr>
          <w:p>
            <w:r>
              <w:rPr>
                <w:sz w:val="20"/>
                <w:szCs w:val="20"/>
              </w:rPr>
              <w:t xml:space="preserve">Very High</w:t>
            </w:r>
          </w:p>
        </w:tc>
        <w:tc>
          <w:tcPr>
            <w:tcW w:type="dxa" w:w="3700"/>
            <w:shd w:fill="FFFFFF" w:val="clear"/>
            <w:tcMar>
              <w:top w:type="dxa" w:w="80"/>
              <w:left w:type="dxa" w:w="100"/>
              <w:bottom w:type="dxa" w:w="80"/>
              <w:right w:type="dxa" w:w="100"/>
            </w:tcMar>
          </w:tcPr>
          <w:p>
            <w:r>
              <w:rPr>
                <w:sz w:val="20"/>
                <w:szCs w:val="20"/>
              </w:rPr>
              <w:t xml:space="preserve">HSM or secret-store custody, no key material in source control, and multi-key verification clients so rotation does not invalidate certificates already in circulation (6.7).</w:t>
            </w:r>
          </w:p>
        </w:tc>
      </w:tr>
      <w:tr>
        <w:tc>
          <w:tcPr>
            <w:tcW w:type="dxa" w:w="2900"/>
            <w:shd w:fill="F2F2F2" w:val="clear"/>
            <w:tcMar>
              <w:top w:type="dxa" w:w="80"/>
              <w:left w:type="dxa" w:w="100"/>
              <w:bottom w:type="dxa" w:w="80"/>
              <w:right w:type="dxa" w:w="100"/>
            </w:tcMar>
          </w:tcPr>
          <w:p>
            <w:r>
              <w:rPr>
                <w:sz w:val="20"/>
                <w:szCs w:val="20"/>
              </w:rPr>
              <w:t xml:space="preserve">Central platform outage blocks district sync</w:t>
            </w:r>
          </w:p>
        </w:tc>
        <w:tc>
          <w:tcPr>
            <w:tcW w:type="dxa" w:w="1400"/>
            <w:shd w:fill="F2F2F2" w:val="clear"/>
            <w:tcMar>
              <w:top w:type="dxa" w:w="80"/>
              <w:left w:type="dxa" w:w="100"/>
              <w:bottom w:type="dxa" w:w="80"/>
              <w:right w:type="dxa" w:w="100"/>
            </w:tcMar>
          </w:tcPr>
          <w:p>
            <w:r>
              <w:rPr>
                <w:sz w:val="20"/>
                <w:szCs w:val="20"/>
              </w:rPr>
              <w:t xml:space="preserve">Low</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District tier can operate semi-autonomously and queue sync until central service recovers</w:t>
            </w:r>
          </w:p>
        </w:tc>
      </w:tr>
      <w:tr>
        <w:tc>
          <w:tcPr>
            <w:tcW w:type="dxa" w:w="2900"/>
            <w:shd w:fill="FFFFFF" w:val="clear"/>
            <w:tcMar>
              <w:top w:type="dxa" w:w="80"/>
              <w:left w:type="dxa" w:w="100"/>
              <w:bottom w:type="dxa" w:w="80"/>
              <w:right w:type="dxa" w:w="100"/>
            </w:tcMar>
          </w:tcPr>
          <w:p>
            <w:r>
              <w:rPr>
                <w:sz w:val="20"/>
                <w:szCs w:val="20"/>
              </w:rPr>
              <w:t xml:space="preserve">Data breach of national birth registry</w:t>
            </w:r>
          </w:p>
        </w:tc>
        <w:tc>
          <w:tcPr>
            <w:tcW w:type="dxa" w:w="1400"/>
            <w:shd w:fill="FFFFFF" w:val="clear"/>
            <w:tcMar>
              <w:top w:type="dxa" w:w="80"/>
              <w:left w:type="dxa" w:w="100"/>
              <w:bottom w:type="dxa" w:w="80"/>
              <w:right w:type="dxa" w:w="100"/>
            </w:tcMar>
          </w:tcPr>
          <w:p>
            <w:r>
              <w:rPr>
                <w:sz w:val="20"/>
                <w:szCs w:val="20"/>
              </w:rPr>
              <w:t xml:space="preserve">Low</w:t>
            </w:r>
          </w:p>
        </w:tc>
        <w:tc>
          <w:tcPr>
            <w:tcW w:type="dxa" w:w="1400"/>
            <w:shd w:fill="FFFFFF" w:val="clear"/>
            <w:tcMar>
              <w:top w:type="dxa" w:w="80"/>
              <w:left w:type="dxa" w:w="100"/>
              <w:bottom w:type="dxa" w:w="80"/>
              <w:right w:type="dxa" w:w="100"/>
            </w:tcMar>
          </w:tcPr>
          <w:p>
            <w:r>
              <w:rPr>
                <w:sz w:val="20"/>
                <w:szCs w:val="20"/>
              </w:rPr>
              <w:t xml:space="preserve">Very High</w:t>
            </w:r>
          </w:p>
        </w:tc>
        <w:tc>
          <w:tcPr>
            <w:tcW w:type="dxa" w:w="3700"/>
            <w:shd w:fill="FFFFFF" w:val="clear"/>
            <w:tcMar>
              <w:top w:type="dxa" w:w="80"/>
              <w:left w:type="dxa" w:w="100"/>
              <w:bottom w:type="dxa" w:w="80"/>
              <w:right w:type="dxa" w:w="100"/>
            </w:tcMar>
          </w:tcPr>
          <w:p>
            <w:r>
              <w:rPr>
                <w:sz w:val="20"/>
                <w:szCs w:val="20"/>
              </w:rPr>
              <w:t xml:space="preserve">RBAC, encryption at rest/in transit, audit logging, regular security audits/pen testing</w:t>
            </w:r>
          </w:p>
        </w:tc>
      </w:tr>
      <w:tr>
        <w:tc>
          <w:tcPr>
            <w:tcW w:type="dxa" w:w="2900"/>
            <w:shd w:fill="F2F2F2" w:val="clear"/>
            <w:tcMar>
              <w:top w:type="dxa" w:w="80"/>
              <w:left w:type="dxa" w:w="100"/>
              <w:bottom w:type="dxa" w:w="80"/>
              <w:right w:type="dxa" w:w="100"/>
            </w:tcMar>
          </w:tcPr>
          <w:p>
            <w:r>
              <w:rPr>
                <w:sz w:val="20"/>
                <w:szCs w:val="20"/>
              </w:rPr>
              <w:t xml:space="preserve">Budget/procurement delays for rural hardware</w:t>
            </w:r>
          </w:p>
        </w:tc>
        <w:tc>
          <w:tcPr>
            <w:tcW w:type="dxa" w:w="1400"/>
            <w:shd w:fill="F2F2F2" w:val="clear"/>
            <w:tcMar>
              <w:top w:type="dxa" w:w="80"/>
              <w:left w:type="dxa" w:w="100"/>
              <w:bottom w:type="dxa" w:w="80"/>
              <w:right w:type="dxa" w:w="100"/>
            </w:tcMar>
          </w:tcPr>
          <w:p>
            <w:r>
              <w:rPr>
                <w:sz w:val="20"/>
                <w:szCs w:val="20"/>
              </w:rPr>
              <w:t xml:space="preserve">Medium</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700"/>
            <w:shd w:fill="F2F2F2" w:val="clear"/>
            <w:tcMar>
              <w:top w:type="dxa" w:w="80"/>
              <w:left w:type="dxa" w:w="100"/>
              <w:bottom w:type="dxa" w:w="80"/>
              <w:right w:type="dxa" w:w="100"/>
            </w:tcMar>
          </w:tcPr>
          <w:p>
            <w:r>
              <w:rPr>
                <w:sz w:val="20"/>
                <w:szCs w:val="20"/>
              </w:rPr>
              <w:t xml:space="preserve">Phase rollout by region so hardware spend is incremental, not a single large upfront cost</w:t>
            </w:r>
          </w:p>
        </w:tc>
      </w:tr>
    </w:tbl>
    <w:p>
      <w:pPr>
        <w:pStyle w:val="Heading1"/>
        <w:spacing w:after="200" w:before="400"/>
      </w:pPr>
      <w:r>
        <w:t xml:space="preserve">10. Monitoring &amp; Evaluation — Key Performance Indicators</w:t>
      </w:r>
    </w:p>
    <w:p>
      <w:pPr>
        <w:pStyle w:val="ListParagraph"/>
        <w:numPr>
          <w:ilvl w:val="0"/>
          <w:numId w:val="2"/>
        </w:numPr>
        <w:spacing w:after="80"/>
      </w:pPr>
      <w:r>
        <w:t xml:space="preserve">Registration completeness: % of births registered within the statutory window, nationally and by region.</w:t>
      </w:r>
    </w:p>
    <w:p>
      <w:pPr>
        <w:pStyle w:val="ListParagraph"/>
        <w:numPr>
          <w:ilvl w:val="0"/>
          <w:numId w:val="2"/>
        </w:numPr>
        <w:spacing w:after="80"/>
      </w:pPr>
      <w:r>
        <w:t xml:space="preserve">Time-to-registration: median days from birth to confirmed BRN, broken out by facility tier.</w:t>
      </w:r>
    </w:p>
    <w:p>
      <w:pPr>
        <w:pStyle w:val="ListParagraph"/>
        <w:numPr>
          <w:ilvl w:val="0"/>
          <w:numId w:val="2"/>
        </w:numPr>
        <w:spacing w:after="80"/>
      </w:pPr>
      <w:r>
        <w:t xml:space="preserve">Sync reliability: % of village-tier devices successfully syncing within X days of a registration.</w:t>
      </w:r>
    </w:p>
    <w:p>
      <w:pPr>
        <w:pStyle w:val="ListParagraph"/>
        <w:numPr>
          <w:ilvl w:val="0"/>
          <w:numId w:val="2"/>
        </w:numPr>
        <w:spacing w:after="80"/>
      </w:pPr>
      <w:r>
        <w:t xml:space="preserve">Duplicate rate: number of flagged/confirmed duplicate registrations per 10,000 births.</w:t>
      </w:r>
    </w:p>
    <w:p>
      <w:pPr>
        <w:pStyle w:val="ListParagraph"/>
        <w:numPr>
          <w:ilvl w:val="0"/>
          <w:numId w:val="2"/>
        </w:numPr>
        <w:spacing w:after="80"/>
      </w:pPr>
      <w:r>
        <w:t xml:space="preserve">Certificate turnaround: median time from registration to certificate in the family's hands.</w:t>
      </w:r>
    </w:p>
    <w:p>
      <w:pPr>
        <w:pStyle w:val="ListParagraph"/>
        <w:numPr>
          <w:ilvl w:val="0"/>
          <w:numId w:val="2"/>
        </w:numPr>
        <w:spacing w:after="80"/>
      </w:pPr>
      <w:r>
        <w:t xml:space="preserve">System uptime at the central tier, and district-tier autonomous-operation success rate during outages.</w:t>
      </w:r>
    </w:p>
    <w:p>
      <w:pPr>
        <w:pStyle w:val="Heading1"/>
        <w:spacing w:after="200" w:before="400"/>
      </w:pPr>
      <w:r>
        <w:t xml:space="preserve">11. Roles &amp; Capacity Building</w:t>
      </w:r>
    </w:p>
    <w:p>
      <w:pPr>
        <w:spacing w:after="160"/>
      </w:pPr>
      <w:r>
        <w:t xml:space="preserve">A phased training program should run alongside rollout: facility registrars and CHWs receive hands-on training on the device workflow (not the underlying system), district officers are trained on registrar oversight and correction approvals, and a small central technical team is trained/hired to operate and maintain the national platform. A tiered support model — peer CHW support first, district IT officer second, central helpdesk last — keeps most issues resolved locally without overloading a small central team.</w:t>
      </w:r>
    </w:p>
    <w:p>
      <w:pPr>
        <w:pStyle w:val="Heading1"/>
        <w:spacing w:after="200" w:before="400"/>
      </w:pPr>
      <w:r>
        <w:t xml:space="preserve">12. Budget Considerations (High-Level Categories)</w:t>
      </w:r>
    </w:p>
    <w:p>
      <w:pPr>
        <w:spacing w:after="160"/>
      </w:pPr>
      <w:r>
        <w:t xml:space="preserve">Actual costing requires a procurement exercise and is deliberately not estimated here, but the major categories a budget will need to cover are:</w:t>
      </w:r>
    </w:p>
    <w:p>
      <w:pPr>
        <w:pStyle w:val="ListParagraph"/>
        <w:numPr>
          <w:ilvl w:val="0"/>
          <w:numId w:val="2"/>
        </w:numPr>
        <w:spacing w:after="80"/>
      </w:pPr>
      <w:r>
        <w:t xml:space="preserve">Central platform: hosting/data center, software licensing (if any), development and integration work.</w:t>
      </w:r>
    </w:p>
    <w:p>
      <w:pPr>
        <w:pStyle w:val="ListParagraph"/>
        <w:numPr>
          <w:ilvl w:val="0"/>
          <w:numId w:val="2"/>
        </w:numPr>
        <w:spacing w:after="80"/>
      </w:pPr>
      <w:r>
        <w:t xml:space="preserve">District-tier hardware and connectivity.</w:t>
      </w:r>
    </w:p>
    <w:p>
      <w:pPr>
        <w:pStyle w:val="ListParagraph"/>
        <w:numPr>
          <w:ilvl w:val="0"/>
          <w:numId w:val="2"/>
        </w:numPr>
        <w:spacing w:after="80"/>
      </w:pPr>
      <w:r>
        <w:t xml:space="preserve">Facility and village-tier devices (tablets/phones), at the largest line-item scale given the number of village health posts nationally.</w:t>
      </w:r>
    </w:p>
    <w:p>
      <w:pPr>
        <w:pStyle w:val="ListParagraph"/>
        <w:numPr>
          <w:ilvl w:val="0"/>
          <w:numId w:val="2"/>
        </w:numPr>
        <w:spacing w:after="80"/>
      </w:pPr>
      <w:r>
        <w:t xml:space="preserve">Training and change management, including CHW per-diems for training sessions.</w:t>
      </w:r>
    </w:p>
    <w:p>
      <w:pPr>
        <w:pStyle w:val="ListParagraph"/>
        <w:numPr>
          <w:ilvl w:val="0"/>
          <w:numId w:val="2"/>
        </w:numPr>
        <w:spacing w:after="80"/>
      </w:pPr>
      <w:r>
        <w:t xml:space="preserve">Ongoing operations: central technical team, device maintenance/replacement, connectivity costs (mobile data plans for CHWs).</w:t>
      </w:r>
    </w:p>
    <w:p>
      <w:pPr>
        <w:pStyle w:val="ListParagraph"/>
        <w:numPr>
          <w:ilvl w:val="0"/>
          <w:numId w:val="2"/>
        </w:numPr>
        <w:spacing w:after="80"/>
      </w:pPr>
      <w:r>
        <w:t xml:space="preserve">Legal/regulatory work in Phase 0, including any legislative amendment process.</w:t>
      </w:r>
    </w:p>
    <w:p>
      <w:pPr>
        <w:pStyle w:val="Heading1"/>
        <w:spacing w:after="200" w:before="400"/>
      </w:pPr>
      <w:r>
        <w:t xml:space="preserve">13. Recommendations &amp; Next Steps</w:t>
      </w:r>
    </w:p>
    <w:p>
      <w:pPr>
        <w:pStyle w:val="ListParagraph"/>
        <w:numPr>
          <w:ilvl w:val="0"/>
          <w:numId w:val="3"/>
        </w:numPr>
        <w:spacing w:after="80"/>
      </w:pPr>
      <w:r>
        <w:t xml:space="preserve">Convene the cross-ministerial Steering Committee (Section 3.2) to begin Phase 0 legal and governance work — this is the long pole and should start immediately, in parallel with technical planning.</w:t>
      </w:r>
    </w:p>
    <w:p>
      <w:pPr>
        <w:pStyle w:val="ListParagraph"/>
        <w:numPr>
          <w:ilvl w:val="0"/>
          <w:numId w:val="3"/>
        </w:numPr>
        <w:spacing w:after="80"/>
      </w:pPr>
      <w:r>
        <w:t xml:space="preserve">Select one district for the Phase 1 pilot that includes at least one hospital, one clinic, and several genuinely low-connectivity village posts, so the offline-sync design is tested under real conditions, not just on paper.</w:t>
      </w:r>
    </w:p>
    <w:p>
      <w:pPr>
        <w:pStyle w:val="ListParagraph"/>
        <w:numPr>
          <w:ilvl w:val="0"/>
          <w:numId w:val="3"/>
        </w:numPr>
        <w:spacing w:after="80"/>
      </w:pPr>
      <w:r>
        <w:t xml:space="preserve">Commission a formal data-residency and data protection legal opinion before finalizing the hosting model in Section 7.1.</w:t>
      </w:r>
    </w:p>
    <w:p>
      <w:pPr>
        <w:pStyle w:val="ListParagraph"/>
        <w:numPr>
          <w:ilvl w:val="0"/>
          <w:numId w:val="3"/>
        </w:numPr>
        <w:spacing w:after="80"/>
      </w:pPr>
      <w:r>
        <w:t xml:space="preserve">Begin early, informal technical discussions with the National ID Authority on the integration contract in Section 6.8, since that data-sharing agreement will take time to negotiate.</w:t>
      </w:r>
    </w:p>
    <w:p>
      <w:pPr>
        <w:pStyle w:val="ListParagraph"/>
        <w:numPr>
          <w:ilvl w:val="0"/>
          <w:numId w:val="3"/>
        </w:numPr>
        <w:spacing w:after="80"/>
      </w:pPr>
      <w:r>
        <w:t xml:space="preserve">Approve a Phase 0–Phase 1 budget only initially; commit to Phase 2– 4 funding after pilot KPIs (Section 10) are reviewed.</w:t>
      </w:r>
    </w:p>
    <w:p>
      <w:pPr>
        <w:pBdr>
          <w:top w:val="single" w:color="999999" w:sz="6"/>
        </w:pBdr>
        <w:spacing w:before="400"/>
      </w:pPr>
    </w:p>
    <w:p>
      <w:pPr>
        <w:spacing w:after="160"/>
      </w:pPr>
      <w:r>
        <w:rPr>
          <w:i/>
          <w:iCs/>
          <w:color w:val="777777"/>
        </w:rPr>
        <w:t xml:space="preserve">End of draft. This document is intended as a discussion basis for the Steering Committee and technical working group, not a final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NCBRS Draft v1.2 — Ministry of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2026-09-14T18:29:25.116Z</dcterms:created>
  <dcterms:modified xsi:type="dcterms:W3CDTF">2026-09-14T18:29:25.123Z</dcterms:modified>
</cp:coreProperties>
</file>

<file path=docProps/custom.xml><?xml version="1.0" encoding="utf-8"?>
<Properties xmlns="http://schemas.openxmlformats.org/officeDocument/2006/custom-properties" xmlns:vt="http://schemas.openxmlformats.org/officeDocument/2006/docPropsVTypes"/>
</file>