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40"/>
          <w:szCs w:val="40"/>
        </w:rPr>
        <w:t xml:space="preserve">OPERATIONAL USE CASE BRIEF</w:t>
      </w:r>
    </w:p>
    <w:p>
      <w:pPr>
        <w:spacing w:after="200"/>
        <w:jc w:val="center"/>
      </w:pPr>
      <w:r>
        <w:rPr>
          <w:rFonts w:ascii="Arial" w:cs="Arial" w:eastAsia="Arial" w:hAnsi="Arial"/>
          <w:color w:val="666666"/>
          <w:sz w:val="28"/>
          <w:szCs w:val="28"/>
        </w:rPr>
        <w:t xml:space="preserve">Flightworks Control — Ground Control Station</w:t>
      </w:r>
    </w:p>
    <w:p>
      <w:pPr>
        <w:pBdr>
          <w:bottom w:val="single" w:color="D4830E" w:sz="3" w:space="8"/>
        </w:pBdr>
        <w:spacing w:after="100"/>
        <w:jc w:val="center"/>
      </w:pPr>
      <w:r>
        <w:rPr>
          <w:rFonts w:ascii="Arial" w:cs="Arial" w:eastAsia="Arial" w:hAnsi="Arial"/>
          <w:color w:val="D4830E"/>
          <w:sz w:val="24"/>
          <w:szCs w:val="24"/>
        </w:rPr>
        <w:t xml:space="preserve">For Engineering &amp; Design Teams</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OUCB-FC-2026-001</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 (Draft)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February 18, 2026</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Stephen Sweeney, Flightworks Aerial LLC</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Role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Manager (Safety-Critical GCS)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Draft — Engineering &amp; Design Review</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B3A5C"/>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w:t>
            </w:r>
          </w:p>
        </w:tc>
      </w:tr>
    </w:tbl>
    <w:p>
      <w:pPr>
        <w:spacing w:before="200" w:after="0"/>
      </w:pPr>
    </w:p>
    <w:p>
      <w:pPr>
        <w:spacing w:after="160" w:line="276"/>
      </w:pPr>
      <w:r>
        <w:rPr>
          <w:rFonts w:ascii="Arial" w:cs="Arial" w:eastAsia="Arial" w:hAnsi="Arial"/>
          <w:b/>
          <w:bCs/>
          <w:color w:val="333333"/>
          <w:sz w:val="21"/>
          <w:szCs w:val="21"/>
        </w:rPr>
        <w:t xml:space="preserve">Distribution: </w:t>
      </w:r>
      <w:r>
        <w:rPr>
          <w:rFonts w:ascii="Arial" w:cs="Arial" w:eastAsia="Arial" w:hAnsi="Arial"/>
          <w:color w:val="333333"/>
          <w:sz w:val="21"/>
          <w:szCs w:val="21"/>
        </w:rPr>
        <w:t xml:space="preserve">Engineering leads, UX/UI design, QA, architecture review. This document is the authoritative reference for what the product must do operationally. PRDs and HLDs specify how.</w:t>
      </w:r>
    </w:p>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1. Purpose &amp; Scope</w:t>
      </w:r>
    </w:p>
    <w:p>
      <w:pPr>
        <w:spacing w:after="160" w:line="276"/>
      </w:pPr>
      <w:r>
        <w:rPr>
          <w:rFonts w:ascii="Arial" w:cs="Arial" w:eastAsia="Arial" w:hAnsi="Arial"/>
          <w:color w:val="333333"/>
          <w:sz w:val="21"/>
          <w:szCs w:val="21"/>
        </w:rPr>
        <w:t xml:space="preserve">This brief defines the operational use cases that Flightworks Control must support, written from the perspective of the people who will operate the system under real-world conditions. It is not a feature list or a technical specification. It answers one question: what does the operator need to accomplish, and under what constraints?</w:t>
      </w:r>
    </w:p>
    <w:p>
      <w:pPr>
        <w:spacing w:after="160" w:line="276"/>
      </w:pPr>
      <w:r>
        <w:rPr>
          <w:rFonts w:ascii="Arial" w:cs="Arial" w:eastAsia="Arial" w:hAnsi="Arial"/>
          <w:color w:val="333333"/>
          <w:sz w:val="21"/>
          <w:szCs w:val="21"/>
        </w:rPr>
        <w:t xml:space="preserve">Engineering should read this document to understand the why behind requirements. Design should read it to understand the operator’s mental model, stress conditions, and information hierarchy. Both teams should flag any use case where the implied engineering or design cost is disproportionate to the operational value.</w:t>
      </w:r>
    </w:p>
    <w:p>
      <w:pPr>
        <w:pStyle w:val="Heading2"/>
        <w:spacing w:before="280" w:after="160"/>
      </w:pPr>
      <w:r>
        <w:rPr>
          <w:rFonts w:ascii="Arial" w:cs="Arial" w:eastAsia="Arial" w:hAnsi="Arial"/>
          <w:b/>
          <w:bCs/>
          <w:color w:val="1B3A5C"/>
          <w:sz w:val="24"/>
          <w:szCs w:val="24"/>
        </w:rPr>
        <w:t xml:space="preserve">1.1 How to Read This Document</w:t>
      </w:r>
    </w:p>
    <w:p>
      <w:pPr>
        <w:spacing w:after="160" w:line="276"/>
      </w:pPr>
      <w:r>
        <w:rPr>
          <w:rFonts w:ascii="Arial" w:cs="Arial" w:eastAsia="Arial" w:hAnsi="Arial"/>
          <w:color w:val="333333"/>
          <w:sz w:val="21"/>
          <w:szCs w:val="21"/>
        </w:rPr>
        <w:t xml:space="preserve">Each use case follows a consistent structure: a scenario narrative that grounds the case in reality, followed by operator profiles, mission phases, decision points, information needs, and fail-safe requirements. Two categories of annotations appear throughout: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Statements that require validation before committing engineering effort. These represent the PM’s current best understanding based on domain research and operator conversations, but have not been field-verified. Challenge these.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Decisions that need input from engineering, design, or domain experts before the use case can be fully specified. These are not blockers—they are invitations to collaborate.</w:t>
            </w:r>
          </w:p>
        </w:tc>
      </w:tr>
    </w:tbl>
    <w:p>
      <w:pPr>
        <w:pStyle w:val="Heading2"/>
        <w:spacing w:before="280" w:after="160"/>
      </w:pPr>
      <w:r>
        <w:rPr>
          <w:rFonts w:ascii="Arial" w:cs="Arial" w:eastAsia="Arial" w:hAnsi="Arial"/>
          <w:b/>
          <w:bCs/>
          <w:color w:val="1B3A5C"/>
          <w:sz w:val="24"/>
          <w:szCs w:val="24"/>
        </w:rPr>
        <w:t xml:space="preserve">1.2 Scope Boundaries</w:t>
      </w:r>
    </w:p>
    <w:p>
      <w:pPr>
        <w:spacing w:after="160" w:line="276"/>
      </w:pPr>
      <w:r>
        <w:rPr>
          <w:rFonts w:ascii="Arial" w:cs="Arial" w:eastAsia="Arial" w:hAnsi="Arial"/>
          <w:color w:val="333333"/>
          <w:sz w:val="21"/>
          <w:szCs w:val="21"/>
        </w:rPr>
        <w:t xml:space="preserve">This brief covers operational use cases for the Flightworks Suite jurisdiction model: FlightLaw (universal safety kernel), ThermalLaw (thermal inspection), SurveyLaw (precision mapping), FireLaw (wildfire perimeter monitoring), and ISRLaw (contested swarm operations). Use cases are prioritized by current development phase. FlightLaw and Edge Relay use cases are active. ThermalLaw and SurveyLaw are specified but deferred. FireLaw and ISRLaw are architecture-phase only.</w:t>
      </w:r>
    </w:p>
    <w:p>
      <w:pPr>
        <w:spacing w:after="160" w:line="276"/>
      </w:pPr>
      <w:r>
        <w:rPr>
          <w:rFonts w:ascii="Arial" w:cs="Arial" w:eastAsia="Arial" w:hAnsi="Arial"/>
          <w:color w:val="333333"/>
          <w:sz w:val="21"/>
          <w:szCs w:val="21"/>
        </w:rPr>
        <w:t xml:space="preserve">This document does not cover internal developer workflows, CI/CD operations, marketing use cases, or business-model validation. It also does not specify cloud-based features—all use cases assume edge-first, on-device operation.</w:t>
      </w:r>
    </w:p>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2. Operator Profiles</w:t>
      </w:r>
    </w:p>
    <w:p>
      <w:pPr>
        <w:spacing w:after="160" w:line="276"/>
      </w:pPr>
      <w:r>
        <w:rPr>
          <w:rFonts w:ascii="Arial" w:cs="Arial" w:eastAsia="Arial" w:hAnsi="Arial"/>
          <w:color w:val="333333"/>
          <w:sz w:val="21"/>
          <w:szCs w:val="21"/>
        </w:rPr>
        <w:t xml:space="preserve">Every use case in this document is grounded in a specific operator profile. The system must serve operators with different expertise levels, stress conditions, and authority boundaries. Designing for the wrong operator profile is a product failure regardless of engineering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 Expertise</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Level</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Stress Context</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Jurisdiction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Remote Pilot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Part 107 certified, flight operations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Moderate (iPad proficiency)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Routine to moderate (weather, client pressure)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ThermalLaw, SurveyLaw</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Inspection Operator</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Roofing/insurance damage assessment</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Low–moderate</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Moderate (production throughput, accuracy liability)</w:t>
            </w:r>
          </w:p>
        </w:tc>
        <w:tc>
          <w:tcPr>
            <w:tcW w:type="dxa" w:w="1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ThermalLaw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Survey Technician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Photogrammetry, GIS workflows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High (precision instruments)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Low–moderate (deadline-driven)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SurveyLaw</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Fire UAS Supervisor</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ICS-qualified, UAS operations in fire environment</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Moderate–high</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High (life safety, 24-hour ops, fatigue)</w:t>
            </w:r>
          </w:p>
        </w:tc>
        <w:tc>
          <w:tcPr>
            <w:tcW w:type="dxa" w:w="1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FireLaw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ISR Mission Commander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Military/LE tactical operations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High (multi-system coordination)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Extreme (adversarial, time-critical)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ISRLaw</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These profiles are synthesized from domain research, not validated user interviews. The Fire UAS Supervisor profile in particular is based on NWCG role descriptions and needs field validation with a Type 1 or Type 2 incident management team.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Should we define a “Field Technician” profile distinct from Remote Pilot? Some commercial operators employ non-Part 107 personnel for equipment setup and data handling who never touch the flight controls.</w:t>
            </w:r>
          </w:p>
        </w:tc>
      </w:tr>
    </w:tbl>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3. Use Case Priority Matrix</w:t>
      </w:r>
    </w:p>
    <w:p>
      <w:pPr>
        <w:spacing w:after="160" w:line="276"/>
      </w:pPr>
      <w:r>
        <w:rPr>
          <w:rFonts w:ascii="Arial" w:cs="Arial" w:eastAsia="Arial" w:hAnsi="Arial"/>
          <w:color w:val="333333"/>
          <w:sz w:val="21"/>
          <w:szCs w:val="21"/>
        </w:rPr>
        <w:t xml:space="preserve">Use cases are organized by jurisdiction and prioritized against current development phases. P0 use cases are active engineering targets. P1 use cases have complete specifications but are deferred. P2 use cases are architecture-phase and inform design decisions but do not yet require implementation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00"/>
        <w:gridCol w:w="1200"/>
        <w:gridCol w:w="1200"/>
        <w:gridCol w:w="11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Supervised flight with safety enforcement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Phase 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Active</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UC-2</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Pre-flight validation and readiness gate</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Phase 0</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Active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Deterministic session replay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Phase 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Planned</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UC-4</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Edge Relay MAVLink transport governance</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 Rust</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Phase 1</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Active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Post-hail roof damage inspection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ThermalLaw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Deferred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Specified</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UC-6</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Precision survey with RTK enforcement</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SurveyLaw</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P1</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Deferred</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Specified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Overnight wildfire perimeter monitoring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FireLaw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Architecture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Draft</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UC-8</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Contested environment swarm ISR</w:t>
            </w:r>
          </w:p>
        </w:tc>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ISRLaw</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P2</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Architecture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Draft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Priority assignments reflect the Drone Command partnership trajectory and current Phase 0/Phase 1 parallel development. If the partnership scope changes, UC-5 (ThermalLaw) may re-prioritize ahead of UC-4.</w:t>
            </w:r>
          </w:p>
        </w:tc>
      </w:tr>
    </w:tbl>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4. P0 Use Cases: FlightLaw Foundation</w:t>
      </w:r>
    </w:p>
    <w:p>
      <w:pPr>
        <w:spacing w:after="160" w:line="276"/>
      </w:pPr>
      <w:r>
        <w:rPr>
          <w:rFonts w:ascii="Arial" w:cs="Arial" w:eastAsia="Arial" w:hAnsi="Arial"/>
          <w:color w:val="333333"/>
          <w:sz w:val="21"/>
          <w:szCs w:val="21"/>
        </w:rPr>
        <w:t xml:space="preserve">These use cases define the safety floor that every other jurisdiction inherits. Engineering work on these use cases directly unblocks all downstream jurisdictions. A failure in any P0 use case is a failure of the entire suite.</w:t>
      </w:r>
    </w:p>
    <w:p>
      <w:pPr>
        <w:pStyle w:val="Heading2"/>
        <w:spacing w:before="280" w:after="160"/>
      </w:pPr>
      <w:r>
        <w:rPr>
          <w:rFonts w:ascii="Arial" w:cs="Arial" w:eastAsia="Arial" w:hAnsi="Arial"/>
          <w:b/>
          <w:bCs/>
          <w:color w:val="1B3A5C"/>
          <w:sz w:val="24"/>
          <w:szCs w:val="24"/>
        </w:rPr>
        <w:t xml:space="preserve">UC-1: Supervised Flight with Safety Enforcement</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A remote pilot connects an iPad running Flightworks Control to a PX4-based aircraft via the Rust Edge Relay. The pilot intends to fly a manual reconnaissance mission within a defined geofence. FlightLaw governs the entire session: pre-flight checks gate arming, battery reserve enforcement prevents mid-flight depletion, geofence violation prevention keeps the aircraft within boundaries, and the complete session is logged to an append-only, hash-chained audit trail.</w:t>
      </w:r>
    </w:p>
    <w:p>
      <w:pPr>
        <w:spacing w:before="200" w:after="120"/>
      </w:pPr>
      <w:r>
        <w:rPr>
          <w:rFonts w:ascii="Arial" w:cs="Arial" w:eastAsia="Arial" w:hAnsi="Arial"/>
          <w:b/>
          <w:bCs/>
          <w:color w:val="333333"/>
          <w:sz w:val="22"/>
          <w:szCs w:val="22"/>
        </w:rPr>
        <w:t xml:space="preserve">Operator Profile</w:t>
      </w:r>
    </w:p>
    <w:p>
      <w:pPr>
        <w:spacing w:after="160" w:line="276"/>
      </w:pPr>
      <w:r>
        <w:rPr>
          <w:rFonts w:ascii="Arial" w:cs="Arial" w:eastAsia="Arial" w:hAnsi="Arial"/>
          <w:color w:val="333333"/>
          <w:sz w:val="21"/>
          <w:szCs w:val="21"/>
        </w:rPr>
        <w:t xml:space="preserve">Remote Pilot. Part 107 certified. Familiar with GCS interfaces (DJI Pilot, QGroundControl). Expects clear status indicators, predictable system behavior, and minimal mode switching during flight. May be operating under client or regulatory observation.</w:t>
      </w:r>
    </w:p>
    <w:p>
      <w:pPr>
        <w:spacing w:before="200" w:after="120"/>
      </w:pPr>
      <w:r>
        <w:rPr>
          <w:rFonts w:ascii="Arial" w:cs="Arial" w:eastAsia="Arial" w:hAnsi="Arial"/>
          <w:b/>
          <w:bCs/>
          <w:color w:val="333333"/>
          <w:sz w:val="22"/>
          <w:szCs w:val="22"/>
        </w:rPr>
        <w:t xml:space="preserve">Mission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 Action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 Need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1. Connect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Power aircraft, launch app, verify connection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Edge Relay establishes MAVLink stream; GCS displays connection health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Link quality, frame rate, relay status</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2. Configure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Set geofence, confirm flight parameters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validates spatial boundaries (Law 7); stores mission config</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Geofence visualization, altitude ceiling, no-fly overlay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3. Pre-flight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Initiate pre-flight check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3 (Observation) validates GPS, IMU, compass, battery; gates arming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Checklist pass/fail with specific failure reasons</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4. Arm &amp; Launch</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Request arming</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permits arming only if all checks pass; begins audit logging</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Clear arm/disarm state; audit recording indicator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5. Flight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Fly mission (manual or assisted)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Continuous Law 4 (Resource) and Law 7 (Spatial) enforcement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Battery %, time remaining, geofence proximity, altitude</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6. Return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Initiate RTL or manual landing</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System may auto-trigger RTL at battery threshold (Law 4)</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RTL reason (operator vs. system), ETA, landing zone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7. Post-flight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Review session summary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Audit trail finalized, hash chain sealed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Session stats, any law violations, audit integrity status</w:t>
            </w:r>
          </w:p>
        </w:tc>
      </w:tr>
    </w:tbl>
    <w:p>
      <w:pPr>
        <w:spacing w:before="100" w:after="0"/>
      </w:pPr>
    </w:p>
    <w:p>
      <w:pPr>
        <w:spacing w:before="200" w:after="120"/>
      </w:pPr>
      <w:r>
        <w:rPr>
          <w:rFonts w:ascii="Arial" w:cs="Arial" w:eastAsia="Arial" w:hAnsi="Arial"/>
          <w:b/>
          <w:bCs/>
          <w:color w:val="333333"/>
          <w:sz w:val="22"/>
          <w:szCs w:val="22"/>
        </w:rPr>
        <w:t xml:space="preserve">Key Decision Points</w:t>
      </w:r>
    </w:p>
    <w:p>
      <w:pPr>
        <w:spacing w:after="160" w:line="276"/>
      </w:pPr>
      <w:r>
        <w:rPr>
          <w:rFonts w:ascii="Arial" w:cs="Arial" w:eastAsia="Arial" w:hAnsi="Arial"/>
          <w:b/>
          <w:bCs/>
          <w:color w:val="333333"/>
          <w:sz w:val="21"/>
          <w:szCs w:val="21"/>
        </w:rPr>
        <w:t xml:space="preserve">Pre-flight rejection: </w:t>
      </w:r>
      <w:r>
        <w:rPr>
          <w:rFonts w:ascii="Arial" w:cs="Arial" w:eastAsia="Arial" w:hAnsi="Arial"/>
          <w:color w:val="333333"/>
          <w:sz w:val="21"/>
          <w:szCs w:val="21"/>
        </w:rPr>
        <w:t xml:space="preserve">When a pre-flight check fails, the operator must understand exactly what failed and whether the condition is correctable in the field. The system must not present a generic “failed” state. FlightLaw’s deterministic rejection includes the specific Law and threshold that was violated. Design implication: each check item needs a pass/fail indicator with an expandable explanation.</w:t>
      </w:r>
    </w:p>
    <w:p>
      <w:pPr>
        <w:spacing w:before="40" w:after="0"/>
      </w:pPr>
    </w:p>
    <w:p>
      <w:pPr>
        <w:spacing w:after="160" w:line="276"/>
      </w:pPr>
      <w:r>
        <w:rPr>
          <w:rFonts w:ascii="Arial" w:cs="Arial" w:eastAsia="Arial" w:hAnsi="Arial"/>
          <w:b/>
          <w:bCs/>
          <w:color w:val="333333"/>
          <w:sz w:val="21"/>
          <w:szCs w:val="21"/>
        </w:rPr>
        <w:t xml:space="preserve">Battery RTL override: </w:t>
      </w:r>
      <w:r>
        <w:rPr>
          <w:rFonts w:ascii="Arial" w:cs="Arial" w:eastAsia="Arial" w:hAnsi="Arial"/>
          <w:color w:val="333333"/>
          <w:sz w:val="21"/>
          <w:szCs w:val="21"/>
        </w:rPr>
        <w:t xml:space="preserve">Law 8 (Authority) permits operator override of certain system-initiated actions. When FlightLaw triggers an automatic RTL at 20% battery, the operator should have a bounded window to override (e.g., to complete a critical observation). The override must be logged with operator ID and reason. This is a high-risk action requiring explicit confirmation.</w:t>
      </w:r>
    </w:p>
    <w:p>
      <w:pPr>
        <w:spacing w:before="40" w:after="0"/>
      </w:pPr>
    </w:p>
    <w:p>
      <w:pPr>
        <w:spacing w:after="160" w:line="276"/>
      </w:pPr>
      <w:r>
        <w:rPr>
          <w:rFonts w:ascii="Arial" w:cs="Arial" w:eastAsia="Arial" w:hAnsi="Arial"/>
          <w:b/>
          <w:bCs/>
          <w:color w:val="333333"/>
          <w:sz w:val="21"/>
          <w:szCs w:val="21"/>
        </w:rPr>
        <w:t xml:space="preserve">Geofence breach response: </w:t>
      </w:r>
      <w:r>
        <w:rPr>
          <w:rFonts w:ascii="Arial" w:cs="Arial" w:eastAsia="Arial" w:hAnsi="Arial"/>
          <w:color w:val="333333"/>
          <w:sz w:val="21"/>
          <w:szCs w:val="21"/>
        </w:rPr>
        <w:t xml:space="preserve">Unlike battery RTL, geofence enforcement is non-overridable in the baseline FlightLaw configuration. If the aircraft approaches the boundary, the system prevents further movement in that direction. This is a Law 7 hard constraint. No UI affordance for override should exist for this case.</w:t>
      </w:r>
    </w:p>
    <w:p>
      <w:pPr>
        <w:spacing w:before="100" w:after="0"/>
      </w:pPr>
    </w:p>
    <w:p>
      <w:pPr>
        <w:spacing w:before="200" w:after="120"/>
      </w:pPr>
      <w:r>
        <w:rPr>
          <w:rFonts w:ascii="Arial" w:cs="Arial" w:eastAsia="Arial" w:hAnsi="Arial"/>
          <w:b/>
          <w:bCs/>
          <w:color w:val="333333"/>
          <w:sz w:val="22"/>
          <w:szCs w:val="22"/>
        </w:rPr>
        <w:t xml:space="preserve">Fail-Safe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Condition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 Notification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 Path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Telemetry loss (&gt;1s gap)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Warning state; escalate to RTL if &gt;5s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Amber alert with duration counter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Auto-recover on telemetry resume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Edge Relay connection lost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enters degraded mode; aircraft holds position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Red alert; manual control advisory</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Reconnect relay; resume session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GPS fix degradation (&lt;6 sats)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Warning; prevent new waypoint commands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GPS quality indicator degrades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Wait for fix recovery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Battery below 20%</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Automatic RTL (overridable per Law 8)</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Forced RTL notification with override option</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Land or override with justification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Battery below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Automatic RTL (non-overridable)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Emergency RTL; override disabled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Immediate landing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Geofence violation attempt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Movement blocked in violating direction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Boundary proximity warning</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Navigate away from boundary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Telemetry staleness thresholds (1s warning, 5s RTL) are initial values based on MAVLink heartbeat conventions. These need validation against actual Skydio X10 telemetry behavior through SITL testing before committing to production values.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The Edge Relay connection loss scenario assumes a distinct failure mode from telemetry loss. In practice, both failures may manifest as the same symptom (no data arriving at GCS). Engineering needs to define whether these are distinguishable at the transport layer.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What is the appropriate geofence proximity warning threshold? 50m? 100m? Should it be a percentage of the geofence radius? This is a UX decision with safety implications—too aggressive triggers warning fatigue, too conservative provides no margin.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Should FlightLaw support configurable RTL battery thresholds per-mission, or should the 20%/10% values be constitutional (non-configurable)? The PRD specifies configurable between 15–30%, but the use case implication differs: configurable means the operator can reduce safety margin under production pressure.</w:t>
            </w:r>
          </w:p>
        </w:tc>
      </w:tr>
    </w:tbl>
    <w:p>
      <w:pPr>
        <w:spacing w:before="200" w:after="120"/>
      </w:pPr>
      <w:r>
        <w:rPr>
          <w:rFonts w:ascii="Arial" w:cs="Arial" w:eastAsia="Arial" w:hAnsi="Arial"/>
          <w:b/>
          <w:bCs/>
          <w:color w:val="333333"/>
          <w:sz w:val="22"/>
          <w:szCs w:val="22"/>
        </w:rPr>
        <w:t xml:space="preserve">Success Criteria</w:t>
      </w:r>
    </w:p>
    <w:p>
      <w:pPr>
        <w:spacing w:after="160" w:line="276"/>
      </w:pPr>
      <w:r>
        <w:rPr>
          <w:rFonts w:ascii="Arial" w:cs="Arial" w:eastAsia="Arial" w:hAnsi="Arial"/>
          <w:color w:val="333333"/>
          <w:sz w:val="21"/>
          <w:szCs w:val="21"/>
        </w:rPr>
        <w:t xml:space="preserve">100% of arming attempts with failed pre-flight checks are rejected. 100% of battery RTL triggers execute within 500ms of threshold crossing. 100% of geofence boundary interactions prevent violation. 100% of sessions produce a valid, integrity-verified audit trail. Session replay from audit log produces identical final state hash.</w:t>
      </w:r>
    </w:p>
    <w:p>
      <w:r>
        <w:br w:type="page"/>
      </w:r>
    </w:p>
    <w:p>
      <w:pPr>
        <w:pStyle w:val="Heading2"/>
        <w:spacing w:before="280" w:after="160"/>
      </w:pPr>
      <w:r>
        <w:rPr>
          <w:rFonts w:ascii="Arial" w:cs="Arial" w:eastAsia="Arial" w:hAnsi="Arial"/>
          <w:b/>
          <w:bCs/>
          <w:color w:val="1B3A5C"/>
          <w:sz w:val="24"/>
          <w:szCs w:val="24"/>
        </w:rPr>
        <w:t xml:space="preserve">UC-2: Pre-Flight Validation and Readiness Gate</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Before any flight, the operator initiates a pre-flight readiness check. This is not a checklist the operator reads and self-certifies—it is a system-enforced gate that queries aircraft telemetry and validates against FlightLaw’s Law 3 (Observation) requirements. The aircraft cannot arm until all checks pass. This use case exists because the most consequential safety failures happen before the aircraft leaves the ground.</w:t>
      </w:r>
    </w:p>
    <w:p>
      <w:pPr>
        <w:spacing w:before="200" w:after="120"/>
      </w:pPr>
      <w:r>
        <w:rPr>
          <w:rFonts w:ascii="Arial" w:cs="Arial" w:eastAsia="Arial" w:hAnsi="Arial"/>
          <w:b/>
          <w:bCs/>
          <w:color w:val="333333"/>
          <w:sz w:val="22"/>
          <w:szCs w:val="22"/>
        </w:rPr>
        <w:t xml:space="preserve">Validation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500"/>
        <w:gridCol w:w="1200"/>
        <w:gridCol w:w="27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Blocking?</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 Recourse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GPS satellite 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≥8 satellites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Wait for acquisition; relocate if obstructed</w:t>
            </w:r>
          </w:p>
        </w:tc>
      </w:tr>
      <w:tr>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IMU calibration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3</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Calibrated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Perform calibration procedure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Compass calibration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Calibrated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Perform calibration procedure</w:t>
            </w:r>
          </w:p>
        </w:tc>
      </w:tr>
      <w:tr>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Battery level</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4</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Replace or charge battery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Geofence defined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Valid polygon or circle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Define geofence in mission config</w:t>
            </w:r>
          </w:p>
        </w:tc>
      </w:tr>
      <w:tr>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Aircraft within geofence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7</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Current position inside boundary</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Relocate aircraft or adjust geofence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Edge Relay connection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Transport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Active MAVLink stream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Verify relay hardware and network</w:t>
            </w:r>
          </w:p>
        </w:tc>
      </w:tr>
      <w:tr>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Telemetry freshness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3</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&lt;1s age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Verify connection; restart relay</w:t>
            </w:r>
          </w:p>
        </w:tc>
      </w:tr>
    </w:tbl>
    <w:p>
      <w:pPr>
        <w:spacing w:before="100" w:after="0"/>
      </w:pPr>
    </w:p>
    <w:p>
      <w:pPr>
        <w:spacing w:before="200" w:after="120"/>
      </w:pPr>
      <w:r>
        <w:rPr>
          <w:rFonts w:ascii="Arial" w:cs="Arial" w:eastAsia="Arial" w:hAnsi="Arial"/>
          <w:b/>
          <w:bCs/>
          <w:color w:val="333333"/>
          <w:sz w:val="22"/>
          <w:szCs w:val="22"/>
        </w:rPr>
        <w:t xml:space="preserve">Design Implications</w:t>
      </w:r>
    </w:p>
    <w:p>
      <w:pPr>
        <w:spacing w:after="160" w:line="276"/>
      </w:pPr>
      <w:r>
        <w:rPr>
          <w:rFonts w:ascii="Arial" w:cs="Arial" w:eastAsia="Arial" w:hAnsi="Arial"/>
          <w:color w:val="333333"/>
          <w:sz w:val="21"/>
          <w:szCs w:val="21"/>
        </w:rPr>
        <w:t xml:space="preserve">The pre-flight screen is the operator’s first interaction with FlightLaw enforcement. It sets expectations for the entire session. If this screen communicates clearly and builds trust, the operator will accept system interventions during flight. If it is confusing or feels arbitrary, the operator will fight the system throughout the mission.</w:t>
      </w:r>
    </w:p>
    <w:p>
      <w:pPr>
        <w:spacing w:after="160" w:line="276"/>
      </w:pPr>
      <w:r>
        <w:rPr>
          <w:rFonts w:ascii="Arial" w:cs="Arial" w:eastAsia="Arial" w:hAnsi="Arial"/>
          <w:color w:val="333333"/>
          <w:sz w:val="21"/>
          <w:szCs w:val="21"/>
        </w:rPr>
        <w:t xml:space="preserve">Each check item should have three visual states: passing (green), failing with reason (red + explanation), and in-progress (amber, for checks that take time like GPS acquisition). The screen should communicate progress toward readiness, not just a static pass/fail gate.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Should the pre-flight screen support a “waived” state for non-safety-critical items in development/testing contexts? This would allow engineering to iterate without full aircraft readiness. The risk is that a waive mechanism could leak into production. One option: compile-time flag that removes waive capability from release builds.</w:t>
            </w:r>
          </w:p>
        </w:tc>
      </w:tr>
    </w:tbl>
    <w:p>
      <w:pPr>
        <w:pStyle w:val="Heading2"/>
        <w:spacing w:before="280" w:after="160"/>
      </w:pPr>
      <w:r>
        <w:rPr>
          <w:rFonts w:ascii="Arial" w:cs="Arial" w:eastAsia="Arial" w:hAnsi="Arial"/>
          <w:b/>
          <w:bCs/>
          <w:color w:val="1B3A5C"/>
          <w:sz w:val="24"/>
          <w:szCs w:val="24"/>
        </w:rPr>
        <w:t xml:space="preserve">UC-3: Deterministic Session Replay</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After a flight, a safety investigator (or the operator themselves) needs to reconstruct exactly what happened. They load the session’s audit trail into Flightworks Control’s replay mode. The system replays every action through the same FlightLaw reducers, producing an identical sequence of state transitions. If the final state hash matches, the session is verified. If it does not match, the audit trail has been tampered with or a non-deterministic behavior has been introduced.</w:t>
      </w:r>
    </w:p>
    <w:p>
      <w:pPr>
        <w:spacing w:before="200" w:after="120"/>
      </w:pPr>
      <w:r>
        <w:rPr>
          <w:rFonts w:ascii="Arial" w:cs="Arial" w:eastAsia="Arial" w:hAnsi="Arial"/>
          <w:b/>
          <w:bCs/>
          <w:color w:val="333333"/>
          <w:sz w:val="22"/>
          <w:szCs w:val="22"/>
        </w:rPr>
        <w:t xml:space="preserve">Why This Use Case Matters</w:t>
      </w:r>
    </w:p>
    <w:p>
      <w:pPr>
        <w:spacing w:after="160" w:line="276"/>
      </w:pPr>
      <w:r>
        <w:rPr>
          <w:rFonts w:ascii="Arial" w:cs="Arial" w:eastAsia="Arial" w:hAnsi="Arial"/>
          <w:color w:val="333333"/>
          <w:sz w:val="21"/>
          <w:szCs w:val="21"/>
        </w:rPr>
        <w:t xml:space="preserve">This is the proof case for the entire SwiftVector architecture. If the system cannot replay a session deterministically, none of the certification claims hold. This use case is the technical foundation for regulatory conversations, insurance claims, incident investigation, and the “Certify the Boundary” thesis. It is also the primary verification mechanism for engineering: if replay fails during development, a non-deterministic code path has been introduced.</w:t>
      </w:r>
    </w:p>
    <w:p>
      <w:pPr>
        <w:spacing w:before="200" w:after="120"/>
      </w:pPr>
      <w:r>
        <w:rPr>
          <w:rFonts w:ascii="Arial" w:cs="Arial" w:eastAsia="Arial" w:hAnsi="Arial"/>
          <w:b/>
          <w:bCs/>
          <w:color w:val="333333"/>
          <w:sz w:val="22"/>
          <w:szCs w:val="22"/>
        </w:rPr>
        <w:t xml:space="preserve">Replay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 Displayed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1. 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Parse audit trail JSON; validate hash chain integrity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Chain integrity status, session metadata, action count</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2. Initialize</w:t>
            </w:r>
          </w:p>
        </w:tc>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Reconstruct initial state from first entry</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Initial state visualization (map position, battery, geofence)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3. Replay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Step through actions, applying each to FlightLaw reducers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Timeline scrubber, current state, action log, state diffs</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4. Verify</w:t>
            </w:r>
          </w:p>
        </w:tc>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Compare final state hash against recorded hash</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Match/mismatch indicator; divergence point if mismatch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5. Export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Generate replay report (PDF or 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Downloadable verification report</w:t>
            </w:r>
          </w:p>
        </w:tc>
      </w:tr>
    </w:tbl>
    <w:p>
      <w:pPr>
        <w:spacing w:before="100" w:after="0"/>
      </w:pPr>
    </w:p>
    <w:p>
      <w:pPr>
        <w:spacing w:before="200" w:after="120"/>
      </w:pPr>
      <w:r>
        <w:rPr>
          <w:rFonts w:ascii="Arial" w:cs="Arial" w:eastAsia="Arial" w:hAnsi="Arial"/>
          <w:b/>
          <w:bCs/>
          <w:color w:val="333333"/>
          <w:sz w:val="22"/>
          <w:szCs w:val="22"/>
        </w:rPr>
        <w:t xml:space="preserve">Cross-Language Determinism</w:t>
      </w:r>
    </w:p>
    <w:p>
      <w:pPr>
        <w:spacing w:after="160" w:line="276"/>
      </w:pPr>
      <w:r>
        <w:rPr>
          <w:rFonts w:ascii="Arial" w:cs="Arial" w:eastAsia="Arial" w:hAnsi="Arial"/>
          <w:color w:val="333333"/>
          <w:sz w:val="21"/>
          <w:szCs w:val="21"/>
        </w:rPr>
        <w:t xml:space="preserve">Because the architecture spans Swift (GCS governance) and Rust (Edge Relay transport), replay verification must prove determinism across the language boundary. The Edge Relay produces its own JSONL audit trail. A complete replay verifies both trails and confirms that the same MAVLink frames, processed through Rust’s transport layer and Swift’s governance layer, produce identical semantic outcomes.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Replay performance is assumed to run faster than real-time (the replay processes actions without waiting for real-time telemetry intervals). A 30-minute flight should replay in seconds. This assumption depends on audit trail size and reducer complexity—needs benchmarking.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Should replay support a “real-time” playback mode where the operator can watch the session unfold at 1x speed on the map? This has high design value for incident investigation and training but adds significant UI complexity. Recommend deferring real-time playback to post-MVP, keeping the initial implementation as verify-only.</w:t>
            </w:r>
          </w:p>
        </w:tc>
      </w:tr>
    </w:tbl>
    <w:p>
      <w:r>
        <w:br w:type="page"/>
      </w:r>
    </w:p>
    <w:p>
      <w:pPr>
        <w:pStyle w:val="Heading2"/>
        <w:spacing w:before="280" w:after="160"/>
      </w:pPr>
      <w:r>
        <w:rPr>
          <w:rFonts w:ascii="Arial" w:cs="Arial" w:eastAsia="Arial" w:hAnsi="Arial"/>
          <w:b/>
          <w:bCs/>
          <w:color w:val="1B3A5C"/>
          <w:sz w:val="24"/>
          <w:szCs w:val="24"/>
        </w:rPr>
        <w:t xml:space="preserve">UC-4: Edge Relay MAVLink Transport Governance</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The Rust Edge Relay sits between the PX4 aircraft and the Swift GCS, functioning as a governed transport proxy. It receives raw MAVLink frames over UDP, parses and validates them, applies message allowlisting (only permitted message types are forwarded), logs every frame to a JSONL audit trail, and forwards validated messages to the GCS. The relay also accepts command messages from the GCS, validates them against an outbound allowlist, and forwards them to the aircraft.</w:t>
      </w:r>
    </w:p>
    <w:p>
      <w:pPr>
        <w:spacing w:before="200" w:after="120"/>
      </w:pPr>
      <w:r>
        <w:rPr>
          <w:rFonts w:ascii="Arial" w:cs="Arial" w:eastAsia="Arial" w:hAnsi="Arial"/>
          <w:b/>
          <w:bCs/>
          <w:color w:val="333333"/>
          <w:sz w:val="22"/>
          <w:szCs w:val="22"/>
        </w:rPr>
        <w:t xml:space="preserve">Why This is a Use Case, Not Just Infrastructure</w:t>
      </w:r>
    </w:p>
    <w:p>
      <w:pPr>
        <w:spacing w:after="160" w:line="276"/>
      </w:pPr>
      <w:r>
        <w:rPr>
          <w:rFonts w:ascii="Arial" w:cs="Arial" w:eastAsia="Arial" w:hAnsi="Arial"/>
          <w:color w:val="333333"/>
          <w:sz w:val="21"/>
          <w:szCs w:val="21"/>
        </w:rPr>
        <w:t xml:space="preserve">From a product perspective, the Edge Relay is invisible to the operator—they should never interact with it directly. But its behavior directly affects every operator-visible use case: telemetry freshness, command latency, audit completeness, and system reliability. If the relay drops frames, the operator sees stale telemetry. If it adds latency, manual control feels sluggish. If its audit trail is incomplete, session replay fails. The relay is infrastructure that must meet product-level quality bars.</w:t>
      </w:r>
    </w:p>
    <w:p>
      <w:pPr>
        <w:spacing w:before="200" w:after="120"/>
      </w:pPr>
      <w:r>
        <w:rPr>
          <w:rFonts w:ascii="Arial" w:cs="Arial" w:eastAsia="Arial" w:hAnsi="Arial"/>
          <w:b/>
          <w:bCs/>
          <w:color w:val="333333"/>
          <w:sz w:val="22"/>
          <w:szCs w:val="22"/>
        </w:rPr>
        <w:t xml:space="preserve">Governance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Message allowlisting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Only explicitly permitted MAVLink message IDs are forwarded; all others are logged and dropped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Fuzz test with random message IDs; verify 100% filter accuracy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Frame integrity validation</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Each frame is checked for valid MAVLink framing before processing</w:t>
            </w:r>
          </w:p>
        </w:tc>
        <w:tc>
          <w:tcPr>
            <w:tcW w:type="dxa" w:w="3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Malformed frame injection; verify graceful rejection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Audit logging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Every received and forwarded frame is logged to JSONL with timestamp and hash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Replay comparison: Rust audit trail vs. Swift audit trail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Latency budget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Frame forwarding completes in &lt;1ms (p99)</w:t>
            </w:r>
          </w:p>
        </w:tc>
        <w:tc>
          <w:tcPr>
            <w:tcW w:type="dxa" w:w="3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Benchmark suite under load (100 frames/sec)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Connection health reporting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Relay reports link quality metrics to GCS at 1Hz</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Connection degradation simulation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Deterministic frame recording</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Frames are recorded in exact order received; replay produces identical output</w:t>
            </w:r>
          </w:p>
        </w:tc>
        <w:tc>
          <w:tcPr>
            <w:tcW w:type="dxa" w:w="3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Record/replay test with 10,000+ frames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The 1ms p99 latency target is based on the assumption that MAVLink telemetry arrives at 10–50Hz and operators cannot perceive latency below 20ms. The 1ms target provides ample margin. This needs benchmarking on target hardware (iPad + Raspberry Pi or embedded Linux relay device).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The Edge Relay is assumed to run on a dedicated device (not the iPad). If the relay runs as an iPad process, the latency and audit trail guarantees change significantly due to iOS background execution limits.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What is the relay’s behavior when the GCS disconnects but the aircraft is still transmitting? Options: (a) continue logging to local audit trail and buffer recent frames for GCS reconnection, (b) stop logging after a timeout to conserve storage, (c) signal the aircraft to hold position. This decision affects both the relay’s storage requirements and the aircraft’s fail-safe behavior.</w:t>
            </w:r>
          </w:p>
        </w:tc>
      </w:tr>
    </w:tbl>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5. P1 Use Cases: Domain Jurisdictions</w:t>
      </w:r>
    </w:p>
    <w:p>
      <w:pPr>
        <w:spacing w:after="160" w:line="276"/>
      </w:pPr>
      <w:r>
        <w:rPr>
          <w:rFonts w:ascii="Arial" w:cs="Arial" w:eastAsia="Arial" w:hAnsi="Arial"/>
          <w:color w:val="333333"/>
          <w:sz w:val="21"/>
          <w:szCs w:val="21"/>
        </w:rPr>
        <w:t xml:space="preserve">These use cases have complete specifications (PRDs and HLDs exist) but are deferred behind FlightLaw foundation work. They are included here because their requirements influence FlightLaw’s extension point architecture—decisions made in P0 must not preclude P1 implementations.</w:t>
      </w:r>
    </w:p>
    <w:p>
      <w:pPr>
        <w:pStyle w:val="Heading2"/>
        <w:spacing w:before="280" w:after="160"/>
      </w:pPr>
      <w:r>
        <w:rPr>
          <w:rFonts w:ascii="Arial" w:cs="Arial" w:eastAsia="Arial" w:hAnsi="Arial"/>
          <w:b/>
          <w:bCs/>
          <w:color w:val="1B3A5C"/>
          <w:sz w:val="24"/>
          <w:szCs w:val="24"/>
        </w:rPr>
        <w:t xml:space="preserve">UC-5: Post-Hail Roof Damage Inspection</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An inspection operator arrives at a residential property after a hailstorm. They launch a thermal-equipped drone, which executes a standardized capture pattern over the roof (grid passes, edge sweeps, ridge lines, penetrations). Onboard ML proposes damage candidates—potential hail impacts detected in RGB imagery with thermal confirmation for moisture intrusion. Each candidate is presented to the operator for explicit approval or rejection. Approved candidates become flagged anomalies. After flight, the system exports a Documentation Pack (PDF report + JSON data + annotated imagery) suitable for insurance submission.</w:t>
      </w:r>
    </w:p>
    <w:p>
      <w:pPr>
        <w:spacing w:before="200" w:after="120"/>
      </w:pPr>
      <w:r>
        <w:rPr>
          <w:rFonts w:ascii="Arial" w:cs="Arial" w:eastAsia="Arial" w:hAnsi="Arial"/>
          <w:b/>
          <w:bCs/>
          <w:color w:val="333333"/>
          <w:sz w:val="22"/>
          <w:szCs w:val="22"/>
        </w:rPr>
        <w:t xml:space="preserve">Seven-Step Governed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600"/>
        <w:gridCol w:w="35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Governance Guarantee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Observe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Aircraft executes standardized capture pattern; raw frames stored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Pattern is deterministic—same roof geometry produces same flight path</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Infer</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Onboard ML processes frames, proposes damage candidates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ML output is probabilistic; post-processing normalizes to deterministic classifications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Explain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Each candidate shown with crop, context image, confidence score, severity band, roof zone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Severity banding is deterministic (compile-time thresholds)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Approve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Operator reviews and approves/rejects each candidate individually</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No candidate becomes a flagged anomaly without explicit human approval (Law 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Flag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Approved candidates become flagged anomalies in the session state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Flagging action is logged with operator ID and timestamp</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Export</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Generate Documentation Pack: PDF + JSON + images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Export is deterministic—same session data produces identical output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Replay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Session can be replayed to verify all decisions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Replay produces identical candidate list, identical flagged anomalies</w:t>
            </w:r>
          </w:p>
        </w:tc>
      </w:tr>
    </w:tbl>
    <w:p>
      <w:pPr>
        <w:spacing w:before="100" w:after="0"/>
      </w:pPr>
    </w:p>
    <w:p>
      <w:pPr>
        <w:spacing w:before="200" w:after="120"/>
      </w:pPr>
      <w:r>
        <w:rPr>
          <w:rFonts w:ascii="Arial" w:cs="Arial" w:eastAsia="Arial" w:hAnsi="Arial"/>
          <w:b/>
          <w:bCs/>
          <w:color w:val="333333"/>
          <w:sz w:val="22"/>
          <w:szCs w:val="22"/>
        </w:rPr>
        <w:t xml:space="preserve">Critical Design Requirement: Trust Calibration</w:t>
      </w:r>
    </w:p>
    <w:p>
      <w:pPr>
        <w:spacing w:after="160" w:line="276"/>
      </w:pPr>
      <w:r>
        <w:rPr>
          <w:rFonts w:ascii="Arial" w:cs="Arial" w:eastAsia="Arial" w:hAnsi="Arial"/>
          <w:color w:val="333333"/>
          <w:sz w:val="21"/>
          <w:szCs w:val="21"/>
        </w:rPr>
        <w:t xml:space="preserve">The operator’s trust in the system’s ML proposals directly determines inspection quality. Over-trust leads to rubber-stamping (approving without scrutiny). Under-trust leads to ignoring proposals and reverting to manual inspection. The UI must calibrate trust by making the AI’s reasoning transparent: why was this flagged? What did the model see? How confident is it? The confidence score is necessary but not sufficient—the operator needs visual evidence (the crop, the context, the thermal overlay) to make an independent judgment.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Bulk approval is prohibited (FR-6.5 in PRD). This is a product decision to prevent rubber-stamping. The assumption is that individual review per candidate is operationally feasible for typical inspection volumes (10–50 candidates per roof). If candidate counts regularly exceed 50, this constraint may need revisiting with a triage mechanism.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What happens when the ML produces zero candidates on a roof that the operator believes is damaged? The system needs an escape hatch for manual annotation—the operator should be able to flag areas the ML missed. How does this manual annotation integrate with the governed workflow? Is it a different action type with different audit semantics?</w:t>
            </w:r>
          </w:p>
        </w:tc>
      </w:tr>
    </w:tbl>
    <w:p>
      <w:pPr>
        <w:pStyle w:val="Heading2"/>
        <w:spacing w:before="280" w:after="160"/>
      </w:pPr>
      <w:r>
        <w:rPr>
          <w:rFonts w:ascii="Arial" w:cs="Arial" w:eastAsia="Arial" w:hAnsi="Arial"/>
          <w:b/>
          <w:bCs/>
          <w:color w:val="1B3A5C"/>
          <w:sz w:val="24"/>
          <w:szCs w:val="24"/>
        </w:rPr>
        <w:t xml:space="preserve">UC-6: Precision Survey with RTK Enforcement</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A survey technician needs to capture engineering-grade aerial imagery of a construction site for volumetric calculations. They define an area of interest on the map, specify accuracy requirements (2cm GSD, 80% front overlap, 70% side overlap), and the system generates a deterministic mission grid. The system enforces RTK GPS fix quality before allowing any image capture—a capture taken without RTK fixed status is rejected. Post-flight, the system produces a Survey Package with quality metrics, gap analysis, and all imagery with verified position metadata.</w:t>
      </w:r>
    </w:p>
    <w:p>
      <w:pPr>
        <w:spacing w:before="200" w:after="120"/>
      </w:pPr>
      <w:r>
        <w:rPr>
          <w:rFonts w:ascii="Arial" w:cs="Arial" w:eastAsia="Arial" w:hAnsi="Arial"/>
          <w:b/>
          <w:bCs/>
          <w:color w:val="333333"/>
          <w:sz w:val="22"/>
          <w:szCs w:val="22"/>
        </w:rPr>
        <w:t xml:space="preserve">Key Differentiator: Deterministic Grid Generation</w:t>
      </w:r>
    </w:p>
    <w:p>
      <w:pPr>
        <w:spacing w:after="160" w:line="276"/>
      </w:pPr>
      <w:r>
        <w:rPr>
          <w:rFonts w:ascii="Arial" w:cs="Arial" w:eastAsia="Arial" w:hAnsi="Arial"/>
          <w:color w:val="333333"/>
          <w:sz w:val="21"/>
          <w:szCs w:val="21"/>
        </w:rPr>
        <w:t xml:space="preserve">The same area of interest, camera parameters, and overlap requirements must always produce the same mission grid. This is a testable property: FR-1.1 in the SurveyLaw PRD requires 1,000-iteration property testing. The operational value is repeatability—a construction site surveyed monthly must use identical grids for valid time-series comparison.</w:t>
      </w:r>
    </w:p>
    <w:p>
      <w:pPr>
        <w:spacing w:before="200" w:after="120"/>
      </w:pPr>
      <w:r>
        <w:rPr>
          <w:rFonts w:ascii="Arial" w:cs="Arial" w:eastAsia="Arial" w:hAnsi="Arial"/>
          <w:b/>
          <w:bCs/>
          <w:color w:val="333333"/>
          <w:sz w:val="22"/>
          <w:szCs w:val="22"/>
        </w:rPr>
        <w:t xml:space="preserve">Accuracy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RTK Requirement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GSD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 Accuracy</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RTK Fixed 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2cm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±2cm horizontal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Volumetric calculations, as-built surveys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Mapping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GPS acceptable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5cm</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±5cm horizontal</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Construction progress monitoring, site overview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Inspection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GPS acceptable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10cm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±10cm horizontal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General site inspection, visual documentation</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RTK base station integration is required for engineering-tier accuracy. The assumption is that the operator provides their own base station or NTRIP correction service. The GCS does not manage RTK base station configuration—it only validates the resulting fix quality reported by the aircraft.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Should SurveyLaw enforce a minimum overlap threshold during flight (rejecting captures that would result in insufficient overlap), or should overlap analysis be post-flight only? Real-time enforcement adds complexity but prevents wasted flight time. Post-flight analysis is simpler but may require re-flights.</w:t>
            </w:r>
          </w:p>
        </w:tc>
      </w:tr>
    </w:tbl>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6. P2 Use Cases: Advanced Jurisdictions</w:t>
      </w:r>
    </w:p>
    <w:p>
      <w:pPr>
        <w:spacing w:after="160" w:line="276"/>
      </w:pPr>
      <w:r>
        <w:rPr>
          <w:rFonts w:ascii="Arial" w:cs="Arial" w:eastAsia="Arial" w:hAnsi="Arial"/>
          <w:color w:val="333333"/>
          <w:sz w:val="21"/>
          <w:szCs w:val="21"/>
        </w:rPr>
        <w:t xml:space="preserve">These use cases are in architecture phase. They are included because they represent the most demanding governance scenarios in the Flightworks Suite and their requirements validate that the FlightLaw foundation is extensible. Engineering should read these to understand the ceiling the architecture must support, even though implementation is not imminent.</w:t>
      </w:r>
    </w:p>
    <w:p>
      <w:pPr>
        <w:pStyle w:val="Heading2"/>
        <w:spacing w:before="280" w:after="160"/>
      </w:pPr>
      <w:r>
        <w:rPr>
          <w:rFonts w:ascii="Arial" w:cs="Arial" w:eastAsia="Arial" w:hAnsi="Arial"/>
          <w:b/>
          <w:bCs/>
          <w:color w:val="1B3A5C"/>
          <w:sz w:val="24"/>
          <w:szCs w:val="24"/>
        </w:rPr>
        <w:t xml:space="preserve">UC-7: Overnight Wildfire Perimeter Monitoring</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A wildfire incident management team deploys a fleet of 3–6 thermal-equipped drones to monitor a 20-mile fire perimeter through the night shift. A UAS Supervisor configures the mission: sectors are defined along the perimeter (aligned with ICS Division assignments), coverage freshness thresholds are set per sector based on priority (head of fire scanned every 15 minutes, flanks every 30 minutes, heel every 60 minutes), and escalation tiers define what happens when detections occur while the field crews are sleeping.</w:t>
      </w:r>
    </w:p>
    <w:p>
      <w:pPr>
        <w:spacing w:after="160" w:line="276"/>
      </w:pPr>
      <w:r>
        <w:rPr>
          <w:rFonts w:ascii="Arial" w:cs="Arial" w:eastAsia="Arial" w:hAnsi="Arial"/>
          <w:color w:val="333333"/>
          <w:sz w:val="21"/>
          <w:szCs w:val="21"/>
        </w:rPr>
        <w:t xml:space="preserve">The drones operate autonomously through the night, executing patrol patterns, swapping batteries at dock stations, handing off sectors as assets rotate. When a thermal anomaly is detected outside the known perimeter (a spot fire), the system triages by severity and escalates through defined authority tiers: low-severity detections are logged for morning review, medium-severity detections alert the on-duty Remote Pilot, high-severity detections wake the UAS Supervisor, and critical detections trigger IC notification.</w:t>
      </w:r>
    </w:p>
    <w:p>
      <w:pPr>
        <w:spacing w:before="200" w:after="120"/>
      </w:pPr>
      <w:r>
        <w:rPr>
          <w:rFonts w:ascii="Arial" w:cs="Arial" w:eastAsia="Arial" w:hAnsi="Arial"/>
          <w:b/>
          <w:bCs/>
          <w:color w:val="333333"/>
          <w:sz w:val="22"/>
          <w:szCs w:val="22"/>
        </w:rPr>
        <w:t xml:space="preserve">Why This is the Hardest GCS Problem</w:t>
      </w:r>
    </w:p>
    <w:p>
      <w:pPr>
        <w:spacing w:after="160" w:line="276"/>
      </w:pPr>
      <w:r>
        <w:rPr>
          <w:rFonts w:ascii="Arial" w:cs="Arial" w:eastAsia="Arial" w:hAnsi="Arial"/>
          <w:color w:val="333333"/>
          <w:sz w:val="21"/>
          <w:szCs w:val="21"/>
        </w:rPr>
        <w:t xml:space="preserve">This use case simultaneously exercises multi-asset coordination (fleet of drones with task handoff), extended autonomous operations (8+ hours with no human in the loop), degraded operator presence (sleeping crews), dynamic mission re-planning (coverage gaps from battery swaps, asset failures), escalation to external authority (Incident Commander is not a GCS user), and manned aircraft deconfliction (air tankers at dawn). No commercial GCS solves this problem today. It is the use case that proves the jurisdiction model scales beyond single-asset inspection.</w:t>
      </w:r>
    </w:p>
    <w:p>
      <w:pPr>
        <w:spacing w:before="200" w:after="120"/>
      </w:pPr>
      <w:r>
        <w:rPr>
          <w:rFonts w:ascii="Arial" w:cs="Arial" w:eastAsia="Arial" w:hAnsi="Arial"/>
          <w:b/>
          <w:bCs/>
          <w:color w:val="333333"/>
          <w:sz w:val="22"/>
          <w:szCs w:val="22"/>
        </w:rPr>
        <w:t xml:space="preserve">Governance Architecture</w:t>
      </w:r>
    </w:p>
    <w:p>
      <w:pPr>
        <w:spacing w:after="160" w:line="276"/>
      </w:pPr>
      <w:r>
        <w:rPr>
          <w:rFonts w:ascii="Arial" w:cs="Arial" w:eastAsia="Arial" w:hAnsi="Arial"/>
          <w:color w:val="333333"/>
          <w:sz w:val="21"/>
          <w:szCs w:val="21"/>
        </w:rPr>
        <w:t xml:space="preserve">FireLaw extends FlightLaw with three additional capabilities. Law 2 (Delegation) governs task handoff between drones—when Drone A returns for battery swap, its sector patrol task transfers to Drone B with identical permissions, no more. Law 6 (Persistence) locks perimeter facts at the moment they are established—a sector marked as scanned cannot be retroactively reclassified by a later sensor recalibration. And the escalation-tier authority model governs what the system may do autonomously versus what requires human approval at each tier.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Dock-and-launch battery swap infrastructure exists and is operationally reliable. This is a hardware dependency that Flightworks does not control. The assumption is that dock integration is a future-phase concern and SITL simulation can model battery swap events without physical dock hardware.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The escalation tier model (log / alert pilot / wake supervisor / notify IC) is based on domain research from NWCG standards and incident management workflows. The specific thresholds for each tier have not been calibrated against historical incident data. The Domain Notes recommend calibration using past incident records before field deployment.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How does the IC receive critical escalation notifications? The IC is not a GCS user—they are in a command tent or vehicle managing the entire incident. Options: push notification to a separate device, radio call protocol triggered by the system, integration with ICS dispatch systems. This is a non-trivial integration question that affects the entire authority chain.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Manned aircraft deconfliction in the wildfire context requires response within seconds to a ground-stop order. What is the acceptable latency from ground-stop command to all-drones-clear? The Domain Notes identify this as a life-safety requirement. Should FireLaw define this as a hard latency constraint (e.g., all assets below 200ft AGL within 30 seconds of ground-stop)?</w:t>
            </w:r>
          </w:p>
        </w:tc>
      </w:tr>
    </w:tbl>
    <w:p>
      <w:pPr>
        <w:pStyle w:val="Heading2"/>
        <w:spacing w:before="280" w:after="160"/>
      </w:pPr>
      <w:r>
        <w:rPr>
          <w:rFonts w:ascii="Arial" w:cs="Arial" w:eastAsia="Arial" w:hAnsi="Arial"/>
          <w:b/>
          <w:bCs/>
          <w:color w:val="1B3A5C"/>
          <w:sz w:val="24"/>
          <w:szCs w:val="24"/>
        </w:rPr>
        <w:t xml:space="preserve">UC-8: Contested Environment Swarm ISR</w:t>
      </w:r>
    </w:p>
    <w:p>
      <w:pPr>
        <w:spacing w:before="200" w:after="120"/>
      </w:pPr>
      <w:r>
        <w:rPr>
          <w:rFonts w:ascii="Arial" w:cs="Arial" w:eastAsia="Arial" w:hAnsi="Arial"/>
          <w:b/>
          <w:bCs/>
          <w:color w:val="333333"/>
          <w:sz w:val="22"/>
          <w:szCs w:val="22"/>
        </w:rPr>
        <w:t xml:space="preserve">Scenario</w:t>
      </w:r>
    </w:p>
    <w:p>
      <w:pPr>
        <w:spacing w:after="160" w:line="276"/>
      </w:pPr>
      <w:r>
        <w:rPr>
          <w:rFonts w:ascii="Arial" w:cs="Arial" w:eastAsia="Arial" w:hAnsi="Arial"/>
          <w:color w:val="333333"/>
          <w:sz w:val="21"/>
          <w:szCs w:val="21"/>
        </w:rPr>
        <w:t xml:space="preserve">A military or law enforcement ISR mission commander pre-loads a mission authority envelope defining exactly what a swarm of drones may do autonomously when communications are denied. The swarm deploys into an environment where GPS may be spoofed, datalinks may be jammed, and the mesh network may be partitioned. The drones execute their mission within the pre-authorized envelope, making local decisions about task allocation, formation, and detection reporting. When communications are restored, the swarm synchronizes its state with the GCS and produces a complete, tamper-evident audit trail of every autonomous decision.</w:t>
      </w:r>
    </w:p>
    <w:p>
      <w:pPr>
        <w:spacing w:before="200" w:after="120"/>
      </w:pPr>
      <w:r>
        <w:rPr>
          <w:rFonts w:ascii="Arial" w:cs="Arial" w:eastAsia="Arial" w:hAnsi="Arial"/>
          <w:b/>
          <w:bCs/>
          <w:color w:val="333333"/>
          <w:sz w:val="22"/>
          <w:szCs w:val="22"/>
        </w:rPr>
        <w:t xml:space="preserve">The Fundamental Inversion</w:t>
      </w:r>
    </w:p>
    <w:p>
      <w:pPr>
        <w:spacing w:after="160" w:line="276"/>
      </w:pPr>
      <w:r>
        <w:rPr>
          <w:rFonts w:ascii="Arial" w:cs="Arial" w:eastAsia="Arial" w:hAnsi="Arial"/>
          <w:color w:val="333333"/>
          <w:sz w:val="21"/>
          <w:szCs w:val="21"/>
        </w:rPr>
        <w:t xml:space="preserve">In every other jurisdiction, communications loss reduces authority—the system becomes more conservative and waits for reconnection. ISRLaw inverts this assumption. Communications denial is the expected operating condition, not a failure state. Authority is pre-loaded before the mission, not granted in real-time. The pre-mission briefing is the governance event. The autonomy envelope is the Law. This is not a departure from the Agency Paradox (AI proposes, humans decide)—it is its most disciplined application. The human grants authority before the mission, defining exactly what the swarm may do when it cannot ask.</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Pre-loaded authority envelopes are sufficient for the mission types being considered. If the operational environment changes in ways not anticipated by the pre-loaded envelope (e.g., unexpected civilian presence in the operating area), the swarm’s response is constrained to its pre-authorized actions. This may result in mission abort rather than adaptive response. The assumption is that mission abort is always preferable to unauthorized autonomous action.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How are partition-tolerant consensus decisions verified after reconnection? When two sub-swarms made independent decisions during a network partition, the reconciliation algorithm must detect and flag conflicting decisions. What happens when two partitions both classified the same entity differently? This is a distributed systems problem with safety-critical implications.</w:t>
            </w:r>
          </w:p>
        </w:tc>
      </w:tr>
    </w:tbl>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7. Cross-Cutting Concerns</w:t>
      </w:r>
    </w:p>
    <w:p>
      <w:pPr>
        <w:spacing w:after="160" w:line="276"/>
      </w:pPr>
      <w:r>
        <w:rPr>
          <w:rFonts w:ascii="Arial" w:cs="Arial" w:eastAsia="Arial" w:hAnsi="Arial"/>
          <w:color w:val="333333"/>
          <w:sz w:val="21"/>
          <w:szCs w:val="21"/>
        </w:rPr>
        <w:t xml:space="preserve">These concerns apply across all use cases and jurisdictions. They are not features—they are constraints that engineering and design must satisfy in every implementation decision.</w:t>
      </w:r>
    </w:p>
    <w:p>
      <w:pPr>
        <w:pStyle w:val="Heading2"/>
        <w:spacing w:before="280" w:after="160"/>
      </w:pPr>
      <w:r>
        <w:rPr>
          <w:rFonts w:ascii="Arial" w:cs="Arial" w:eastAsia="Arial" w:hAnsi="Arial"/>
          <w:b/>
          <w:bCs/>
          <w:color w:val="1B3A5C"/>
          <w:sz w:val="24"/>
          <w:szCs w:val="24"/>
        </w:rPr>
        <w:t xml:space="preserve">7.1 Operator Situational Awareness</w:t>
      </w:r>
    </w:p>
    <w:p>
      <w:pPr>
        <w:spacing w:after="160" w:line="276"/>
      </w:pPr>
      <w:r>
        <w:rPr>
          <w:rFonts w:ascii="Arial" w:cs="Arial" w:eastAsia="Arial" w:hAnsi="Arial"/>
          <w:color w:val="333333"/>
          <w:sz w:val="21"/>
          <w:szCs w:val="21"/>
        </w:rPr>
        <w:t xml:space="preserve">In every use case, the operator’s primary need is spatial awareness: where is the aircraft, what is it doing, and is it safe? This must be the dominant information layer at all times. No modal dialog, notification, or secondary information display should ever obscure the operator’s view of aircraft position and status. This is a non-negotiable design constraint for all screens during active flight.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What is the minimum information set that must always be visible during active flight? Candidate: aircraft position on map, altitude, battery %, connection status, active law enforcement indicators. Should this be a persistent HUD overlay, or integrated into the map view?</w:t>
            </w:r>
          </w:p>
        </w:tc>
      </w:tr>
    </w:tbl>
    <w:p>
      <w:pPr>
        <w:pStyle w:val="Heading2"/>
        <w:spacing w:before="280" w:after="160"/>
      </w:pPr>
      <w:r>
        <w:rPr>
          <w:rFonts w:ascii="Arial" w:cs="Arial" w:eastAsia="Arial" w:hAnsi="Arial"/>
          <w:b/>
          <w:bCs/>
          <w:color w:val="1B3A5C"/>
          <w:sz w:val="24"/>
          <w:szCs w:val="24"/>
        </w:rPr>
        <w:t xml:space="preserve">7.2 Audit Trail Integrity</w:t>
      </w:r>
    </w:p>
    <w:p>
      <w:pPr>
        <w:spacing w:after="160" w:line="276"/>
      </w:pPr>
      <w:r>
        <w:rPr>
          <w:rFonts w:ascii="Arial" w:cs="Arial" w:eastAsia="Arial" w:hAnsi="Arial"/>
          <w:color w:val="333333"/>
          <w:sz w:val="21"/>
          <w:szCs w:val="21"/>
        </w:rPr>
        <w:t xml:space="preserve">Every use case terminates with a sealed audit trail. The audit trail is not a log file—it is a SHA256 hash-chained, append-only evidence record that proves what happened, when it happened, and that the record has not been tampered with. This has legal, regulatory, and insurance implications. Engineering must treat audit trail integrity with the same rigor as flight safety enforcement.</w:t>
      </w:r>
    </w:p>
    <w:p>
      <w:pPr>
        <w:pStyle w:val="Heading2"/>
        <w:spacing w:before="280" w:after="160"/>
      </w:pPr>
      <w:r>
        <w:rPr>
          <w:rFonts w:ascii="Arial" w:cs="Arial" w:eastAsia="Arial" w:hAnsi="Arial"/>
          <w:b/>
          <w:bCs/>
          <w:color w:val="1B3A5C"/>
          <w:sz w:val="24"/>
          <w:szCs w:val="24"/>
        </w:rPr>
        <w:t xml:space="preserve">7.3 Determinism as a Product Feature</w:t>
      </w:r>
    </w:p>
    <w:p>
      <w:pPr>
        <w:spacing w:after="160" w:line="276"/>
      </w:pPr>
      <w:r>
        <w:rPr>
          <w:rFonts w:ascii="Arial" w:cs="Arial" w:eastAsia="Arial" w:hAnsi="Arial"/>
          <w:color w:val="333333"/>
          <w:sz w:val="21"/>
          <w:szCs w:val="21"/>
        </w:rPr>
        <w:t xml:space="preserve">Determinism is not an engineering quality attribute—it is a product feature that differentiates Flightworks from every other GCS. The claim that identical inputs produce identical outputs is what enables certification conversations, insurance trust, and regulatory credibility. Any code path that introduces non-determinism (floating-point ordering, dictionary iteration order, async race conditions) is a product defect, not just a technical bug.</w:t>
      </w:r>
    </w:p>
    <w:p>
      <w:pPr>
        <w:pStyle w:val="Heading2"/>
        <w:spacing w:before="280" w:after="160"/>
      </w:pPr>
      <w:r>
        <w:rPr>
          <w:rFonts w:ascii="Arial" w:cs="Arial" w:eastAsia="Arial" w:hAnsi="Arial"/>
          <w:b/>
          <w:bCs/>
          <w:color w:val="1B3A5C"/>
          <w:sz w:val="24"/>
          <w:szCs w:val="24"/>
        </w:rPr>
        <w:t xml:space="preserve">7.4 Edge-First Architecture</w:t>
      </w:r>
    </w:p>
    <w:p>
      <w:pPr>
        <w:spacing w:after="160" w:line="276"/>
      </w:pPr>
      <w:r>
        <w:rPr>
          <w:rFonts w:ascii="Arial" w:cs="Arial" w:eastAsia="Arial" w:hAnsi="Arial"/>
          <w:color w:val="333333"/>
          <w:sz w:val="21"/>
          <w:szCs w:val="21"/>
        </w:rPr>
        <w:t xml:space="preserve">All use cases assume zero cloud dependency during operation. The GCS must function identically with no internet connection. Post-flight data export may optionally use network connectivity, but mission-critical operations must never depend on it. This constraint applies to ML inference (CoreML on-device), audit logging (local storage), and map data (pre-cached tiles).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830E" w:sz="12"/>
              <w:bottom w:val="none" w:sz="0"/>
              <w:right w:val="none" w:sz="0"/>
            </w:tcBorders>
            <w:shd w:fill="FFF3E0" w:val="clear"/>
            <w:tcMar>
              <w:top w:type="dxa" w:w="100"/>
              <w:left w:type="dxa" w:w="200"/>
              <w:bottom w:type="dxa" w:w="100"/>
              <w:right w:type="dxa" w:w="200"/>
            </w:tcMar>
          </w:tcPr>
          <w:p>
            <w:pPr>
              <w:spacing w:after="60"/>
            </w:pPr>
            <w:r>
              <w:rPr>
                <w:rFonts w:ascii="Arial" w:cs="Arial" w:eastAsia="Arial" w:hAnsi="Arial"/>
                <w:b/>
                <w:bCs/>
                <w:color w:val="D4830E"/>
                <w:sz w:val="20"/>
                <w:szCs w:val="20"/>
              </w:rPr>
              <w:t xml:space="preserve">⚠ ASSUMPTION</w:t>
            </w:r>
          </w:p>
          <w:p>
            <w:pPr>
              <w:spacing w:after="0" w:line="276"/>
            </w:pPr>
            <w:r>
              <w:rPr>
                <w:rFonts w:ascii="Arial" w:cs="Arial" w:eastAsia="Arial" w:hAnsi="Arial"/>
                <w:color w:val="333333"/>
                <w:sz w:val="20"/>
                <w:szCs w:val="20"/>
              </w:rPr>
              <w:t xml:space="preserve">Map tile caching is sufficient for operational area coverage. The operator is responsible for pre-caching map data for their operating area before arriving on site. The system does not download map tiles during flight operations.</w:t>
            </w:r>
          </w:p>
        </w:tc>
      </w:tr>
    </w:tbl>
    <w:p>
      <w:pPr>
        <w:pStyle w:val="Heading2"/>
        <w:spacing w:before="280" w:after="160"/>
      </w:pPr>
      <w:r>
        <w:rPr>
          <w:rFonts w:ascii="Arial" w:cs="Arial" w:eastAsia="Arial" w:hAnsi="Arial"/>
          <w:b/>
          <w:bCs/>
          <w:color w:val="1B3A5C"/>
          <w:sz w:val="24"/>
          <w:szCs w:val="24"/>
        </w:rPr>
        <w:t xml:space="preserve">7.5 Stress-Appropriate Interface Design</w:t>
      </w:r>
    </w:p>
    <w:p>
      <w:pPr>
        <w:spacing w:after="160" w:line="276"/>
      </w:pPr>
      <w:r>
        <w:rPr>
          <w:rFonts w:ascii="Arial" w:cs="Arial" w:eastAsia="Arial" w:hAnsi="Arial"/>
          <w:color w:val="333333"/>
          <w:sz w:val="21"/>
          <w:szCs w:val="21"/>
        </w:rPr>
        <w:t xml:space="preserve">The operator profiles span a stress continuum from routine (survey technician) to extreme (ISR mission commander). Interface design must scale accordingly: large touch targets for gloved or stressed operation, high-contrast palettes for outdoor daylight visibility, minimal mode switching during active flight, and progressive disclosure (critical info always visible, detail available on demand). The fire and ISR use cases operate in conditions where the operator may be fatigued, wearing PPE, or managing multiple simultaneous information streams.</w:t>
      </w:r>
    </w:p>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8. Recommendations for Engineering &amp; Design</w:t>
      </w:r>
    </w:p>
    <w:p>
      <w:pPr>
        <w:pStyle w:val="Heading2"/>
        <w:spacing w:before="280" w:after="160"/>
      </w:pPr>
      <w:r>
        <w:rPr>
          <w:rFonts w:ascii="Arial" w:cs="Arial" w:eastAsia="Arial" w:hAnsi="Arial"/>
          <w:b/>
          <w:bCs/>
          <w:color w:val="1B3A5C"/>
          <w:sz w:val="24"/>
          <w:szCs w:val="24"/>
        </w:rPr>
        <w:t xml:space="preserve">8.1 Engineering Priorities</w:t>
      </w:r>
    </w:p>
    <w:p>
      <w:pPr>
        <w:spacing w:after="160" w:line="276"/>
      </w:pPr>
      <w:r>
        <w:rPr>
          <w:rFonts w:ascii="Arial" w:cs="Arial" w:eastAsia="Arial" w:hAnsi="Arial"/>
          <w:color w:val="333333"/>
          <w:sz w:val="21"/>
          <w:szCs w:val="21"/>
        </w:rPr>
        <w:t xml:space="preserve">Focus Phase 0 on UC-1 and UC-2 (FlightLaw safety enforcement and pre-flight validation). These use cases exercise the core SwiftVector architecture and produce the first demonstrable proof of deterministic governance. UC-4 (Edge Relay) runs in parallel as Phase 1 and should be validated through record/replay testing before integrating with the Swift GCS. UC-3 (Session Replay) is the verification gate for Phase 3—all prior work is validated by replay success.</w:t>
      </w:r>
    </w:p>
    <w:p>
      <w:pPr>
        <w:spacing w:after="160" w:line="276"/>
      </w:pPr>
      <w:r>
        <w:rPr>
          <w:rFonts w:ascii="Arial" w:cs="Arial" w:eastAsia="Arial" w:hAnsi="Arial"/>
          <w:color w:val="333333"/>
          <w:sz w:val="21"/>
          <w:szCs w:val="21"/>
        </w:rPr>
        <w:t xml:space="preserve">The extension point architecture (FR-9 in PRD-FlightworksCore) must be designed with P1 and P2 use cases in mind. ThermalLaw’s ML normalization pipeline, SurveyLaw’s grid generation, and FireLaw’s multi-asset delegation all require different extension patterns. The FlightLaw Reducer must accept jurisdiction-specific actions without modification.</w:t>
      </w:r>
    </w:p>
    <w:p>
      <w:pPr>
        <w:pStyle w:val="Heading2"/>
        <w:spacing w:before="280" w:after="160"/>
      </w:pPr>
      <w:r>
        <w:rPr>
          <w:rFonts w:ascii="Arial" w:cs="Arial" w:eastAsia="Arial" w:hAnsi="Arial"/>
          <w:b/>
          <w:bCs/>
          <w:color w:val="1B3A5C"/>
          <w:sz w:val="24"/>
          <w:szCs w:val="24"/>
        </w:rPr>
        <w:t xml:space="preserve">8.2 Design Priorities</w:t>
      </w:r>
    </w:p>
    <w:p>
      <w:pPr>
        <w:spacing w:after="160" w:line="276"/>
      </w:pPr>
      <w:r>
        <w:rPr>
          <w:rFonts w:ascii="Arial" w:cs="Arial" w:eastAsia="Arial" w:hAnsi="Arial"/>
          <w:color w:val="333333"/>
          <w:sz w:val="21"/>
          <w:szCs w:val="21"/>
        </w:rPr>
        <w:t xml:space="preserve">Begin with the pre-flight screen (UC-2) and the primary flight screen (UC-1). These two screens establish the visual language and interaction patterns for the entire product. The pre-flight screen teaches the operator how FlightLaw enforcement works. The flight screen teaches them what governed flight feels like. Get these right, and every subsequent jurisdiction screen builds on established trust.</w:t>
      </w:r>
    </w:p>
    <w:p>
      <w:pPr>
        <w:spacing w:after="160" w:line="276"/>
      </w:pPr>
      <w:r>
        <w:rPr>
          <w:rFonts w:ascii="Arial" w:cs="Arial" w:eastAsia="Arial" w:hAnsi="Arial"/>
          <w:color w:val="333333"/>
          <w:sz w:val="21"/>
          <w:szCs w:val="21"/>
        </w:rPr>
        <w:t xml:space="preserve">Design for the Remote Pilot profile first (UC-1, UC-2), then extend to domain-specific profiles (Inspection Operator for UC-5, Survey Technician for UC-6). The Fire UAS Supervisor (UC-7) and ISR Mission Commander (UC-8) profiles require substantially different interaction models and should be treated as separate design workstreams when those use cases activate.</w:t>
      </w:r>
    </w:p>
    <w:p>
      <w:pPr>
        <w:pStyle w:val="Heading2"/>
        <w:spacing w:before="280" w:after="160"/>
      </w:pPr>
      <w:r>
        <w:rPr>
          <w:rFonts w:ascii="Arial" w:cs="Arial" w:eastAsia="Arial" w:hAnsi="Arial"/>
          <w:b/>
          <w:bCs/>
          <w:color w:val="1B3A5C"/>
          <w:sz w:val="24"/>
          <w:szCs w:val="24"/>
        </w:rPr>
        <w:t xml:space="preserve">8.3 Validation Strategy</w:t>
      </w:r>
    </w:p>
    <w:p>
      <w:pPr>
        <w:spacing w:after="160" w:line="276"/>
      </w:pPr>
      <w:r>
        <w:rPr>
          <w:rFonts w:ascii="Arial" w:cs="Arial" w:eastAsia="Arial" w:hAnsi="Arial"/>
          <w:color w:val="333333"/>
          <w:sz w:val="21"/>
          <w:szCs w:val="21"/>
        </w:rPr>
        <w:t xml:space="preserve">Every assumption marked in this document represents a validation opportunity. The highest-priority validations are: (1) telemetry staleness thresholds against Skydio X10 SITL behavior, (2) pre-flight check item list completeness against actual PX4 readiness parameters, (3) operator profile accuracy through user interviews with at least one representative of each active profile, and (4) geofence proximity warning threshold through design prototyping and operator feedback.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367D6" w:sz="12"/>
              <w:bottom w:val="none" w:sz="0"/>
              <w:right w:val="none" w:sz="0"/>
            </w:tcBorders>
            <w:shd w:fill="E8F0FE" w:val="clear"/>
            <w:tcMar>
              <w:top w:type="dxa" w:w="100"/>
              <w:left w:type="dxa" w:w="200"/>
              <w:bottom w:type="dxa" w:w="100"/>
              <w:right w:type="dxa" w:w="200"/>
            </w:tcMar>
          </w:tcPr>
          <w:p>
            <w:pPr>
              <w:spacing w:after="60"/>
            </w:pPr>
            <w:r>
              <w:rPr>
                <w:rFonts w:ascii="Arial" w:cs="Arial" w:eastAsia="Arial" w:hAnsi="Arial"/>
                <w:b/>
                <w:bCs/>
                <w:color w:val="3367D6"/>
                <w:sz w:val="20"/>
                <w:szCs w:val="20"/>
              </w:rPr>
              <w:t xml:space="preserve">❓ OPEN QUESTION</w:t>
            </w:r>
          </w:p>
          <w:p>
            <w:pPr>
              <w:spacing w:after="0" w:line="276"/>
            </w:pPr>
            <w:r>
              <w:rPr>
                <w:rFonts w:ascii="Arial" w:cs="Arial" w:eastAsia="Arial" w:hAnsi="Arial"/>
                <w:color w:val="333333"/>
                <w:sz w:val="20"/>
                <w:szCs w:val="20"/>
              </w:rPr>
              <w:t xml:space="preserve">Should we conduct a formal tabletop exercise for UC-7 (FireLaw) with a fire operations SME before committing to the escalation tier model? The Domain Notes recommend domain validation as the first next step. This could be a half-day session that validates or revises multiple assumptions in this brief.</w:t>
            </w:r>
          </w:p>
        </w:tc>
      </w:tr>
    </w:tbl>
    <w:p>
      <w:r>
        <w:br w:type="page"/>
      </w:r>
    </w:p>
    <w:p>
      <w:pPr>
        <w:pStyle w:val="Heading1"/>
        <w:pBdr>
          <w:bottom w:val="single" w:color="1B3A5C" w:sz="4" w:space="4"/>
        </w:pBdr>
        <w:spacing w:before="360" w:after="200"/>
      </w:pPr>
      <w:r>
        <w:rPr>
          <w:rFonts w:ascii="Arial" w:cs="Arial" w:eastAsia="Arial" w:hAnsi="Arial"/>
          <w:b/>
          <w:bCs/>
          <w:color w:val="1B3A5C"/>
          <w:sz w:val="28"/>
          <w:szCs w:val="28"/>
        </w:rPr>
        <w:t xml:space="preserve">Appendix A: Jurisdiction–Law Composition Reference</w:t>
      </w:r>
    </w:p>
    <w:p>
      <w:pPr>
        <w:spacing w:after="160" w:line="276"/>
      </w:pPr>
      <w:r>
        <w:rPr>
          <w:rFonts w:ascii="Arial" w:cs="Arial" w:eastAsia="Arial" w:hAnsi="Arial"/>
          <w:color w:val="333333"/>
          <w:sz w:val="21"/>
          <w:szCs w:val="21"/>
        </w:rPr>
        <w:t xml:space="preserve">This table shows which SwiftVector Laws are activated by each jurisdiction. It provides a quick reference for understanding the governance complexity escalation across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100"/>
        <w:gridCol w:w="1100"/>
        <w:gridCol w:w="11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Law</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FlightLaw</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ThermalLaw</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SurveyLaw</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FireLaw</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ISRLaw</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Governance Domain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Boundary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Containment</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2</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Delegation</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Multi-agent handoff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Observation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Telemetry &amp; readiness</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4</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Resource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Battery, thermals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Sovereignty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Data residency</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6</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Persistence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Memory integrity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Law 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Spatial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Geofence, airspace</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8</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Authority</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Human approval</w:t>
            </w:r>
          </w:p>
        </w:tc>
      </w:tr>
    </w:tbl>
    <w:p>
      <w:pPr>
        <w:spacing w:before="200" w:after="0"/>
      </w:pPr>
    </w:p>
    <w:p>
      <w:pPr>
        <w:pStyle w:val="Heading1"/>
        <w:pBdr>
          <w:bottom w:val="single" w:color="1B3A5C" w:sz="4" w:space="4"/>
        </w:pBdr>
        <w:spacing w:before="360" w:after="200"/>
      </w:pPr>
      <w:r>
        <w:rPr>
          <w:rFonts w:ascii="Arial" w:cs="Arial" w:eastAsia="Arial" w:hAnsi="Arial"/>
          <w:b/>
          <w:bCs/>
          <w:color w:val="1B3A5C"/>
          <w:sz w:val="28"/>
          <w:szCs w:val="28"/>
        </w:rPr>
        <w:t xml:space="preserve">Appendix B: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 to This Brief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PRD-FlightworksCore.md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functional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UC-1 through UC-4 map to these requirements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HLD-FlightworksCore.md</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FlightLaw architecture</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Engineering implementation of UC-1 through UC-4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PRD-FlightworksThermal.md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ThermalLaw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UC-5 detailed specification</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HLD-FlightworksThermal.md</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ThermalLaw architecture</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UC-5 implementation guide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PRD-FlightworksSurvey.md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SurveyLaw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UC-6 detailed specification</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HLD-FlightworksSurvey.md</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SurveyLaw architecture</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UC-6 implementation guide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HLD-FlightworksFire.md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FireLaw architecture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UC-7 implementation guide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HLD-FlightworksISR.md</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ISRLaw architecture</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UC-8 implementation guide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Domain Notes: Perimeter Wildfire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Fire operations domain research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Foundation for UC-7 assumptions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SwiftVector-Codex.md</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Constitutional framework</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Law definitions referenced throughout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ROADMAP.md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Development phases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Phase alignment for use case priorities</w:t>
            </w:r>
          </w:p>
        </w:tc>
      </w:tr>
    </w:tbl>
    <w:p>
      <w:pPr>
        <w:spacing w:before="400" w:after="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Flightworks Aerial LLC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jc w:val="right"/>
    </w:pPr>
    <w:r>
      <w:rPr>
        <w:rFonts w:ascii="Arial" w:cs="Arial" w:eastAsia="Arial" w:hAnsi="Arial"/>
        <w:b/>
        <w:bCs/>
        <w:color w:val="1B3A5C"/>
        <w:sz w:val="16"/>
        <w:szCs w:val="16"/>
      </w:rPr>
      <w:t xml:space="preserve">OPERATIONAL USE CASE BRIEF</w:t>
    </w:r>
    <w:r>
      <w:rPr>
        <w:rFonts w:ascii="Arial" w:cs="Arial" w:eastAsia="Arial" w:hAnsi="Arial"/>
        <w:color w:val="666666"/>
        <w:sz w:val="16"/>
        <w:szCs w:val="16"/>
      </w:rPr>
      <w:t xml:space="preserve">  |  Flightworks Control  |  INTERNAL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2026-02-18T17:01:16.909Z</dcterms:created>
  <dcterms:modified xsi:type="dcterms:W3CDTF">2026-02-18T17:01:16.910Z</dcterms:modified>
</cp:coreProperties>
</file>

<file path=docProps/custom.xml><?xml version="1.0" encoding="utf-8"?>
<Properties xmlns="http://schemas.openxmlformats.org/officeDocument/2006/custom-properties" xmlns:vt="http://schemas.openxmlformats.org/officeDocument/2006/docPropsVTypes"/>
</file>