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3C6E"/>
          <w:sz w:val="52"/>
          <w:szCs w:val="52"/>
        </w:rPr>
        <w:t xml:space="preserve">FESS Simulation Codebase</w:t>
      </w:r>
    </w:p>
    <w:p>
      <w:pPr>
        <w:spacing w:before="0" w:after="40"/>
      </w:pPr>
      <w:r>
        <w:rPr>
          <w:rFonts w:ascii="Arial" w:cs="Arial" w:eastAsia="Arial" w:hAnsi="Arial"/>
          <w:color w:val="2E6DB4"/>
          <w:sz w:val="26"/>
          <w:szCs w:val="26"/>
        </w:rPr>
        <w:t xml:space="preserve">Technical Reference — Terminus Energy Curriculum</w:t>
      </w:r>
    </w:p>
    <w:p>
      <w:pPr>
        <w:spacing w:before="0" w:after="40"/>
      </w:pPr>
      <w:r>
        <w:rPr>
          <w:rFonts w:ascii="Arial" w:cs="Arial" w:eastAsia="Arial" w:hAnsi="Arial"/>
          <w:i/>
          <w:iCs/>
          <w:color w:val="888888"/>
          <w:sz w:val="20"/>
          <w:szCs w:val="20"/>
        </w:rPr>
        <w:t xml:space="preserve">Version 2.0  —  February 2026</w:t>
      </w:r>
    </w:p>
    <w:p>
      <w:pPr>
        <w:pBdr>
          <w:bottom w:val="single" w:color="2E6DB4" w:sz="6" w:space="1"/>
        </w:pBdr>
        <w:spacing w:before="80" w:after="120"/>
      </w:pPr>
    </w:p>
    <w:p>
      <w:pPr>
        <w:pStyle w:val="Heading1"/>
        <w:spacing w:before="360" w:after="120"/>
      </w:pPr>
      <w:r>
        <w:rPr>
          <w:rFonts w:ascii="Arial" w:cs="Arial" w:eastAsia="Arial" w:hAnsi="Arial"/>
          <w:b/>
          <w:bCs/>
          <w:sz w:val="34"/>
          <w:szCs w:val="34"/>
        </w:rPr>
        <w:t xml:space="preserve">Overview</w:t>
      </w:r>
    </w:p>
    <w:p>
      <w:pPr>
        <w:spacing w:before="0" w:after="120"/>
      </w:pPr>
      <w:r>
        <w:rPr>
          <w:rFonts w:ascii="Arial" w:cs="Arial" w:eastAsia="Arial" w:hAnsi="Arial"/>
          <w:sz w:val="20"/>
          <w:szCs w:val="20"/>
        </w:rPr>
        <w:t xml:space="preserve">A physics-accurate Python simulation of a Flywheel Energy Storage System (FESS) plant, purpose-built for modelling grid service revenues. The codebase implements a strict four-layer dependency hierarchy: loss models at the base, a single-unit simulation in the middle, and a fleet-level plant with market simulation at the top.</w:t>
      </w:r>
    </w:p>
    <w:p>
      <w:pPr>
        <w:spacing w:before="80" w:after="0"/>
      </w:pPr>
    </w:p>
    <w:p>
      <w:pPr>
        <w:spacing w:before="0" w:after="120"/>
      </w:pPr>
      <w:r>
        <w:rPr>
          <w:rFonts w:ascii="Arial" w:cs="Arial" w:eastAsia="Arial" w:hAnsi="Arial"/>
          <w:b/>
          <w:bCs/>
          <w:sz w:val="20"/>
          <w:szCs w:val="20"/>
        </w:rPr>
        <w:t xml:space="preserve">6 modules  —  </w:t>
      </w:r>
      <w:r>
        <w:rPr>
          <w:rFonts w:ascii="Arial" w:cs="Arial" w:eastAsia="Arial" w:hAnsi="Arial"/>
          <w:sz w:val="20"/>
          <w:szCs w:val="20"/>
        </w:rPr>
        <w:t xml:space="preserve">3,644 lines  —  Python 3.10+  —  numpy, pandas, matplotlib</w:t>
      </w:r>
    </w:p>
    <w:p>
      <w:pPr>
        <w:spacing w:before="120" w:after="0"/>
      </w:pPr>
    </w:p>
    <w:p>
      <w:pPr>
        <w:spacing w:before="180" w:after="80"/>
      </w:pPr>
      <w:r>
        <w:rPr>
          <w:rFonts w:ascii="Arial" w:cs="Arial" w:eastAsia="Arial" w:hAnsi="Arial"/>
          <w:b/>
          <w:bCs/>
          <w:color w:val="2E6DB4"/>
          <w:sz w:val="22"/>
          <w:szCs w:val="22"/>
        </w:rPr>
        <w:t xml:space="preserve">Module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efficiency_models.py</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PMSM machine loss model, SiC inverter loss model, combined efficiency path</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standby_losses.py</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Decomposed standby losses: 3 mechanical (drain SoC) + 5 auxiliary (grid draw)</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fess_unit.py</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Single-unit simulation — imports efficiency_models + standby_losses</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fess_plant.py</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Fleet plant — imports fess_unit; dispatch, revenue, market simulation</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plots.py</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Centralised visualisation — two 6-panel figures (efficiency + standby)</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example_usage.py</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Worked examples and quick-start demonstrations</w:t>
            </w:r>
          </w:p>
        </w:tc>
      </w:tr>
    </w:tbl>
    <w:p>
      <w:pPr>
        <w:spacing w:before="120" w:after="0"/>
      </w:pPr>
    </w:p>
    <w:p>
      <w:pPr>
        <w:spacing w:before="180" w:after="80"/>
      </w:pPr>
      <w:r>
        <w:rPr>
          <w:rFonts w:ascii="Arial" w:cs="Arial" w:eastAsia="Arial" w:hAnsi="Arial"/>
          <w:b/>
          <w:bCs/>
          <w:color w:val="2E6DB4"/>
          <w:sz w:val="22"/>
          <w:szCs w:val="22"/>
        </w:rPr>
        <w:t xml:space="preserve">Dependency flow</w:t>
      </w:r>
    </w:p>
    <w:p>
      <w:pPr>
        <w:spacing w:before="20" w:after="20"/>
        <w:ind w:left="360"/>
      </w:pPr>
      <w:r>
        <w:rPr>
          <w:rFonts w:ascii="Courier New" w:cs="Courier New" w:eastAsia="Courier New" w:hAnsi="Courier New"/>
          <w:color w:val="2A2A2A"/>
          <w:sz w:val="17"/>
          <w:szCs w:val="17"/>
        </w:rPr>
        <w:t xml:space="preserve">efficiency_models.py  &lt;-- no external FESS dependencies</w:t>
      </w:r>
    </w:p>
    <w:p>
      <w:pPr>
        <w:spacing w:before="20" w:after="20"/>
        <w:ind w:left="360"/>
      </w:pPr>
      <w:r>
        <w:rPr>
          <w:rFonts w:ascii="Courier New" w:cs="Courier New" w:eastAsia="Courier New" w:hAnsi="Courier New"/>
          <w:color w:val="2A2A2A"/>
          <w:sz w:val="17"/>
          <w:szCs w:val="17"/>
        </w:rPr>
        <w:t xml:space="preserve">standby_losses.py     &lt;-- no external FESS dependencies</w:t>
      </w:r>
    </w:p>
    <w:p>
      <w:pPr>
        <w:spacing w:before="20" w:after="20"/>
        <w:ind w:left="360"/>
      </w:pPr>
      <w:r>
        <w:rPr>
          <w:rFonts w:ascii="Courier New" w:cs="Courier New" w:eastAsia="Courier New" w:hAnsi="Courier New"/>
          <w:color w:val="2A2A2A"/>
          <w:sz w:val="17"/>
          <w:szCs w:val="17"/>
        </w:rPr>
        <w:t xml:space="preserve">fess_unit.py          &lt;-- imports efficiency_models, standby_losses</w:t>
      </w:r>
    </w:p>
    <w:p>
      <w:pPr>
        <w:spacing w:before="20" w:after="20"/>
        <w:ind w:left="360"/>
      </w:pPr>
      <w:r>
        <w:rPr>
          <w:rFonts w:ascii="Courier New" w:cs="Courier New" w:eastAsia="Courier New" w:hAnsi="Courier New"/>
          <w:color w:val="2A2A2A"/>
          <w:sz w:val="17"/>
          <w:szCs w:val="17"/>
        </w:rPr>
        <w:t xml:space="preserve">fess_plant.py         &lt;-- imports fess_unit</w:t>
      </w:r>
    </w:p>
    <w:p>
      <w:pPr>
        <w:spacing w:before="20" w:after="20"/>
        <w:ind w:left="360"/>
      </w:pPr>
      <w:r>
        <w:rPr>
          <w:rFonts w:ascii="Courier New" w:cs="Courier New" w:eastAsia="Courier New" w:hAnsi="Courier New"/>
          <w:color w:val="2A2A2A"/>
          <w:sz w:val="17"/>
          <w:szCs w:val="17"/>
        </w:rPr>
        <w:t xml:space="preserve">plots.py              &lt;-- imports all of the above</w:t>
      </w:r>
    </w:p>
    <w:p>
      <w:r>
        <w:br w:type="page"/>
      </w:r>
    </w:p>
    <w:p>
      <w:pPr>
        <w:pStyle w:val="Heading1"/>
        <w:spacing w:before="360" w:after="120"/>
      </w:pPr>
      <w:r>
        <w:rPr>
          <w:rFonts w:ascii="Arial" w:cs="Arial" w:eastAsia="Arial" w:hAnsi="Arial"/>
          <w:b/>
          <w:bCs/>
          <w:sz w:val="34"/>
          <w:szCs w:val="34"/>
        </w:rPr>
        <w:t xml:space="preserve">efficiency_models.py  —  643 lines</w:t>
      </w:r>
    </w:p>
    <w:p>
      <w:pPr>
        <w:spacing w:before="0" w:after="120"/>
      </w:pPr>
      <w:r>
        <w:rPr>
          <w:rFonts w:ascii="Arial" w:cs="Arial" w:eastAsia="Arial" w:hAnsi="Arial"/>
          <w:sz w:val="20"/>
          <w:szCs w:val="20"/>
        </w:rPr>
        <w:t xml:space="preserve">Physics-grounded efficiency curves for the two components in the electrical conversion path. All loss coefficients are dimensionless fractions of rated power, making the model independent of machine size and directly scalable.</w:t>
      </w:r>
    </w:p>
    <w:p>
      <w:pPr>
        <w:pStyle w:val="Heading2"/>
        <w:spacing w:before="260" w:after="100"/>
      </w:pPr>
      <w:r>
        <w:rPr>
          <w:rFonts w:ascii="Arial" w:cs="Arial" w:eastAsia="Arial" w:hAnsi="Arial"/>
          <w:b/>
          <w:bCs/>
          <w:sz w:val="26"/>
          <w:szCs w:val="26"/>
        </w:rPr>
        <w:t xml:space="preserve">1.  Electric Machine  —  MachineParams / MachineEfficiency</w:t>
      </w:r>
    </w:p>
    <w:p>
      <w:pPr>
        <w:spacing w:before="0" w:after="120"/>
      </w:pPr>
      <w:r>
        <w:rPr>
          <w:rFonts w:ascii="Arial" w:cs="Arial" w:eastAsia="Arial" w:hAnsi="Arial"/>
          <w:sz w:val="20"/>
          <w:szCs w:val="20"/>
        </w:rPr>
        <w:t xml:space="preserve">Models a permanent-magnet synchronous machine (PMSM/IPMSM) operating as motor during charging and generator during discharging. Four distinct loss mechanisms are separately parameterised.</w:t>
      </w:r>
    </w:p>
    <w:p>
      <w:pPr>
        <w:spacing w:before="60" w:after="0"/>
      </w:pPr>
    </w:p>
    <w:p>
      <w:pPr>
        <w:spacing w:before="180" w:after="80"/>
      </w:pPr>
      <w:r>
        <w:rPr>
          <w:rFonts w:ascii="Arial" w:cs="Arial" w:eastAsia="Arial" w:hAnsi="Arial"/>
          <w:b/>
          <w:bCs/>
          <w:color w:val="2E6DB4"/>
          <w:sz w:val="22"/>
          <w:szCs w:val="22"/>
        </w:rPr>
        <w:t xml:space="preserve">Loss decomposition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226"/>
      </w:tblGrid>
      <w:tr>
        <w:tc>
          <w:tcPr>
            <w:tcW w:type="dxa" w:w="23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Loss term</w:t>
            </w:r>
          </w:p>
        </w:tc>
        <w:tc>
          <w:tcPr>
            <w:tcW w:type="dxa" w:w="22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Formula (fraction of Pᵣₑᵯ)</w:t>
            </w:r>
          </w:p>
        </w:tc>
        <w:tc>
          <w:tcPr>
            <w:tcW w:type="dxa" w:w="23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Speed scaling</w:t>
            </w:r>
          </w:p>
        </w:tc>
        <w:tc>
          <w:tcPr>
            <w:tcW w:type="dxa" w:w="22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Default</w:t>
            </w:r>
          </w:p>
        </w:tc>
      </w:tr>
      <w:tr>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Copper  (I²R stator)</w:t>
            </w:r>
          </w:p>
        </w:tc>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k_copper × (P/ω)²</w:t>
            </w:r>
          </w:p>
        </w:tc>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High at low speed / high torque</w:t>
            </w:r>
          </w:p>
        </w:tc>
        <w:tc>
          <w:tcPr>
            <w:tcW w:type="dxa" w:w="2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k_copper = 0.018</w:t>
            </w:r>
          </w:p>
        </w:tc>
      </w:tr>
      <w:tr>
        <w:tc>
          <w:tcPr>
            <w:tcW w:type="dxa" w:w="23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Iron eddy current</w:t>
            </w:r>
          </w:p>
        </w:tc>
        <w:tc>
          <w:tcPr>
            <w:tcW w:type="dxa" w:w="2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k_iron_eddy × ω²</w:t>
            </w:r>
          </w:p>
        </w:tc>
        <w:tc>
          <w:tcPr>
            <w:tcW w:type="dxa" w:w="23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Increases with speed²</w:t>
            </w:r>
          </w:p>
        </w:tc>
        <w:tc>
          <w:tcPr>
            <w:tcW w:type="dxa" w:w="2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k_iron_eddy = 0.008</w:t>
            </w:r>
          </w:p>
        </w:tc>
      </w:tr>
      <w:tr>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Iron hysteresis</w:t>
            </w:r>
          </w:p>
        </w:tc>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k_iron_hyst × ω</w:t>
            </w:r>
          </w:p>
        </w:tc>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Increases with speed</w:t>
            </w:r>
          </w:p>
        </w:tc>
        <w:tc>
          <w:tcPr>
            <w:tcW w:type="dxa" w:w="2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k_iron_hyst = 0.004</w:t>
            </w:r>
          </w:p>
        </w:tc>
      </w:tr>
      <w:tr>
        <w:tc>
          <w:tcPr>
            <w:tcW w:type="dxa" w:w="23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Windage / friction</w:t>
            </w:r>
          </w:p>
        </w:tc>
        <w:tc>
          <w:tcPr>
            <w:tcW w:type="dxa" w:w="2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k_windage × ω^exp</w:t>
            </w:r>
          </w:p>
        </w:tc>
        <w:tc>
          <w:tcPr>
            <w:tcW w:type="dxa" w:w="23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0.0 for vacuum AMB machines</w:t>
            </w:r>
          </w:p>
        </w:tc>
        <w:tc>
          <w:tcPr>
            <w:tcW w:type="dxa" w:w="2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k_windage = 0.0</w:t>
            </w:r>
          </w:p>
        </w:tc>
      </w:tr>
      <w:tr>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Stray losses</w:t>
            </w:r>
          </w:p>
        </w:tc>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k_stray</w:t>
            </w:r>
          </w:p>
        </w:tc>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Constant</w:t>
            </w:r>
          </w:p>
        </w:tc>
        <w:tc>
          <w:tcPr>
            <w:tcW w:type="dxa" w:w="2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k_stray = 0.002</w:t>
            </w:r>
          </w:p>
        </w:tc>
      </w:tr>
    </w:tbl>
    <w:p>
      <w:pPr>
        <w:spacing w:before="80" w:after="0"/>
      </w:pPr>
    </w:p>
    <w:p>
      <w:pPr>
        <w:spacing w:before="0" w:after="120"/>
      </w:pPr>
      <w:r>
        <w:rPr>
          <w:rFonts w:ascii="Arial" w:cs="Arial" w:eastAsia="Arial" w:hAnsi="Arial"/>
          <w:b/>
          <w:bCs/>
          <w:sz w:val="20"/>
          <w:szCs w:val="20"/>
        </w:rPr>
        <w:t xml:space="preserve">Vacuum / AMB note: </w:t>
      </w:r>
      <w:r>
        <w:rPr>
          <w:rFonts w:ascii="Arial" w:cs="Arial" w:eastAsia="Arial" w:hAnsi="Arial"/>
          <w:sz w:val="20"/>
          <w:szCs w:val="20"/>
        </w:rPr>
        <w:t xml:space="preserve">k_windage defaults to 0.0 for vacuum-housed active magnetic bearing machines. All bearing drag is fully decomposed in standby_losses.py. Setting k_windage non-zero alongside those terms creates double-counting.</w:t>
      </w:r>
    </w:p>
    <w:p>
      <w:pPr>
        <w:spacing w:before="60" w:after="0"/>
      </w:pPr>
    </w:p>
    <w:p>
      <w:pPr>
        <w:spacing w:before="0" w:after="120"/>
      </w:pPr>
      <w:r>
        <w:rPr>
          <w:rFonts w:ascii="Arial" w:cs="Arial" w:eastAsia="Arial" w:hAnsi="Arial"/>
          <w:b/>
          <w:bCs/>
          <w:sz w:val="20"/>
          <w:szCs w:val="20"/>
        </w:rPr>
        <w:t xml:space="preserve">Total loss at rated operating point: </w:t>
      </w:r>
      <w:r>
        <w:rPr>
          <w:rFonts w:ascii="Arial" w:cs="Arial" w:eastAsia="Arial" w:hAnsi="Arial"/>
          <w:sz w:val="20"/>
          <w:szCs w:val="20"/>
        </w:rPr>
        <w:t xml:space="preserve">3.2%  (k_copper + k_iron_eddy + k_iron_hyst + k_stray = 0.032)</w:t>
      </w:r>
    </w:p>
    <w:p>
      <w:pPr>
        <w:spacing w:before="0" w:after="120"/>
      </w:pPr>
      <w:r>
        <w:rPr>
          <w:rFonts w:ascii="Arial" w:cs="Arial" w:eastAsia="Arial" w:hAnsi="Arial"/>
          <w:b/>
          <w:bCs/>
          <w:sz w:val="20"/>
          <w:szCs w:val="20"/>
        </w:rPr>
        <w:t xml:space="preserve">Peak efficiency: </w:t>
      </w:r>
      <w:r>
        <w:rPr>
          <w:rFonts w:ascii="Arial" w:cs="Arial" w:eastAsia="Arial" w:hAnsi="Arial"/>
          <w:sz w:val="20"/>
          <w:szCs w:val="20"/>
        </w:rPr>
        <w:t xml:space="preserve">≈ 97.5% at rated speed, ~75% load  (improved from 97.0% by zeroing k_windage)</w:t>
      </w:r>
    </w:p>
    <w:p>
      <w:pPr>
        <w:spacing w:before="80" w:after="0"/>
      </w:pPr>
    </w:p>
    <w:p>
      <w:pPr>
        <w:spacing w:before="180" w:after="80"/>
      </w:pPr>
      <w:r>
        <w:rPr>
          <w:rFonts w:ascii="Arial" w:cs="Arial" w:eastAsia="Arial" w:hAnsi="Arial"/>
          <w:b/>
          <w:bCs/>
          <w:color w:val="2E6DB4"/>
          <w:sz w:val="22"/>
          <w:szCs w:val="22"/>
        </w:rPr>
        <w:t xml:space="preserve">Efficiency expressions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eta_motoring(p, sr)</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η = p / (p + L_total)   — charging: losses add to electrical input</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eta_generating(p, sr)</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η = (p − L_total) / p   — discharging: losses subtract from shaft output</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loss_kw(p, sr)</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Returns absolute loss in kW at (power_pu, speed_ratio) operating point</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fit_from_data(...)</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Least-squares curve-fit of all 5 coefficients from measured η map data</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efficiency_map(...)</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Returns 2-D (speed, power, eta) arrays for lookup tables or plotting</w:t>
            </w:r>
          </w:p>
        </w:tc>
      </w:tr>
    </w:tbl>
    <w:p>
      <w:pPr>
        <w:spacing w:before="120" w:after="0"/>
      </w:pPr>
    </w:p>
    <w:p>
      <w:pPr>
        <w:pStyle w:val="Heading2"/>
        <w:spacing w:before="260" w:after="100"/>
      </w:pPr>
      <w:r>
        <w:rPr>
          <w:rFonts w:ascii="Arial" w:cs="Arial" w:eastAsia="Arial" w:hAnsi="Arial"/>
          <w:b/>
          <w:bCs/>
          <w:sz w:val="26"/>
          <w:szCs w:val="26"/>
        </w:rPr>
        <w:t xml:space="preserve">2.  Bidirectional Inverter  —  InverterParams / InverterEfficiency</w:t>
      </w:r>
    </w:p>
    <w:p>
      <w:pPr>
        <w:spacing w:before="0" w:after="120"/>
      </w:pPr>
      <w:r>
        <w:rPr>
          <w:rFonts w:ascii="Arial" w:cs="Arial" w:eastAsia="Arial" w:hAnsi="Arial"/>
          <w:sz w:val="20"/>
          <w:szCs w:val="20"/>
        </w:rPr>
        <w:t xml:space="preserve">Models a SiC-based bidirectional DC/AC power conversion stage (PCS). Loss model is symmetric in both charge and discharge directions and depends only on AC power magnitude, not on rotor speed.</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26"/>
      </w:tblGrid>
      <w:tr>
        <w:tc>
          <w:tcPr>
            <w:tcW w:type="dxa" w:w="20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Loss term</w:t>
            </w:r>
          </w:p>
        </w:tc>
        <w:tc>
          <w:tcPr>
            <w:tcW w:type="dxa" w:w="22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Formula</w:t>
            </w:r>
          </w:p>
        </w:tc>
        <w:tc>
          <w:tcPr>
            <w:tcW w:type="dxa" w:w="30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Physical basis</w:t>
            </w:r>
          </w:p>
        </w:tc>
        <w:tc>
          <w:tcPr>
            <w:tcW w:type="dxa" w:w="18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Default</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Switching</w:t>
            </w:r>
          </w:p>
        </w:tc>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k_switch × |P|</w:t>
            </w:r>
          </w:p>
        </w:tc>
        <w:tc>
          <w:tcPr>
            <w:tcW w:type="dxa" w:w="3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Fixed energy/transition × switching frequency, I ∝ P</w:t>
            </w:r>
          </w:p>
        </w:tc>
        <w:tc>
          <w:tcPr>
            <w:tcW w:type="dxa" w:w="1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k_switch = 0.008</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Conduction</w:t>
            </w:r>
          </w:p>
        </w:tc>
        <w:tc>
          <w:tcPr>
            <w:tcW w:type="dxa" w:w="2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k_cond × P²</w:t>
            </w:r>
          </w:p>
        </w:tc>
        <w:tc>
          <w:tcPr>
            <w:tcW w:type="dxa" w:w="3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I²R through device on-resistance and inductor ESR</w:t>
            </w:r>
          </w:p>
        </w:tc>
        <w:tc>
          <w:tcPr>
            <w:tcW w:type="dxa" w:w="1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k_cond = 0.006</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Fixed</w:t>
            </w:r>
          </w:p>
        </w:tc>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k_fixed</w:t>
            </w:r>
          </w:p>
        </w:tc>
        <w:tc>
          <w:tcPr>
            <w:tcW w:type="dxa" w:w="3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Gate drivers, control boards, auxiliary supplies</w:t>
            </w:r>
          </w:p>
        </w:tc>
        <w:tc>
          <w:tcPr>
            <w:tcW w:type="dxa" w:w="1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k_fixed = 0.002</w:t>
            </w:r>
          </w:p>
        </w:tc>
      </w:tr>
    </w:tbl>
    <w:p>
      <w:pPr>
        <w:spacing w:before="80" w:after="0"/>
      </w:pPr>
    </w:p>
    <w:p>
      <w:pPr>
        <w:spacing w:before="0" w:after="120"/>
      </w:pPr>
      <w:r>
        <w:rPr>
          <w:rFonts w:ascii="Arial" w:cs="Arial" w:eastAsia="Arial" w:hAnsi="Arial"/>
          <w:b/>
          <w:bCs/>
          <w:sz w:val="20"/>
          <w:szCs w:val="20"/>
        </w:rPr>
        <w:t xml:space="preserve">Total loss at rated: </w:t>
      </w:r>
      <w:r>
        <w:rPr>
          <w:rFonts w:ascii="Arial" w:cs="Arial" w:eastAsia="Arial" w:hAnsi="Arial"/>
          <w:sz w:val="20"/>
          <w:szCs w:val="20"/>
        </w:rPr>
        <w:t xml:space="preserve">1.6%   Peak efficiency ≈ 98.5% at ~35% load (SiC double-hump curve)</w:t>
      </w:r>
    </w:p>
    <w:p>
      <w:pPr>
        <w:spacing w:before="80" w:after="0"/>
      </w:pPr>
    </w:p>
    <w:p>
      <w:pPr>
        <w:spacing w:before="180" w:after="80"/>
      </w:pPr>
      <w:r>
        <w:rPr>
          <w:rFonts w:ascii="Arial" w:cs="Arial" w:eastAsia="Arial" w:hAnsi="Arial"/>
          <w:b/>
          <w:bCs/>
          <w:color w:val="2E6DB4"/>
          <w:sz w:val="22"/>
          <w:szCs w:val="22"/>
        </w:rPr>
        <w:t xml:space="preserve">Combined model  —  FESSEfficiencyModel</w:t>
      </w:r>
    </w:p>
    <w:p>
      <w:pPr>
        <w:spacing w:before="0" w:after="120"/>
      </w:pPr>
      <w:r>
        <w:rPr>
          <w:rFonts w:ascii="Arial" w:cs="Arial" w:eastAsia="Arial" w:hAnsi="Arial"/>
          <w:sz w:val="20"/>
          <w:szCs w:val="20"/>
        </w:rPr>
        <w:t xml:space="preserve">Chains machine and inverter in series to give the one-way efficiencies used by FESSUnit at every timestep.</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eta_charge(p, sr)</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η_inv(p) × η_motor(p, sr)   — fraction of grid energy stored as kinetic energy</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eta_discharge(p, sr)</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η_gen(p, sr) × η_inv(p)    — fraction of flywheel energy delivered to grid</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eta_roundtrip(p, sr)</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eta_charge × eta_discharge at a single operating point</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operating_point_summary(p,sr)</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Full loss breakdown dict: machine_loss_kw, inverter_loss_kw, all eta values</w:t>
            </w:r>
          </w:p>
        </w:tc>
      </w:tr>
    </w:tbl>
    <w:p>
      <w:r>
        <w:br w:type="page"/>
      </w:r>
    </w:p>
    <w:p>
      <w:pPr>
        <w:pStyle w:val="Heading1"/>
        <w:spacing w:before="360" w:after="120"/>
      </w:pPr>
      <w:r>
        <w:rPr>
          <w:rFonts w:ascii="Arial" w:cs="Arial" w:eastAsia="Arial" w:hAnsi="Arial"/>
          <w:b/>
          <w:bCs/>
          <w:sz w:val="34"/>
          <w:szCs w:val="34"/>
        </w:rPr>
        <w:t xml:space="preserve">standby_losses.py  —  487 lines</w:t>
      </w:r>
    </w:p>
    <w:p>
      <w:pPr>
        <w:spacing w:before="0" w:after="120"/>
      </w:pPr>
      <w:r>
        <w:rPr>
          <w:rFonts w:ascii="Arial" w:cs="Arial" w:eastAsia="Arial" w:hAnsi="Arial"/>
          <w:sz w:val="20"/>
          <w:szCs w:val="20"/>
        </w:rPr>
        <w:t xml:space="preserve">Decomposed model of all losses that occur when the unit is spinning but not actively charging or discharging. The fundamental design principle is a strict split between two energy accounting channels.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Mechanical losses</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Drain flywheel kinetic energy — directly reduce SoC each timestep. Speed-dependent.</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Electrical auxiliary losses</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Drawn from the grid connection — do not affect SoC. Separately tracked in plant revenue.</w:t>
            </w:r>
          </w:p>
        </w:tc>
      </w:tr>
    </w:tbl>
    <w:p>
      <w:pPr>
        <w:spacing w:before="120" w:after="0"/>
      </w:pPr>
    </w:p>
    <w:p>
      <w:pPr>
        <w:pStyle w:val="Heading2"/>
        <w:spacing w:before="260" w:after="100"/>
      </w:pPr>
      <w:r>
        <w:rPr>
          <w:rFonts w:ascii="Arial" w:cs="Arial" w:eastAsia="Arial" w:hAnsi="Arial"/>
          <w:b/>
          <w:bCs/>
          <w:sz w:val="26"/>
          <w:szCs w:val="26"/>
        </w:rPr>
        <w:t xml:space="preserve">Mechanical losses  (drain flywheel SoC)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700"/>
        <w:gridCol w:w="2326"/>
      </w:tblGrid>
      <w:tr>
        <w:tc>
          <w:tcPr>
            <w:tcW w:type="dxa" w:w="26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Component</w:t>
            </w:r>
          </w:p>
        </w:tc>
        <w:tc>
          <w:tcPr>
            <w:tcW w:type="dxa" w:w="24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Scaling law</w:t>
            </w:r>
          </w:p>
        </w:tc>
        <w:tc>
          <w:tcPr>
            <w:tcW w:type="dxa" w:w="17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Rated-speed value</w:t>
            </w:r>
          </w:p>
        </w:tc>
        <w:tc>
          <w:tcPr>
            <w:tcW w:type="dxa" w:w="23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Parameter</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Aerodynamic drag</w:t>
            </w:r>
          </w:p>
        </w:tc>
        <w:tc>
          <w:tcPr>
            <w:tcW w:type="dxa" w:w="2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k_aero × ω³</w:t>
            </w:r>
          </w:p>
        </w:tc>
        <w:tc>
          <w:tcPr>
            <w:tcW w:type="dxa" w:w="17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10 W</w:t>
            </w:r>
          </w:p>
        </w:tc>
        <w:tc>
          <w:tcPr>
            <w:tcW w:type="dxa" w:w="23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k_aero_w</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TMB eddy currents</w:t>
            </w:r>
          </w:p>
        </w:tc>
        <w:tc>
          <w:tcPr>
            <w:tcW w:type="dxa" w:w="2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k_tmb_eddy × ω²</w:t>
            </w:r>
          </w:p>
        </w:tc>
        <w:tc>
          <w:tcPr>
            <w:tcW w:type="dxa" w:w="17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50 W</w:t>
            </w:r>
          </w:p>
        </w:tc>
        <w:tc>
          <w:tcPr>
            <w:tcW w:type="dxa" w:w="23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k_tmb_eddy_w</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RMB eddy (sync.)</w:t>
            </w:r>
          </w:p>
        </w:tc>
        <w:tc>
          <w:tcPr>
            <w:tcW w:type="dxa" w:w="2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k_rmb_sync × ω²</w:t>
            </w:r>
          </w:p>
        </w:tc>
        <w:tc>
          <w:tcPr>
            <w:tcW w:type="dxa" w:w="17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50 W</w:t>
            </w:r>
          </w:p>
        </w:tc>
        <w:tc>
          <w:tcPr>
            <w:tcW w:type="dxa" w:w="23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k_rmb_eddy_sync_w</w:t>
            </w:r>
          </w:p>
        </w:tc>
      </w:tr>
    </w:tbl>
    <w:p>
      <w:pPr>
        <w:spacing w:before="60" w:after="0"/>
      </w:pPr>
    </w:p>
    <w:p>
      <w:pPr>
        <w:spacing w:before="0" w:after="120"/>
      </w:pPr>
      <w:r>
        <w:rPr>
          <w:rFonts w:ascii="Arial" w:cs="Arial" w:eastAsia="Arial" w:hAnsi="Arial"/>
          <w:sz w:val="20"/>
          <w:szCs w:val="20"/>
        </w:rPr>
        <w:t xml:space="preserve">Total mechanical loss at rated speed: 110 W. Self-discharge rate is approximately constant with speed because stored energy scales as ω² and the dominant eddy terms also scale as ω².</w:t>
      </w:r>
    </w:p>
    <w:p>
      <w:pPr>
        <w:spacing w:before="120" w:after="0"/>
      </w:pPr>
    </w:p>
    <w:p>
      <w:pPr>
        <w:pStyle w:val="Heading2"/>
        <w:spacing w:before="260" w:after="100"/>
      </w:pPr>
      <w:r>
        <w:rPr>
          <w:rFonts w:ascii="Arial" w:cs="Arial" w:eastAsia="Arial" w:hAnsi="Arial"/>
          <w:b/>
          <w:bCs/>
          <w:sz w:val="26"/>
          <w:szCs w:val="26"/>
        </w:rPr>
        <w:t xml:space="preserve">Electrical auxiliary losses  (drawn from 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500"/>
        <w:gridCol w:w="2126"/>
      </w:tblGrid>
      <w:tr>
        <w:tc>
          <w:tcPr>
            <w:tcW w:type="dxa" w:w="23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Component</w:t>
            </w:r>
          </w:p>
        </w:tc>
        <w:tc>
          <w:tcPr>
            <w:tcW w:type="dxa" w:w="21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Scaling law</w:t>
            </w:r>
          </w:p>
        </w:tc>
        <w:tc>
          <w:tcPr>
            <w:tcW w:type="dxa" w:w="25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Value</w:t>
            </w:r>
          </w:p>
        </w:tc>
        <w:tc>
          <w:tcPr>
            <w:tcW w:type="dxa" w:w="21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Parameter</w:t>
            </w:r>
          </w:p>
        </w:tc>
      </w:tr>
      <w:tr>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TMB bias coil</w:t>
            </w:r>
          </w:p>
        </w:tc>
        <w:tc>
          <w:tcPr>
            <w:tcW w:type="dxa" w:w="21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Constant</w:t>
            </w:r>
          </w:p>
        </w:tc>
        <w:tc>
          <w:tcPr>
            <w:tcW w:type="dxa" w:w="25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150 W</w:t>
            </w:r>
          </w:p>
        </w:tc>
        <w:tc>
          <w:tcPr>
            <w:tcW w:type="dxa" w:w="21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p_tmb_bias_w</w:t>
            </w:r>
          </w:p>
        </w:tc>
      </w:tr>
      <w:tr>
        <w:tc>
          <w:tcPr>
            <w:tcW w:type="dxa" w:w="23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RMB bias coils</w:t>
            </w:r>
          </w:p>
        </w:tc>
        <w:tc>
          <w:tcPr>
            <w:tcW w:type="dxa" w:w="21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k_rmb_bias × ω²</w:t>
            </w:r>
          </w:p>
        </w:tc>
        <w:tc>
          <w:tcPr>
            <w:tcW w:type="dxa" w:w="25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160 W @ rated speed</w:t>
            </w:r>
          </w:p>
        </w:tc>
        <w:tc>
          <w:tcPr>
            <w:tcW w:type="dxa" w:w="21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k_rmb_bias_w</w:t>
            </w:r>
          </w:p>
        </w:tc>
      </w:tr>
      <w:tr>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RMB eddy (PWM)</w:t>
            </w:r>
          </w:p>
        </w:tc>
        <w:tc>
          <w:tcPr>
            <w:tcW w:type="dxa" w:w="21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Constant (electrical)</w:t>
            </w:r>
          </w:p>
        </w:tc>
        <w:tc>
          <w:tcPr>
            <w:tcW w:type="dxa" w:w="25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25 W  — amplifier-side, NOT mechanical</w:t>
            </w:r>
          </w:p>
        </w:tc>
        <w:tc>
          <w:tcPr>
            <w:tcW w:type="dxa" w:w="21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p_rmb_eddy_pwm_w</w:t>
            </w:r>
          </w:p>
        </w:tc>
      </w:tr>
      <w:tr>
        <w:tc>
          <w:tcPr>
            <w:tcW w:type="dxa" w:w="23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Cooling chiller</w:t>
            </w:r>
          </w:p>
        </w:tc>
        <w:tc>
          <w:tcPr>
            <w:tcW w:type="dxa" w:w="21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Constant</w:t>
            </w:r>
          </w:p>
        </w:tc>
        <w:tc>
          <w:tcPr>
            <w:tcW w:type="dxa" w:w="25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465 W  (COP = 30, design-point)</w:t>
            </w:r>
          </w:p>
        </w:tc>
        <w:tc>
          <w:tcPr>
            <w:tcW w:type="dxa" w:w="21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p_cooling_w</w:t>
            </w:r>
          </w:p>
        </w:tc>
      </w:tr>
      <w:tr>
        <w:tc>
          <w:tcPr>
            <w:tcW w:type="dxa" w:w="23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Vacuum pump</w:t>
            </w:r>
          </w:p>
        </w:tc>
        <w:tc>
          <w:tcPr>
            <w:tcW w:type="dxa" w:w="21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Intermittent 2.1% duty</w:t>
            </w:r>
          </w:p>
        </w:tc>
        <w:tc>
          <w:tcPr>
            <w:tcW w:type="dxa" w:w="25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800 W peak / ~17 W average</w:t>
            </w:r>
          </w:p>
        </w:tc>
        <w:tc>
          <w:tcPr>
            <w:tcW w:type="dxa" w:w="21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p_vacuum_pump_w</w:t>
            </w:r>
          </w:p>
        </w:tc>
      </w:tr>
    </w:tbl>
    <w:p>
      <w:pPr>
        <w:spacing w:before="80" w:after="0"/>
      </w:pPr>
    </w:p>
    <w:p>
      <w:pPr>
        <w:spacing w:before="0" w:after="120"/>
      </w:pPr>
      <w:r>
        <w:rPr>
          <w:rFonts w:ascii="Arial" w:cs="Arial" w:eastAsia="Arial" w:hAnsi="Arial"/>
          <w:b/>
          <w:bCs/>
          <w:sz w:val="20"/>
          <w:szCs w:val="20"/>
        </w:rPr>
        <w:t xml:space="preserve">PWM eddy clarification: </w:t>
      </w:r>
      <w:r>
        <w:rPr>
          <w:rFonts w:ascii="Arial" w:cs="Arial" w:eastAsia="Arial" w:hAnsi="Arial"/>
          <w:sz w:val="20"/>
          <w:szCs w:val="20"/>
        </w:rPr>
        <w:t xml:space="preserve">p_rmb_eddy_pwm_w is an ELECTRICAL auxiliary loss. High-frequency flux ripple from the bearing amplifier carrier (~10–20 kHz) induces eddy currents in the rotor journal, but the energy source is the amplifier power supply (grid), not the flywheel. It is correctly classified as auxiliary grid draw, not mechanical drain.</w:t>
      </w:r>
    </w:p>
    <w:p>
      <w:pPr>
        <w:spacing w:before="80" w:after="0"/>
      </w:pPr>
    </w:p>
    <w:p>
      <w:pPr>
        <w:spacing w:before="0" w:after="120"/>
      </w:pPr>
      <w:r>
        <w:rPr>
          <w:rFonts w:ascii="Arial" w:cs="Arial" w:eastAsia="Arial" w:hAnsi="Arial"/>
          <w:b/>
          <w:bCs/>
          <w:sz w:val="20"/>
          <w:szCs w:val="20"/>
        </w:rPr>
        <w:t xml:space="preserve">Cooling basis: </w:t>
      </w:r>
      <w:r>
        <w:rPr>
          <w:rFonts w:ascii="Arial" w:cs="Arial" w:eastAsia="Arial" w:hAnsi="Arial"/>
          <w:sz w:val="20"/>
          <w:szCs w:val="20"/>
        </w:rPr>
        <w:t xml:space="preserve">465 W sized for rated operating-point heat load (bearings + machine + inverter ≈ 13,935 W) with COP = 30. Constant design-point value; acts as a conservative worst-case.</w:t>
      </w:r>
    </w:p>
    <w:p>
      <w:pPr>
        <w:spacing w:before="80" w:after="0"/>
      </w:pPr>
    </w:p>
    <w:p>
      <w:pPr>
        <w:spacing w:before="0" w:after="120"/>
      </w:pPr>
      <w:r>
        <w:rPr>
          <w:rFonts w:ascii="Arial" w:cs="Arial" w:eastAsia="Arial" w:hAnsi="Arial"/>
          <w:b/>
          <w:bCs/>
          <w:sz w:val="20"/>
          <w:szCs w:val="20"/>
        </w:rPr>
        <w:t xml:space="preserve">Vacuum pump: </w:t>
      </w:r>
      <w:r>
        <w:rPr>
          <w:rFonts w:ascii="Arial" w:cs="Arial" w:eastAsia="Arial" w:hAnsi="Arial"/>
          <w:sz w:val="20"/>
          <w:szCs w:val="20"/>
        </w:rPr>
        <w:t xml:space="preserve">Phase accumulator tracks cycle position (300 s on / 14,400 s off). Time-accurate across any timestep size including when a step spans a pump on/off transition.</w:t>
      </w:r>
    </w:p>
    <w:p>
      <w:pPr>
        <w:spacing w:before="120" w:after="0"/>
      </w:pPr>
    </w:p>
    <w:p>
      <w:pPr>
        <w:pStyle w:val="Heading2"/>
        <w:spacing w:before="260" w:after="100"/>
      </w:pPr>
      <w:r>
        <w:rPr>
          <w:rFonts w:ascii="Arial" w:cs="Arial" w:eastAsia="Arial" w:hAnsi="Arial"/>
          <w:b/>
          <w:bCs/>
          <w:sz w:val="26"/>
          <w:szCs w:val="26"/>
        </w:rPr>
        <w:t xml:space="preserve">Key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Class</w:t>
            </w:r>
          </w:p>
        </w:tc>
        <w:tc>
          <w:tcPr>
            <w:tcW w:type="dxa" w:w="34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Role</w:t>
            </w:r>
          </w:p>
        </w:tc>
        <w:tc>
          <w:tcPr>
            <w:tcW w:type="dxa" w:w="30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Notable detail</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StandbyLossParams</w:t>
            </w:r>
          </w:p>
        </w:tc>
        <w:tc>
          <w:tcPr>
            <w:tcW w:type="dxa" w:w="3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Dataclass — 10 parameters with physical units (W)</w:t>
            </w:r>
          </w:p>
        </w:tc>
        <w:tc>
          <w:tcPr>
            <w:tcW w:type="dxa" w:w="3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Validated in __post_init__</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StandbyLossBreakdown</w:t>
            </w:r>
          </w:p>
        </w:tc>
        <w:tc>
          <w:tcPr>
            <w:tcW w:type="dxa" w:w="3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Dataclass — per-timestep result</w:t>
            </w:r>
          </w:p>
        </w:tc>
        <w:tc>
          <w:tcPr>
            <w:tcW w:type="dxa" w:w="3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8 component powers + totals + energy in kWh</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StandbyLossModel</w:t>
            </w:r>
          </w:p>
        </w:tc>
        <w:tc>
          <w:tcPr>
            <w:tcW w:type="dxa" w:w="3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Stateful accumulator with vacuum pump phase tracking</w:t>
            </w:r>
          </w:p>
        </w:tc>
        <w:tc>
          <w:tcPr>
            <w:tcW w:type="dxa" w:w="3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compute(), summary(), reset(), instantaneous_power_profile()</w:t>
            </w:r>
          </w:p>
        </w:tc>
      </w:tr>
    </w:tbl>
    <w:p>
      <w:r>
        <w:br w:type="page"/>
      </w:r>
    </w:p>
    <w:p>
      <w:pPr>
        <w:pStyle w:val="Heading1"/>
        <w:spacing w:before="360" w:after="120"/>
      </w:pPr>
      <w:r>
        <w:rPr>
          <w:rFonts w:ascii="Arial" w:cs="Arial" w:eastAsia="Arial" w:hAnsi="Arial"/>
          <w:b/>
          <w:bCs/>
          <w:sz w:val="34"/>
          <w:szCs w:val="34"/>
        </w:rPr>
        <w:t xml:space="preserve">fess_unit.py  —  512 lines</w:t>
      </w:r>
    </w:p>
    <w:p>
      <w:pPr>
        <w:spacing w:before="0" w:after="120"/>
      </w:pPr>
      <w:r>
        <w:rPr>
          <w:rFonts w:ascii="Arial" w:cs="Arial" w:eastAsia="Arial" w:hAnsi="Arial"/>
          <w:sz w:val="20"/>
          <w:szCs w:val="20"/>
        </w:rPr>
        <w:t xml:space="preserve">Simulates a single flywheel unit timestep-by-timestep. Composes the efficiency model and standby loss model into a complete physical unit with state machine, ramp limits, SoC constraints, and per-timestep telemetry.</w:t>
      </w:r>
    </w:p>
    <w:p>
      <w:pPr>
        <w:pStyle w:val="Heading2"/>
        <w:spacing w:before="260" w:after="100"/>
      </w:pPr>
      <w:r>
        <w:rPr>
          <w:rFonts w:ascii="Arial" w:cs="Arial" w:eastAsia="Arial" w:hAnsi="Arial"/>
          <w:b/>
          <w:bCs/>
          <w:sz w:val="26"/>
          <w:szCs w:val="26"/>
        </w:rPr>
        <w:t xml:space="preserve">Core physics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Kinetic energy</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 = ½Iω²  ⇒  SoC_frac = (ω/ω_max)²</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Speed ratio</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sr = √(SoC_frac)  ∈  [min_speed_ratio, 1.0]</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Power available</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P_avail = P_rated × sr   (linear speed limit — torque is the physical constraint)</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Charge SoC update</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SoC += P_grid × Δt × η_c(p, sr)   (efficiency evaluated at actual operating point each step)</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Discharge SoC update</w:t>
            </w:r>
          </w:p>
        </w:tc>
        <w:tc>
          <w:tcPr>
            <w:tcW w:type="dxa" w:w="6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SoC -= P_shaft × Δt   where  P_grid = P_shaft × η_d(p, sr)</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Standby every step</w:t>
            </w:r>
          </w:p>
        </w:tc>
        <w:tc>
          <w:tcPr>
            <w:tcW w:type="dxa" w:w="6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SoC -= P_mech × Δt   (mechanical drain only; auxiliary → plant-level grid draw)</w:t>
            </w:r>
          </w:p>
        </w:tc>
      </w:tr>
    </w:tbl>
    <w:p>
      <w:pPr>
        <w:spacing w:before="120" w:after="0"/>
      </w:pPr>
    </w:p>
    <w:p>
      <w:pPr>
        <w:pStyle w:val="Heading2"/>
        <w:spacing w:before="260" w:after="100"/>
      </w:pPr>
      <w:r>
        <w:rPr>
          <w:rFonts w:ascii="Arial" w:cs="Arial" w:eastAsia="Arial" w:hAnsi="Arial"/>
          <w:b/>
          <w:bCs/>
          <w:sz w:val="26"/>
          <w:szCs w:val="26"/>
        </w:rPr>
        <w:t xml:space="preserve">FESSParams  —  design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Parameter</w:t>
            </w:r>
          </w:p>
        </w:tc>
        <w:tc>
          <w:tcPr>
            <w:tcW w:type="dxa" w:w="20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Default</w:t>
            </w:r>
          </w:p>
        </w:tc>
        <w:tc>
          <w:tcPr>
            <w:tcW w:type="dxa" w:w="42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Description</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rated_power_kw</w:t>
            </w:r>
          </w:p>
        </w:tc>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250 kW</w:t>
            </w:r>
          </w:p>
        </w:tc>
        <w:tc>
          <w:tcPr>
            <w:tcW w:type="dxa" w:w="4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Nameplate power</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rated_energy_kwh</w:t>
            </w:r>
          </w:p>
        </w:tc>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16.67 kWh</w:t>
            </w:r>
          </w:p>
        </w:tc>
        <w:tc>
          <w:tcPr>
            <w:tcW w:type="dxa" w:w="4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~15 min duration at rated power</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min_speed_ratio</w:t>
            </w:r>
          </w:p>
        </w:tc>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0.20</w:t>
            </w:r>
          </w:p>
        </w:tc>
        <w:tc>
          <w:tcPr>
            <w:tcW w:type="dxa" w:w="4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SoC floor: (0.20)² = 4% of rated energy</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max_speed_ratio</w:t>
            </w:r>
          </w:p>
        </w:tc>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1.00</w:t>
            </w:r>
          </w:p>
        </w:tc>
        <w:tc>
          <w:tcPr>
            <w:tcW w:type="dxa" w:w="4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SoC ceiling</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ramp_rate_kw_per_sec</w:t>
            </w:r>
          </w:p>
        </w:tc>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500 kW/s</w:t>
            </w:r>
          </w:p>
        </w:tc>
        <w:tc>
          <w:tcPr>
            <w:tcW w:type="dxa" w:w="4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Power electronics slew rate limit</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machine_params</w:t>
            </w:r>
          </w:p>
        </w:tc>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MachineParams()</w:t>
            </w:r>
          </w:p>
        </w:tc>
        <w:tc>
          <w:tcPr>
            <w:tcW w:type="dxa" w:w="4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Defaults or custom loss coefficients</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inverter_params</w:t>
            </w:r>
          </w:p>
        </w:tc>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InverterParams()</w:t>
            </w:r>
          </w:p>
        </w:tc>
        <w:tc>
          <w:tcPr>
            <w:tcW w:type="dxa" w:w="42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Defaults or custom loss coefficients</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standby_params</w:t>
            </w:r>
          </w:p>
        </w:tc>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StandbyLossParams()</w:t>
            </w:r>
          </w:p>
        </w:tc>
        <w:tc>
          <w:tcPr>
            <w:tcW w:type="dxa" w:w="42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Defaults or custom standby values</w:t>
            </w:r>
          </w:p>
        </w:tc>
      </w:tr>
    </w:tbl>
    <w:p>
      <w:pPr>
        <w:spacing w:before="120" w:after="0"/>
      </w:pPr>
    </w:p>
    <w:p>
      <w:pPr>
        <w:pStyle w:val="Heading2"/>
        <w:spacing w:before="260" w:after="100"/>
      </w:pPr>
      <w:r>
        <w:rPr>
          <w:rFonts w:ascii="Arial" w:cs="Arial" w:eastAsia="Arial" w:hAnsi="Arial"/>
          <w:b/>
          <w:bCs/>
          <w:sz w:val="26"/>
          <w:szCs w:val="26"/>
        </w:rPr>
        <w:t xml:space="preserve">step()  —  simulation timestep sequence</w:t>
      </w:r>
    </w:p>
    <w:p>
      <w:pPr>
        <w:spacing w:before="0" w:after="120"/>
      </w:pPr>
      <w:r>
        <w:rPr>
          <w:rFonts w:ascii="Arial" w:cs="Arial" w:eastAsia="Arial" w:hAnsi="Arial"/>
          <w:sz w:val="20"/>
          <w:szCs w:val="20"/>
        </w:rPr>
        <w:t xml:space="preserve">Every call to step(power_setpoint_kw, dt_hours) executes in this fixed order:</w:t>
      </w:r>
    </w:p>
    <w:p>
      <w:pPr>
        <w:spacing w:before="40" w:after="0"/>
      </w:pPr>
    </w:p>
    <w:p>
      <w:pPr>
        <w:pStyle w:val="ListParagraph"/>
        <w:numPr>
          <w:ilvl w:val="0"/>
          <w:numId w:val="2"/>
        </w:numPr>
        <w:spacing w:before="40" w:after="40"/>
      </w:pPr>
      <w:r>
        <w:rPr>
          <w:rFonts w:ascii="Arial" w:cs="Arial" w:eastAsia="Arial" w:hAnsi="Arial"/>
          <w:b/>
          <w:bCs/>
          <w:sz w:val="20"/>
          <w:szCs w:val="20"/>
        </w:rPr>
        <w:t xml:space="preserve">1. </w:t>
      </w:r>
      <w:r>
        <w:rPr>
          <w:rFonts w:ascii="Arial" w:cs="Arial" w:eastAsia="Arial" w:hAnsi="Arial"/>
          <w:sz w:val="20"/>
          <w:szCs w:val="20"/>
        </w:rPr>
        <w:t xml:space="preserve">Standby losses: </w:t>
      </w:r>
      <w:r>
        <w:rPr>
          <w:rFonts w:ascii="Courier New" w:cs="Courier New" w:eastAsia="Courier New" w:hAnsi="Courier New"/>
          <w:color w:val="2A2A2A"/>
          <w:sz w:val="17"/>
          <w:szCs w:val="17"/>
        </w:rPr>
        <w:t xml:space="preserve">StandbyLossModel.compute()</w:t>
      </w:r>
      <w:r>
        <w:rPr>
          <w:rFonts w:ascii="Arial" w:cs="Arial" w:eastAsia="Arial" w:hAnsi="Arial"/>
          <w:sz w:val="20"/>
          <w:szCs w:val="20"/>
        </w:rPr>
        <w:t xml:space="preserve"> drains mechanical losses from SoC, returns full breakdown</w:t>
      </w:r>
    </w:p>
    <w:p>
      <w:pPr>
        <w:pStyle w:val="ListParagraph"/>
        <w:numPr>
          <w:ilvl w:val="0"/>
          <w:numId w:val="2"/>
        </w:numPr>
        <w:spacing w:before="40" w:after="40"/>
      </w:pPr>
      <w:r>
        <w:rPr>
          <w:rFonts w:ascii="Arial" w:cs="Arial" w:eastAsia="Arial" w:hAnsi="Arial"/>
          <w:b/>
          <w:bCs/>
          <w:sz w:val="20"/>
          <w:szCs w:val="20"/>
        </w:rPr>
        <w:t xml:space="preserve">2. </w:t>
      </w:r>
      <w:r>
        <w:rPr>
          <w:rFonts w:ascii="Arial" w:cs="Arial" w:eastAsia="Arial" w:hAnsi="Arial"/>
          <w:sz w:val="20"/>
          <w:szCs w:val="20"/>
        </w:rPr>
        <w:t xml:space="preserve">Speed ratio updated from current SoC: sr = sqrt(soc_frac)</w:t>
      </w:r>
    </w:p>
    <w:p>
      <w:pPr>
        <w:pStyle w:val="ListParagraph"/>
        <w:numPr>
          <w:ilvl w:val="0"/>
          <w:numId w:val="2"/>
        </w:numPr>
        <w:spacing w:before="40" w:after="40"/>
      </w:pPr>
      <w:r>
        <w:rPr>
          <w:rFonts w:ascii="Arial" w:cs="Arial" w:eastAsia="Arial" w:hAnsi="Arial"/>
          <w:b/>
          <w:bCs/>
          <w:sz w:val="20"/>
          <w:szCs w:val="20"/>
        </w:rPr>
        <w:t xml:space="preserve">3. </w:t>
      </w:r>
      <w:r>
        <w:rPr>
          <w:rFonts w:ascii="Arial" w:cs="Arial" w:eastAsia="Arial" w:hAnsi="Arial"/>
          <w:sz w:val="20"/>
          <w:szCs w:val="20"/>
        </w:rPr>
        <w:t xml:space="preserve">Ramp limit: clamp power change to ±ramp_rate_kw_per_sec × dt_sec</w:t>
      </w:r>
    </w:p>
    <w:p>
      <w:pPr>
        <w:pStyle w:val="ListParagraph"/>
        <w:numPr>
          <w:ilvl w:val="0"/>
          <w:numId w:val="2"/>
        </w:numPr>
        <w:spacing w:before="40" w:after="40"/>
      </w:pPr>
      <w:r>
        <w:rPr>
          <w:rFonts w:ascii="Arial" w:cs="Arial" w:eastAsia="Arial" w:hAnsi="Arial"/>
          <w:b/>
          <w:bCs/>
          <w:sz w:val="20"/>
          <w:szCs w:val="20"/>
        </w:rPr>
        <w:t xml:space="preserve">4. </w:t>
      </w:r>
      <w:r>
        <w:rPr>
          <w:rFonts w:ascii="Arial" w:cs="Arial" w:eastAsia="Arial" w:hAnsi="Arial"/>
          <w:sz w:val="20"/>
          <w:szCs w:val="20"/>
        </w:rPr>
        <w:t xml:space="preserve">Charge or discharge branch: clip setpoint to available power and SoC limits</w:t>
      </w:r>
    </w:p>
    <w:p>
      <w:pPr>
        <w:pStyle w:val="ListParagraph"/>
        <w:numPr>
          <w:ilvl w:val="0"/>
          <w:numId w:val="2"/>
        </w:numPr>
        <w:spacing w:before="40" w:after="40"/>
      </w:pPr>
      <w:r>
        <w:rPr>
          <w:rFonts w:ascii="Arial" w:cs="Arial" w:eastAsia="Arial" w:hAnsi="Arial"/>
          <w:b/>
          <w:bCs/>
          <w:sz w:val="20"/>
          <w:szCs w:val="20"/>
        </w:rPr>
        <w:t xml:space="preserve">5. </w:t>
      </w:r>
      <w:r>
        <w:rPr>
          <w:rFonts w:ascii="Arial" w:cs="Arial" w:eastAsia="Arial" w:hAnsi="Arial"/>
          <w:sz w:val="20"/>
          <w:szCs w:val="20"/>
        </w:rPr>
        <w:t xml:space="preserve">Efficiency evaluated at actual (p_pu, sr) — not a fixed scalar</w:t>
      </w:r>
    </w:p>
    <w:p>
      <w:pPr>
        <w:pStyle w:val="ListParagraph"/>
        <w:numPr>
          <w:ilvl w:val="0"/>
          <w:numId w:val="2"/>
        </w:numPr>
        <w:spacing w:before="40" w:after="40"/>
      </w:pPr>
      <w:r>
        <w:rPr>
          <w:rFonts w:ascii="Arial" w:cs="Arial" w:eastAsia="Arial" w:hAnsi="Arial"/>
          <w:b/>
          <w:bCs/>
          <w:sz w:val="20"/>
          <w:szCs w:val="20"/>
        </w:rPr>
        <w:t xml:space="preserve">6. </w:t>
      </w:r>
      <w:r>
        <w:rPr>
          <w:rFonts w:ascii="Arial" w:cs="Arial" w:eastAsia="Arial" w:hAnsi="Arial"/>
          <w:sz w:val="20"/>
          <w:szCs w:val="20"/>
        </w:rPr>
        <w:t xml:space="preserve">SoC updated, cumulative counters incremented, cycle counter advanced</w:t>
      </w:r>
    </w:p>
    <w:p>
      <w:pPr>
        <w:pStyle w:val="ListParagraph"/>
        <w:numPr>
          <w:ilvl w:val="0"/>
          <w:numId w:val="2"/>
        </w:numPr>
        <w:spacing w:before="40" w:after="40"/>
      </w:pPr>
      <w:r>
        <w:rPr>
          <w:rFonts w:ascii="Arial" w:cs="Arial" w:eastAsia="Arial" w:hAnsi="Arial"/>
          <w:b/>
          <w:bCs/>
          <w:sz w:val="20"/>
          <w:szCs w:val="20"/>
        </w:rPr>
        <w:t xml:space="preserve">7. </w:t>
      </w:r>
      <w:r>
        <w:rPr>
          <w:rFonts w:ascii="Arial" w:cs="Arial" w:eastAsia="Arial" w:hAnsi="Arial"/>
          <w:sz w:val="20"/>
          <w:szCs w:val="20"/>
        </w:rPr>
        <w:t xml:space="preserve">FESSSnapshot assembled and returned (optionally appended to history)</w:t>
      </w:r>
    </w:p>
    <w:p>
      <w:pPr>
        <w:spacing w:before="120" w:after="0"/>
      </w:pPr>
    </w:p>
    <w:p>
      <w:pPr>
        <w:pStyle w:val="Heading2"/>
        <w:spacing w:before="260" w:after="100"/>
      </w:pPr>
      <w:r>
        <w:rPr>
          <w:rFonts w:ascii="Arial" w:cs="Arial" w:eastAsia="Arial" w:hAnsi="Arial"/>
          <w:b/>
          <w:bCs/>
          <w:sz w:val="26"/>
          <w:szCs w:val="26"/>
        </w:rPr>
        <w:t xml:space="preserve">FESSSnapshot  —  per-timestep telemetry (25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Field group</w:t>
            </w:r>
          </w:p>
        </w:tc>
        <w:tc>
          <w:tcPr>
            <w:tcW w:type="dxa" w:w="42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Fields</w:t>
            </w:r>
          </w:p>
        </w:tc>
        <w:tc>
          <w:tcPr>
            <w:tcW w:type="dxa" w:w="28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Notes</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State</w:t>
            </w:r>
          </w:p>
        </w:tc>
        <w:tc>
          <w:tcPr>
            <w:tcW w:type="dxa" w:w="4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time_h, state, soc_kwh, soc_frac, speed_ratio</w:t>
            </w:r>
          </w:p>
        </w:tc>
        <w:tc>
          <w:tcPr>
            <w:tcW w:type="dxa" w:w="2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FESSState: IDLE / CHARGING / DISCHARGING / FAULT</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Power</w:t>
            </w:r>
          </w:p>
        </w:tc>
        <w:tc>
          <w:tcPr>
            <w:tcW w:type="dxa" w:w="4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power_kw, power_available_kw</w:t>
            </w:r>
          </w:p>
        </w:tc>
        <w:tc>
          <w:tcPr>
            <w:tcW w:type="dxa" w:w="2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+ve = charging, −ve = discharging</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Mech. standby</w:t>
            </w:r>
          </w:p>
        </w:tc>
        <w:tc>
          <w:tcPr>
            <w:tcW w:type="dxa" w:w="4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standby_aero_w, standby_tmb_eddy_w, standby_rmb_eddy_sync_w, standby_mechanical_kw</w:t>
            </w:r>
          </w:p>
        </w:tc>
        <w:tc>
          <w:tcPr>
            <w:tcW w:type="dxa" w:w="2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Drain SoC</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Aux. standby</w:t>
            </w:r>
          </w:p>
        </w:tc>
        <w:tc>
          <w:tcPr>
            <w:tcW w:type="dxa" w:w="4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standby_tmb_bias_w, standby_rmb_bias_w, standby_rmb_eddy_pwm_w, standby_cooling_w, standby_vacuum_w, standby_auxiliary_kw, vacuum_pump_running</w:t>
            </w:r>
          </w:p>
        </w:tc>
        <w:tc>
          <w:tcPr>
            <w:tcW w:type="dxa" w:w="2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Grid draw</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Conversion</w:t>
            </w:r>
          </w:p>
        </w:tc>
        <w:tc>
          <w:tcPr>
            <w:tcW w:type="dxa" w:w="4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machine_loss_kw, inverter_loss_kw, eta_actual</w:t>
            </w:r>
          </w:p>
        </w:tc>
        <w:tc>
          <w:tcPr>
            <w:tcW w:type="dxa" w:w="2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Realised one-way efficiency this step</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Energy flows</w:t>
            </w:r>
          </w:p>
        </w:tc>
        <w:tc>
          <w:tcPr>
            <w:tcW w:type="dxa" w:w="4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energy_charged_kwh, energy_discharged_kwh, grid_energy_consumed_kwh, grid_energy_delivered_kwh</w:t>
            </w:r>
          </w:p>
        </w:tc>
        <w:tc>
          <w:tcPr>
            <w:tcW w:type="dxa" w:w="2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Shaft-side and grid-side</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Cumulative</w:t>
            </w:r>
          </w:p>
        </w:tc>
        <w:tc>
          <w:tcPr>
            <w:tcW w:type="dxa" w:w="4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cumulative_operating_hours, equivalent_full_cycles</w:t>
            </w:r>
          </w:p>
        </w:tc>
        <w:tc>
          <w:tcPr>
            <w:tcW w:type="dxa" w:w="2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No degradation model; cycles for monitoring</w:t>
            </w:r>
          </w:p>
        </w:tc>
      </w:tr>
    </w:tbl>
    <w:p>
      <w:r>
        <w:br w:type="page"/>
      </w:r>
    </w:p>
    <w:p>
      <w:pPr>
        <w:pStyle w:val="Heading1"/>
        <w:spacing w:before="360" w:after="120"/>
      </w:pPr>
      <w:r>
        <w:rPr>
          <w:rFonts w:ascii="Arial" w:cs="Arial" w:eastAsia="Arial" w:hAnsi="Arial"/>
          <w:b/>
          <w:bCs/>
          <w:sz w:val="34"/>
          <w:szCs w:val="34"/>
        </w:rPr>
        <w:t xml:space="preserve">fess_plant.py  —  1,050 lines</w:t>
      </w:r>
    </w:p>
    <w:p>
      <w:pPr>
        <w:spacing w:before="0" w:after="120"/>
      </w:pPr>
      <w:r>
        <w:rPr>
          <w:rFonts w:ascii="Arial" w:cs="Arial" w:eastAsia="Arial" w:hAnsi="Arial"/>
          <w:sz w:val="20"/>
          <w:szCs w:val="20"/>
        </w:rPr>
        <w:t xml:space="preserve">Fleet-level orchestration. Translates a single plant-level power setpoint into per-unit setpoints, applies the grid interface, tracks revenue by market service, and exposes market simulation helpers for day-ahead, intraday, and ancillary service back-testing.</w:t>
      </w:r>
    </w:p>
    <w:p>
      <w:pPr>
        <w:pStyle w:val="Heading2"/>
        <w:spacing w:before="260" w:after="100"/>
      </w:pPr>
      <w:r>
        <w:rPr>
          <w:rFonts w:ascii="Arial" w:cs="Arial" w:eastAsia="Arial" w:hAnsi="Arial"/>
          <w:b/>
          <w:bCs/>
          <w:sz w:val="26"/>
          <w:szCs w:val="26"/>
        </w:rPr>
        <w:t xml:space="preserve">GridInterfaceParams  —  plant grid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326"/>
      </w:tblGrid>
      <w:tr>
        <w:tc>
          <w:tcPr>
            <w:tcW w:type="dxa" w:w="29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Parameter</w:t>
            </w:r>
          </w:p>
        </w:tc>
        <w:tc>
          <w:tcPr>
            <w:tcW w:type="dxa" w:w="18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Default</w:t>
            </w:r>
          </w:p>
        </w:tc>
        <w:tc>
          <w:tcPr>
            <w:tcW w:type="dxa" w:w="43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Description</w:t>
            </w:r>
          </w:p>
        </w:tc>
      </w:tr>
      <w:tr>
        <w:tc>
          <w:tcPr>
            <w:tcW w:type="dxa" w:w="29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transformer_capacity_kva</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10,000 kVA</w:t>
            </w:r>
          </w:p>
        </w:tc>
        <w:tc>
          <w:tcPr>
            <w:tcW w:type="dxa" w:w="43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Plant transformer rating</w:t>
            </w:r>
          </w:p>
        </w:tc>
      </w:tr>
      <w:tr>
        <w:tc>
          <w:tcPr>
            <w:tcW w:type="dxa" w:w="29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transformer_efficiency</w:t>
            </w:r>
          </w:p>
        </w:tc>
        <w:tc>
          <w:tcPr>
            <w:tcW w:type="dxa" w:w="1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0.995</w:t>
            </w:r>
          </w:p>
        </w:tc>
        <w:tc>
          <w:tcPr>
            <w:tcW w:type="dxa" w:w="43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~0.5% transformer losses on all flows</w:t>
            </w:r>
          </w:p>
        </w:tc>
      </w:tr>
      <w:tr>
        <w:tc>
          <w:tcPr>
            <w:tcW w:type="dxa" w:w="29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central_inverter_efficiency</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1.0</w:t>
            </w:r>
          </w:p>
        </w:tc>
        <w:tc>
          <w:tcPr>
            <w:tcW w:type="dxa" w:w="43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Shared PCS efficiency (see topology note below)</w:t>
            </w:r>
          </w:p>
        </w:tc>
      </w:tr>
      <w:tr>
        <w:tc>
          <w:tcPr>
            <w:tcW w:type="dxa" w:w="29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auxiliary_load_kw</w:t>
            </w:r>
          </w:p>
        </w:tc>
        <w:tc>
          <w:tcPr>
            <w:tcW w:type="dxa" w:w="1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50 kW</w:t>
            </w:r>
          </w:p>
        </w:tc>
        <w:tc>
          <w:tcPr>
            <w:tcW w:type="dxa" w:w="43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HVAC, controls, site services — always consumed</w:t>
            </w:r>
          </w:p>
        </w:tc>
      </w:tr>
      <w:tr>
        <w:tc>
          <w:tcPr>
            <w:tcW w:type="dxa" w:w="29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power_factor</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0.95</w:t>
            </w:r>
          </w:p>
        </w:tc>
        <w:tc>
          <w:tcPr>
            <w:tcW w:type="dxa" w:w="43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Target PF at grid connection point</w:t>
            </w:r>
          </w:p>
        </w:tc>
      </w:tr>
      <w:tr>
        <w:tc>
          <w:tcPr>
            <w:tcW w:type="dxa" w:w="29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max_ramp_rate_kw_per_min</w:t>
            </w:r>
          </w:p>
        </w:tc>
        <w:tc>
          <w:tcPr>
            <w:tcW w:type="dxa" w:w="1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5,000 kW/min</w:t>
            </w:r>
          </w:p>
        </w:tc>
        <w:tc>
          <w:tcPr>
            <w:tcW w:type="dxa" w:w="43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Plant-level grid code ramp limit</w:t>
            </w:r>
          </w:p>
        </w:tc>
      </w:tr>
      <w:tr>
        <w:tc>
          <w:tcPr>
            <w:tcW w:type="dxa" w:w="29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frequency_deadband_hz</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0.02 Hz</w:t>
            </w:r>
          </w:p>
        </w:tc>
        <w:tc>
          <w:tcPr>
            <w:tcW w:type="dxa" w:w="43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FCR activation threshold</w:t>
            </w:r>
          </w:p>
        </w:tc>
      </w:tr>
      <w:tr>
        <w:tc>
          <w:tcPr>
            <w:tcW w:type="dxa" w:w="29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nominal_frequency_hz</w:t>
            </w:r>
          </w:p>
        </w:tc>
        <w:tc>
          <w:tcPr>
            <w:tcW w:type="dxa" w:w="1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50.0 Hz</w:t>
            </w:r>
          </w:p>
        </w:tc>
        <w:tc>
          <w:tcPr>
            <w:tcW w:type="dxa" w:w="43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50 Hz EU / 60 Hz US — set per market</w:t>
            </w:r>
          </w:p>
        </w:tc>
      </w:tr>
    </w:tbl>
    <w:p>
      <w:pPr>
        <w:spacing w:before="80" w:after="0"/>
      </w:pPr>
    </w:p>
    <w:p>
      <w:pPr>
        <w:spacing w:before="0" w:after="120"/>
      </w:pPr>
      <w:r>
        <w:rPr>
          <w:rFonts w:ascii="Arial" w:cs="Arial" w:eastAsia="Arial" w:hAnsi="Arial"/>
          <w:b/>
          <w:bCs/>
          <w:sz w:val="20"/>
          <w:szCs w:val="20"/>
        </w:rPr>
        <w:t xml:space="preserve">Central inverter topology note: </w:t>
      </w:r>
      <w:r>
        <w:rPr>
          <w:rFonts w:ascii="Arial" w:cs="Arial" w:eastAsia="Arial" w:hAnsi="Arial"/>
          <w:sz w:val="20"/>
          <w:szCs w:val="20"/>
        </w:rPr>
        <w:t xml:space="preserve">Three topologies are supported. Topology A (distributed AC): each unit has its own AC inverter, set central_inverter_efficiency=1.0. Topology B (centralised DC bus): one shared PCS, per-unit inverter losses should be zeroed, set central_inverter_efficiency to PCS efficiency (typ. 0.982–0.992). Topology C (hybrid): both levels of conversion loss apply.</w:t>
      </w:r>
    </w:p>
    <w:p>
      <w:pPr>
        <w:spacing w:before="120" w:after="0"/>
      </w:pPr>
    </w:p>
    <w:p>
      <w:pPr>
        <w:pStyle w:val="Heading2"/>
        <w:spacing w:before="260" w:after="100"/>
      </w:pPr>
      <w:r>
        <w:rPr>
          <w:rFonts w:ascii="Arial" w:cs="Arial" w:eastAsia="Arial" w:hAnsi="Arial"/>
          <w:b/>
          <w:bCs/>
          <w:sz w:val="26"/>
          <w:szCs w:val="26"/>
        </w:rPr>
        <w:t xml:space="preserve">Dispatch strategies  —  DispatchStrategy enum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EQUAL_SHARE</w:t>
            </w:r>
          </w:p>
        </w:tc>
        <w:tc>
          <w:tcPr>
            <w:tcW w:type="dxa" w:w="6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Split setpoint equally across all available units</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PRIORITY</w:t>
            </w:r>
          </w:p>
        </w:tc>
        <w:tc>
          <w:tcPr>
            <w:tcW w:type="dxa" w:w="6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Fill units sequentially by index; last active unit partially loaded</w:t>
            </w:r>
          </w:p>
        </w:tc>
      </w:tr>
      <w:tr>
        <w:tc>
          <w:tcPr>
            <w:tcW w:type="dxa" w:w="2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SOC_BALANCED</w:t>
            </w:r>
          </w:p>
        </w:tc>
        <w:tc>
          <w:tcPr>
            <w:tcW w:type="dxa" w:w="6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Weight each unit's allocation by SoC deviation from fleet mean — keeps fleet balanced</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DROOP</w:t>
            </w:r>
          </w:p>
        </w:tc>
        <w:tc>
          <w:tcPr>
            <w:tcW w:type="dxa" w:w="6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Power proportional to available headroom; approximates FCR frequency droop response</w:t>
            </w:r>
          </w:p>
        </w:tc>
      </w:tr>
    </w:tbl>
    <w:p>
      <w:pPr>
        <w:spacing w:before="120" w:after="0"/>
      </w:pPr>
    </w:p>
    <w:p>
      <w:pPr>
        <w:pStyle w:val="Heading2"/>
        <w:spacing w:before="260" w:after="100"/>
      </w:pPr>
      <w:r>
        <w:rPr>
          <w:rFonts w:ascii="Arial" w:cs="Arial" w:eastAsia="Arial" w:hAnsi="Arial"/>
          <w:b/>
          <w:bCs/>
          <w:sz w:val="26"/>
          <w:szCs w:val="26"/>
        </w:rPr>
        <w:t xml:space="preserve">Market services  —  MarketService enum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FCR</w:t>
            </w:r>
          </w:p>
        </w:tc>
        <w:tc>
          <w:tcPr>
            <w:tcW w:type="dxa" w:w="6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Primary frequency containment reserve — symmetric ±P, continuous availability</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AFRR</w:t>
            </w:r>
          </w:p>
        </w:tc>
        <w:tc>
          <w:tcPr>
            <w:tcW w:type="dxa" w:w="6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Automatic secondary regulation — AGC signal following</w:t>
            </w:r>
          </w:p>
        </w:tc>
      </w:tr>
      <w:tr>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MFRR</w:t>
            </w:r>
          </w:p>
        </w:tc>
        <w:tc>
          <w:tcPr>
            <w:tcW w:type="dxa" w:w="6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Manual tertiary reserve — notification-to-activate, minutes to hours hold</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ARBITRAGE</w:t>
            </w:r>
          </w:p>
        </w:tc>
        <w:tc>
          <w:tcPr>
            <w:tcW w:type="dxa" w:w="6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Energy price spread — charge cheap, discharge expensive; net revenue = delivery revenue − charge cost</w:t>
            </w:r>
          </w:p>
        </w:tc>
      </w:tr>
      <w:tr>
        <w:tc>
          <w:tcPr>
            <w:tcW w:type="dxa" w:w="22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SYNTHETIC_INERTIA</w:t>
            </w:r>
          </w:p>
        </w:tc>
        <w:tc>
          <w:tcPr>
            <w:tcW w:type="dxa" w:w="6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Fast RoCoF response — sub-second activation</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NONE</w:t>
            </w:r>
          </w:p>
        </w:tc>
        <w:tc>
          <w:tcPr>
            <w:tcW w:type="dxa" w:w="6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No active service this timestep (standby / idle)</w:t>
            </w:r>
          </w:p>
        </w:tc>
      </w:tr>
    </w:tbl>
    <w:p>
      <w:pPr>
        <w:spacing w:before="120" w:after="0"/>
      </w:pPr>
    </w:p>
    <w:p>
      <w:pPr>
        <w:pStyle w:val="Heading2"/>
        <w:spacing w:before="260" w:after="100"/>
      </w:pPr>
      <w:r>
        <w:rPr>
          <w:rFonts w:ascii="Arial" w:cs="Arial" w:eastAsia="Arial" w:hAnsi="Arial"/>
          <w:b/>
          <w:bCs/>
          <w:sz w:val="26"/>
          <w:szCs w:val="26"/>
        </w:rPr>
        <w:t xml:space="preserve">RevenueServiceConfig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Field</w:t>
            </w:r>
          </w:p>
        </w:tc>
        <w:tc>
          <w:tcPr>
            <w:tcW w:type="dxa" w:w="18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Default</w:t>
            </w:r>
          </w:p>
        </w:tc>
        <w:tc>
          <w:tcPr>
            <w:tcW w:type="dxa" w:w="44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Purpose</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service</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MarketService</w:t>
            </w:r>
          </w:p>
        </w:tc>
        <w:tc>
          <w:tcPr>
            <w:tcW w:type="dxa" w:w="44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Which service this config applies to</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capacity_mw</w:t>
            </w:r>
          </w:p>
        </w:tc>
        <w:tc>
          <w:tcPr>
            <w:tcW w:type="dxa" w:w="1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0.0</w:t>
            </w:r>
          </w:p>
        </w:tc>
        <w:tc>
          <w:tcPr>
            <w:tcW w:type="dxa" w:w="44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Contracted MW for availability payments</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price_per_mw_h</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0.0</w:t>
            </w:r>
          </w:p>
        </w:tc>
        <w:tc>
          <w:tcPr>
            <w:tcW w:type="dxa" w:w="44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$/MW/h availability payment rate</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charge_price_per_mwh</w:t>
            </w:r>
          </w:p>
        </w:tc>
        <w:tc>
          <w:tcPr>
            <w:tcW w:type="dxa" w:w="1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0.0</w:t>
            </w:r>
          </w:p>
        </w:tc>
        <w:tc>
          <w:tcPr>
            <w:tcW w:type="dxa" w:w="44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Energy cost of charging (arbitrage); defaults to spot price if 0</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soc_target_frac</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0.5</w:t>
            </w:r>
          </w:p>
        </w:tc>
        <w:tc>
          <w:tcPr>
            <w:tcW w:type="dxa" w:w="44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Target SoC for this service window</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soc_min_frac / max_frac</w:t>
            </w:r>
          </w:p>
        </w:tc>
        <w:tc>
          <w:tcPr>
            <w:tcW w:type="dxa" w:w="18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0.2 / 0.9</w:t>
            </w:r>
          </w:p>
        </w:tc>
        <w:tc>
          <w:tcPr>
            <w:tcW w:type="dxa" w:w="44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SoC bounds before service delivery degrades</w:t>
            </w:r>
          </w:p>
        </w:tc>
      </w:tr>
      <w:tr>
        <w:tc>
          <w:tcPr>
            <w:tcW w:type="dxa" w:w="2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fcr_restoration_rate_kw</w:t>
            </w:r>
          </w:p>
        </w:tc>
        <w:tc>
          <w:tcPr>
            <w:tcW w:type="dxa" w:w="18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0.0</w:t>
            </w:r>
          </w:p>
        </w:tc>
        <w:tc>
          <w:tcPr>
            <w:tcW w:type="dxa" w:w="44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kW to use for SoC restoration after FCR activation</w:t>
            </w:r>
          </w:p>
        </w:tc>
      </w:tr>
    </w:tbl>
    <w:p>
      <w:pPr>
        <w:spacing w:before="120" w:after="0"/>
      </w:pPr>
    </w:p>
    <w:p>
      <w:pPr>
        <w:pStyle w:val="Heading2"/>
        <w:spacing w:before="260" w:after="100"/>
      </w:pPr>
      <w:r>
        <w:rPr>
          <w:rFonts w:ascii="Arial" w:cs="Arial" w:eastAsia="Arial" w:hAnsi="Arial"/>
          <w:b/>
          <w:bCs/>
          <w:sz w:val="26"/>
          <w:szCs w:val="26"/>
        </w:rPr>
        <w:t xml:space="preserve">PlantSnapshot  —  plant-level telemetry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Field group</w:t>
            </w:r>
          </w:p>
        </w:tc>
        <w:tc>
          <w:tcPr>
            <w:tcW w:type="dxa" w:w="40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Fields</w:t>
            </w:r>
          </w:p>
        </w:tc>
        <w:tc>
          <w:tcPr>
            <w:tcW w:type="dxa" w:w="30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Notes</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Service &amp; power</w:t>
            </w:r>
          </w:p>
        </w:tc>
        <w:tc>
          <w:tcPr>
            <w:tcW w:type="dxa" w:w="4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time_h, active_service, plant_power_kw, plant_power_available_kw</w:t>
            </w:r>
          </w:p>
        </w:tc>
        <w:tc>
          <w:tcPr>
            <w:tcW w:type="dxa" w:w="3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Fleet SoC</w:t>
            </w:r>
          </w:p>
        </w:tc>
        <w:tc>
          <w:tcPr>
            <w:tcW w:type="dxa" w:w="4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total_soc_kwh, avg/min/max_soc_frac</w:t>
            </w:r>
          </w:p>
        </w:tc>
        <w:tc>
          <w:tcPr>
            <w:tcW w:type="dxa" w:w="3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Unit counts</w:t>
            </w:r>
          </w:p>
        </w:tc>
        <w:tc>
          <w:tcPr>
            <w:tcW w:type="dxa" w:w="4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units_available, units_charging, units_discharging, units_idle</w:t>
            </w:r>
          </w:p>
        </w:tc>
        <w:tc>
          <w:tcPr>
            <w:tcW w:type="dxa" w:w="3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Losses</w:t>
            </w:r>
          </w:p>
        </w:tc>
        <w:tc>
          <w:tcPr>
            <w:tcW w:type="dxa" w:w="4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total_standby_loss_kw, total_machine_loss_kw, total_inverter_loss_kw, central_inverter_loss_kw</w:t>
            </w:r>
          </w:p>
        </w:tc>
        <w:tc>
          <w:tcPr>
            <w:tcW w:type="dxa" w:w="3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Includes shared PCS loss</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Efficiency</w:t>
            </w:r>
          </w:p>
        </w:tc>
        <w:tc>
          <w:tcPr>
            <w:tcW w:type="dxa" w:w="4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avg_eta_actual, total_equivalent_cycles</w:t>
            </w:r>
          </w:p>
        </w:tc>
        <w:tc>
          <w:tcPr>
            <w:tcW w:type="dxa" w:w="3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Fleet-average one-way efficiency</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Energy</w:t>
            </w:r>
          </w:p>
        </w:tc>
        <w:tc>
          <w:tcPr>
            <w:tcW w:type="dxa" w:w="4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grid_energy_consumed_kwh, grid_energy_delivered_kwh, auxiliary_load_kwh</w:t>
            </w:r>
          </w:p>
        </w:tc>
        <w:tc>
          <w:tcPr>
            <w:tcW w:type="dxa" w:w="3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Revenue</w:t>
            </w:r>
          </w:p>
        </w:tc>
        <w:tc>
          <w:tcPr>
            <w:tcW w:type="dxa" w:w="4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incremental_revenue, incremental_charge_cost, net_revenue</w:t>
            </w:r>
          </w:p>
        </w:tc>
        <w:tc>
          <w:tcPr>
            <w:tcW w:type="dxa" w:w="3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Gross minus cost this step</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Cumulative</w:t>
            </w:r>
          </w:p>
        </w:tc>
        <w:tc>
          <w:tcPr>
            <w:tcW w:type="dxa" w:w="4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cumulative_revenue, cumulative_charge_cost, cumulative_net_revenue</w:t>
            </w:r>
          </w:p>
        </w:tc>
        <w:tc>
          <w:tcPr>
            <w:tcW w:type="dxa" w:w="3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Running totals</w:t>
            </w:r>
          </w:p>
        </w:tc>
      </w:tr>
    </w:tbl>
    <w:p>
      <w:r>
        <w:br w:type="page"/>
      </w:r>
    </w:p>
    <w:p>
      <w:pPr>
        <w:pStyle w:val="Heading2"/>
        <w:spacing w:before="260" w:after="100"/>
      </w:pPr>
      <w:r>
        <w:rPr>
          <w:rFonts w:ascii="Arial" w:cs="Arial" w:eastAsia="Arial" w:hAnsi="Arial"/>
          <w:b/>
          <w:bCs/>
          <w:sz w:val="26"/>
          <w:szCs w:val="26"/>
        </w:rPr>
        <w:t xml:space="preserve">step()  —  main simulation loop</w:t>
      </w:r>
    </w:p>
    <w:p>
      <w:pPr>
        <w:spacing w:before="0" w:after="120"/>
      </w:pPr>
      <w:r>
        <w:rPr>
          <w:rFonts w:ascii="Arial" w:cs="Arial" w:eastAsia="Arial" w:hAnsi="Arial"/>
          <w:sz w:val="20"/>
          <w:szCs w:val="20"/>
        </w:rPr>
        <w:t xml:space="preserve">Executes one plant timestep. New in v2: FCR SoC restoration overlay, central inverter loss, and separated charge cost accounting.</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Parameter</w:t>
            </w:r>
          </w:p>
        </w:tc>
        <w:tc>
          <w:tcPr>
            <w:tcW w:type="dxa" w:w="16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Type</w:t>
            </w:r>
          </w:p>
        </w:tc>
        <w:tc>
          <w:tcPr>
            <w:tcW w:type="dxa" w:w="48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Description</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power_setpoint_kw</w:t>
            </w:r>
          </w:p>
        </w:tc>
        <w:tc>
          <w:tcPr>
            <w:tcW w:type="dxa" w:w="1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float</w:t>
            </w:r>
          </w:p>
        </w:tc>
        <w:tc>
          <w:tcPr>
            <w:tcW w:type="dxa" w:w="4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+ve = charging, −ve = discharging (plant DC bus)</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dt_hours</w:t>
            </w:r>
          </w:p>
        </w:tc>
        <w:tc>
          <w:tcPr>
            <w:tcW w:type="dxa" w:w="1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float</w:t>
            </w:r>
          </w:p>
        </w:tc>
        <w:tc>
          <w:tcPr>
            <w:tcW w:type="dxa" w:w="4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Timestep size in hours (any granularity supported)</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active_service</w:t>
            </w:r>
          </w:p>
        </w:tc>
        <w:tc>
          <w:tcPr>
            <w:tcW w:type="dxa" w:w="1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MarketService</w:t>
            </w:r>
          </w:p>
        </w:tc>
        <w:tc>
          <w:tcPr>
            <w:tcW w:type="dxa" w:w="4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Service being provided this step</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spot_price_per_mwh</w:t>
            </w:r>
          </w:p>
        </w:tc>
        <w:tc>
          <w:tcPr>
            <w:tcW w:type="dxa" w:w="1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float</w:t>
            </w:r>
          </w:p>
        </w:tc>
        <w:tc>
          <w:tcPr>
            <w:tcW w:type="dxa" w:w="4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Discharge energy price for arbitrage revenue</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charge_price_per_mwh</w:t>
            </w:r>
          </w:p>
        </w:tc>
        <w:tc>
          <w:tcPr>
            <w:tcW w:type="dxa" w:w="1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float</w:t>
            </w:r>
          </w:p>
        </w:tc>
        <w:tc>
          <w:tcPr>
            <w:tcW w:type="dxa" w:w="4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Charging energy cost; falls back to spot_price if 0</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frequency_hz</w:t>
            </w:r>
          </w:p>
        </w:tc>
        <w:tc>
          <w:tcPr>
            <w:tcW w:type="dxa" w:w="1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float | None</w:t>
            </w:r>
          </w:p>
        </w:tc>
        <w:tc>
          <w:tcPr>
            <w:tcW w:type="dxa" w:w="48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Grid frequency — required for DROOP dispatch</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apply_fcr_restoration</w:t>
            </w:r>
          </w:p>
        </w:tc>
        <w:tc>
          <w:tcPr>
            <w:tcW w:type="dxa" w:w="1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bool</w:t>
            </w:r>
          </w:p>
        </w:tc>
        <w:tc>
          <w:tcPr>
            <w:tcW w:type="dxa" w:w="48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Superimpose gentle SoC restoration when service is FCR</w:t>
            </w:r>
          </w:p>
        </w:tc>
      </w:tr>
    </w:tbl>
    <w:p>
      <w:pPr>
        <w:spacing w:before="120" w:after="0"/>
      </w:pPr>
    </w:p>
    <w:p>
      <w:pPr>
        <w:pStyle w:val="Heading2"/>
        <w:spacing w:before="260" w:after="100"/>
      </w:pPr>
      <w:r>
        <w:rPr>
          <w:rFonts w:ascii="Arial" w:cs="Arial" w:eastAsia="Arial" w:hAnsi="Arial"/>
          <w:b/>
          <w:bCs/>
          <w:sz w:val="26"/>
          <w:szCs w:val="26"/>
        </w:rPr>
        <w:t xml:space="preserve">discharge_sequence()  —  efficiency-optimal planning</w:t>
      </w:r>
    </w:p>
    <w:p>
      <w:pPr>
        <w:spacing w:before="0" w:after="120"/>
      </w:pPr>
      <w:r>
        <w:rPr>
          <w:rFonts w:ascii="Arial" w:cs="Arial" w:eastAsia="Arial" w:hAnsi="Arial"/>
          <w:sz w:val="20"/>
          <w:szCs w:val="20"/>
        </w:rPr>
        <w:t xml:space="preserve">Read-only planning method. Does not advance simulation state. Returns a stage-by-stage plan for discharging </w:t>
      </w:r>
      <w:r>
        <w:rPr>
          <w:rFonts w:ascii="Courier New" w:cs="Courier New" w:eastAsia="Courier New" w:hAnsi="Courier New"/>
          <w:color w:val="2A2A2A"/>
          <w:sz w:val="17"/>
          <w:szCs w:val="17"/>
        </w:rPr>
        <w:t xml:space="preserve">total_energy_kwh</w:t>
      </w:r>
      <w:r>
        <w:rPr>
          <w:rFonts w:ascii="Arial" w:cs="Arial" w:eastAsia="Arial" w:hAnsi="Arial"/>
          <w:sz w:val="20"/>
          <w:szCs w:val="20"/>
        </w:rPr>
        <w:t xml:space="preserve"> from the fleet.</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all_at_once</w:t>
            </w:r>
          </w:p>
        </w:tc>
        <w:tc>
          <w:tcPr>
            <w:tcW w:type="dxa" w:w="7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All available units discharge simultaneously — maximises instantaneous power, lowest efficiency when some units are at low SoC</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batches</w:t>
            </w:r>
          </w:p>
        </w:tc>
        <w:tc>
          <w:tcPr>
            <w:tcW w:type="dxa" w:w="7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batch_size units at a time; next batch activates when previous is depleted — configurable granularity</w:t>
            </w:r>
          </w:p>
        </w:tc>
      </w:tr>
      <w:tr>
        <w:tc>
          <w:tcPr>
            <w:tcW w:type="dxa" w:w="2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one_by_one</w:t>
            </w:r>
          </w:p>
        </w:tc>
        <w:tc>
          <w:tcPr>
            <w:tcW w:type="dxa" w:w="7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One unit at a time — highest-SoC first when optimize_efficiency=True; each unit operates near peak-efficiency load</w:t>
            </w:r>
          </w:p>
        </w:tc>
      </w:tr>
    </w:tbl>
    <w:p>
      <w:pPr>
        <w:spacing w:before="80" w:after="0"/>
      </w:pPr>
    </w:p>
    <w:p>
      <w:pPr>
        <w:spacing w:before="0" w:after="120"/>
      </w:pPr>
      <w:r>
        <w:rPr>
          <w:rFonts w:ascii="Arial" w:cs="Arial" w:eastAsia="Arial" w:hAnsi="Arial"/>
          <w:b/>
          <w:bCs/>
          <w:sz w:val="20"/>
          <w:szCs w:val="20"/>
        </w:rPr>
        <w:t xml:space="preserve">Efficiency rationale: </w:t>
      </w:r>
      <w:r>
        <w:rPr>
          <w:rFonts w:ascii="Arial" w:cs="Arial" w:eastAsia="Arial" w:hAnsi="Arial"/>
          <w:sz w:val="20"/>
          <w:szCs w:val="20"/>
        </w:rPr>
        <w:t xml:space="preserve">Copper loss scales as (P/sr)². A unit at low SoC (low sr) forced to discharge at full power produces much higher I²R loss than a high-SoC unit at the same power. one_by_one with highest-SoC-first keeps each unit in its efficient operating region. all_at_once is required for ancillary services where total plant power is the primary constraint regardless of per-unit efficiency.</w:t>
      </w:r>
    </w:p>
    <w:p>
      <w:pPr>
        <w:spacing w:before="60" w:after="0"/>
      </w:pPr>
    </w:p>
    <w:p>
      <w:pPr>
        <w:spacing w:before="0" w:after="120"/>
      </w:pPr>
      <w:r>
        <w:rPr>
          <w:rFonts w:ascii="Arial" w:cs="Arial" w:eastAsia="Arial" w:hAnsi="Arial"/>
          <w:sz w:val="20"/>
          <w:szCs w:val="20"/>
        </w:rPr>
        <w:t xml:space="preserve">Each returned stage dict contains: stage, unit_ids, units_active, power_kw_each, total_power_kw, eta_avg, energy_kwh_available, energy_kwh_planned, estimated_duration_h.</w:t>
      </w:r>
    </w:p>
    <w:p>
      <w:pPr>
        <w:spacing w:before="120" w:after="0"/>
      </w:pPr>
    </w:p>
    <w:p>
      <w:pPr>
        <w:pStyle w:val="Heading2"/>
        <w:spacing w:before="260" w:after="100"/>
      </w:pPr>
      <w:r>
        <w:rPr>
          <w:rFonts w:ascii="Arial" w:cs="Arial" w:eastAsia="Arial" w:hAnsi="Arial"/>
          <w:b/>
          <w:bCs/>
          <w:sz w:val="26"/>
          <w:szCs w:val="26"/>
        </w:rPr>
        <w:t xml:space="preserve">simulate_schedule()  —  day-ahead / intraday back-testing</w:t>
      </w:r>
    </w:p>
    <w:p>
      <w:pPr>
        <w:spacing w:before="0" w:after="120"/>
      </w:pPr>
      <w:r>
        <w:rPr>
          <w:rFonts w:ascii="Arial" w:cs="Arial" w:eastAsia="Arial" w:hAnsi="Arial"/>
          <w:sz w:val="20"/>
          <w:szCs w:val="20"/>
        </w:rPr>
        <w:t xml:space="preserve">Accepts a pandas DataFrame schedule and runs the complete physics simulation for all rows, returning a combined results DataFrame. Designed to be the primary interface for market scenario analysis.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Schedule column</w:t>
            </w:r>
          </w:p>
        </w:tc>
        <w:tc>
          <w:tcPr>
            <w:tcW w:type="dxa" w:w="1400"/>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Required</w:t>
            </w:r>
          </w:p>
        </w:tc>
        <w:tc>
          <w:tcPr>
            <w:tcW w:type="dxa" w:w="5026"/>
            <w:tcBorders>
              <w:top w:val="single" w:color="C8D4E8" w:sz="1"/>
              <w:left w:val="single" w:color="C8D4E8" w:sz="1"/>
              <w:bottom w:val="single" w:color="C8D4E8" w:sz="1"/>
              <w:right w:val="single" w:color="C8D4E8" w:sz="1"/>
            </w:tcBorders>
            <w:shd w:fill="1A3C6E" w:val="clear"/>
            <w:tcMar>
              <w:top w:type="dxa" w:w="80"/>
              <w:left w:type="dxa" w:w="130"/>
              <w:bottom w:type="dxa" w:w="80"/>
              <w:right w:type="dxa" w:w="130"/>
            </w:tcMar>
          </w:tcPr>
          <w:p>
            <w:r>
              <w:rPr>
                <w:rFonts w:ascii="Arial" w:cs="Arial" w:eastAsia="Arial" w:hAnsi="Arial"/>
                <w:b/>
                <w:bCs/>
                <w:color w:val="FFFFFF"/>
                <w:sz w:val="18"/>
                <w:szCs w:val="18"/>
              </w:rPr>
              <w:t xml:space="preserve">Description</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power_setpoint_kw</w:t>
            </w:r>
          </w:p>
        </w:tc>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Yes</w:t>
            </w:r>
          </w:p>
        </w:tc>
        <w:tc>
          <w:tcPr>
            <w:tcW w:type="dxa" w:w="5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Plant power demand each interval (+ve charge, −ve discharge)</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spot_price_per_mwh</w:t>
            </w:r>
          </w:p>
        </w:tc>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No</w:t>
            </w:r>
          </w:p>
        </w:tc>
        <w:tc>
          <w:tcPr>
            <w:tcW w:type="dxa" w:w="5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Discharge revenue price ($/MWh) — defaults to 0</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charge_price_per_mwh</w:t>
            </w:r>
          </w:p>
        </w:tc>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No</w:t>
            </w:r>
          </w:p>
        </w:tc>
        <w:tc>
          <w:tcPr>
            <w:tcW w:type="dxa" w:w="5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Charging cost ($/MWh) — defaults to spot_price if absent</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active_service</w:t>
            </w:r>
          </w:p>
        </w:tc>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No</w:t>
            </w:r>
          </w:p>
        </w:tc>
        <w:tc>
          <w:tcPr>
            <w:tcW w:type="dxa" w:w="5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Courier New" w:cs="Courier New" w:eastAsia="Courier New" w:hAnsi="Courier New"/>
                <w:color w:val="2A2A2A"/>
                <w:sz w:val="17"/>
                <w:szCs w:val="17"/>
              </w:rPr>
              <w:t xml:space="preserve">MarketService string — defaults to 'arbitrage'</w:t>
            </w:r>
          </w:p>
        </w:tc>
      </w:tr>
      <w:tr>
        <w:tc>
          <w:tcPr>
            <w:tcW w:type="dxa" w:w="26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frequency_hz</w:t>
            </w:r>
          </w:p>
        </w:tc>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No</w:t>
            </w:r>
          </w:p>
        </w:tc>
        <w:tc>
          <w:tcPr>
            <w:tcW w:type="dxa" w:w="5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Courier New" w:cs="Courier New" w:eastAsia="Courier New" w:hAnsi="Courier New"/>
                <w:color w:val="2A2A2A"/>
                <w:sz w:val="17"/>
                <w:szCs w:val="17"/>
              </w:rPr>
              <w:t xml:space="preserve">Grid frequency for DROOP dispatch</w:t>
            </w:r>
          </w:p>
        </w:tc>
      </w:tr>
    </w:tbl>
    <w:p>
      <w:pPr>
        <w:spacing w:before="80" w:after="0"/>
      </w:pPr>
    </w:p>
    <w:p>
      <w:pPr>
        <w:spacing w:before="0" w:after="120"/>
      </w:pPr>
      <w:r>
        <w:rPr>
          <w:rFonts w:ascii="Arial" w:cs="Arial" w:eastAsia="Arial" w:hAnsi="Arial"/>
          <w:b/>
          <w:bCs/>
          <w:sz w:val="20"/>
          <w:szCs w:val="20"/>
        </w:rPr>
        <w:t xml:space="preserve">reset_before: </w:t>
      </w:r>
      <w:r>
        <w:rPr>
          <w:rFonts w:ascii="Arial" w:cs="Arial" w:eastAsia="Arial" w:hAnsi="Arial"/>
          <w:sz w:val="20"/>
          <w:szCs w:val="20"/>
        </w:rPr>
        <w:t xml:space="preserve">Set False for rolling intraday re-dispatch (continue from current plant state). Set True for clean day-ahead back-tests.</w:t>
      </w:r>
    </w:p>
    <w:p>
      <w:pPr>
        <w:spacing w:before="120" w:after="0"/>
      </w:pPr>
    </w:p>
    <w:p>
      <w:pPr>
        <w:pStyle w:val="Heading2"/>
        <w:spacing w:before="260" w:after="100"/>
      </w:pPr>
      <w:r>
        <w:rPr>
          <w:rFonts w:ascii="Arial" w:cs="Arial" w:eastAsia="Arial" w:hAnsi="Arial"/>
          <w:b/>
          <w:bCs/>
          <w:sz w:val="26"/>
          <w:szCs w:val="26"/>
        </w:rPr>
        <w:t xml:space="preserve">Additional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configure_revenue_stack(services)</w:t>
            </w:r>
          </w:p>
        </w:tc>
        <w:tc>
          <w:tcPr>
            <w:tcW w:type="dxa" w:w="6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Define ordered list of RevenueServiceConfig; sorted by priority field</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to_dataframe()</w:t>
            </w:r>
          </w:p>
        </w:tc>
        <w:tc>
          <w:tcPr>
            <w:tcW w:type="dxa" w:w="6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Export full PlantSnapshot history to pandas DataFrame (29 columns)</w:t>
            </w:r>
          </w:p>
        </w:tc>
      </w:tr>
      <w:tr>
        <w:tc>
          <w:tcPr>
            <w:tcW w:type="dxa" w:w="3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unit_dataframe(unit_id)</w:t>
            </w:r>
          </w:p>
        </w:tc>
        <w:tc>
          <w:tcPr>
            <w:tcW w:type="dxa" w:w="6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Export single unit history to DataFrame</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plant_summary()</w:t>
            </w:r>
          </w:p>
        </w:tc>
        <w:tc>
          <w:tcPr>
            <w:tcW w:type="dxa" w:w="60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Dict with cumulative energy, gross revenue, charge cost, net revenue, round-trip efficiency</w:t>
            </w:r>
          </w:p>
        </w:tc>
      </w:tr>
      <w:tr>
        <w:tc>
          <w:tcPr>
            <w:tcW w:type="dxa" w:w="30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reset(initial_soc_frac)</w:t>
            </w:r>
          </w:p>
        </w:tc>
        <w:tc>
          <w:tcPr>
            <w:tcW w:type="dxa" w:w="60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Reinitialise all units and all cumulative plant counters</w:t>
            </w:r>
          </w:p>
        </w:tc>
      </w:tr>
    </w:tbl>
    <w:p>
      <w:r>
        <w:br w:type="page"/>
      </w:r>
    </w:p>
    <w:p>
      <w:pPr>
        <w:pStyle w:val="Heading1"/>
        <w:spacing w:before="360" w:after="120"/>
      </w:pPr>
      <w:r>
        <w:rPr>
          <w:rFonts w:ascii="Arial" w:cs="Arial" w:eastAsia="Arial" w:hAnsi="Arial"/>
          <w:b/>
          <w:bCs/>
          <w:sz w:val="34"/>
          <w:szCs w:val="34"/>
        </w:rPr>
        <w:t xml:space="preserve">plots.py  —  582 lines</w:t>
      </w:r>
    </w:p>
    <w:p>
      <w:pPr>
        <w:spacing w:before="0" w:after="120"/>
      </w:pPr>
      <w:r>
        <w:rPr>
          <w:rFonts w:ascii="Arial" w:cs="Arial" w:eastAsia="Arial" w:hAnsi="Arial"/>
          <w:sz w:val="20"/>
          <w:szCs w:val="20"/>
        </w:rPr>
        <w:t xml:space="preserve">Centralised production-quality visualisation. Run standalone (python plots.py) or import individually. Both figures share a consistent dark theme (GitHub-dark colour palette) with a helper-function architecture that eliminates repetition across the 12 panels.</w:t>
      </w:r>
    </w:p>
    <w:p>
      <w:pPr>
        <w:spacing w:before="80" w:after="0"/>
      </w:pPr>
    </w:p>
    <w:p>
      <w:pPr>
        <w:spacing w:before="180" w:after="80"/>
      </w:pPr>
      <w:r>
        <w:rPr>
          <w:rFonts w:ascii="Arial" w:cs="Arial" w:eastAsia="Arial" w:hAnsi="Arial"/>
          <w:b/>
          <w:bCs/>
          <w:color w:val="2E6DB4"/>
          <w:sz w:val="22"/>
          <w:szCs w:val="22"/>
        </w:rPr>
        <w:t xml:space="preserve">plot_efficiency()  ⇒  fess_efficiency_curves.png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Panel 1</w:t>
            </w:r>
          </w:p>
        </w:tc>
        <w:tc>
          <w:tcPr>
            <w:tcW w:type="dxa" w:w="7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Machine motoring (charging) — family of curves by speed ratio sr = 0.3 / 0.5 / 0.7 / 0.9 / 1.0</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Panel 2</w:t>
            </w:r>
          </w:p>
        </w:tc>
        <w:tc>
          <w:tcPr>
            <w:tcW w:type="dxa" w:w="7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Machine generating (discharging) — same layout</w:t>
            </w:r>
          </w:p>
        </w:tc>
      </w:tr>
      <w:tr>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Panel 3</w:t>
            </w:r>
          </w:p>
        </w:tc>
        <w:tc>
          <w:tcPr>
            <w:tcW w:type="dxa" w:w="7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Inverter efficiency + stacked loss breakdown on dual y-axis</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Panel 4</w:t>
            </w:r>
          </w:p>
        </w:tc>
        <w:tc>
          <w:tcPr>
            <w:tcW w:type="dxa" w:w="7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Combined charge efficiency (grid → flywheel): machine × inverter in series</w:t>
            </w:r>
          </w:p>
        </w:tc>
      </w:tr>
      <w:tr>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Panel 5</w:t>
            </w:r>
          </w:p>
        </w:tc>
        <w:tc>
          <w:tcPr>
            <w:tcW w:type="dxa" w:w="7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Combined discharge efficiency (flywheel → grid)</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Panel 6</w:t>
            </w:r>
          </w:p>
        </w:tc>
        <w:tc>
          <w:tcPr>
            <w:tcW w:type="dxa" w:w="7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Round-trip efficiency heatmap over (power %, speed ratio) with physics feasibility mask</w:t>
            </w:r>
          </w:p>
        </w:tc>
      </w:tr>
    </w:tbl>
    <w:p>
      <w:pPr>
        <w:spacing w:before="80" w:after="0"/>
      </w:pPr>
    </w:p>
    <w:p>
      <w:pPr>
        <w:spacing w:before="180" w:after="80"/>
      </w:pPr>
      <w:r>
        <w:rPr>
          <w:rFonts w:ascii="Arial" w:cs="Arial" w:eastAsia="Arial" w:hAnsi="Arial"/>
          <w:b/>
          <w:bCs/>
          <w:color w:val="2E6DB4"/>
          <w:sz w:val="22"/>
          <w:szCs w:val="22"/>
        </w:rPr>
        <w:t xml:space="preserve">plot_standby_losses()  ⇒  fess_standby_losses.png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Panel 1</w:t>
            </w:r>
          </w:p>
        </w:tc>
        <w:tc>
          <w:tcPr>
            <w:tcW w:type="dxa" w:w="7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Mechanical losses vs speed ratio — aero (ω³), TMB eddy (ω²), RMB eddy (ω²) as individual lines</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Panel 2</w:t>
            </w:r>
          </w:p>
        </w:tc>
        <w:tc>
          <w:tcPr>
            <w:tcW w:type="dxa" w:w="7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Auxiliary losses vs speed ratio — all five grid-draw components as individual lines</w:t>
            </w:r>
          </w:p>
        </w:tc>
      </w:tr>
      <w:tr>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Panel 3</w:t>
            </w:r>
          </w:p>
        </w:tc>
        <w:tc>
          <w:tcPr>
            <w:tcW w:type="dxa" w:w="7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Mechanical breakdown as stacked area</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Panel 4</w:t>
            </w:r>
          </w:p>
        </w:tc>
        <w:tc>
          <w:tcPr>
            <w:tcW w:type="dxa" w:w="7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Auxiliary breakdown as stacked area</w:t>
            </w:r>
          </w:p>
        </w:tc>
      </w:tr>
      <w:tr>
        <w:tc>
          <w:tcPr>
            <w:tcW w:type="dxa" w:w="1400"/>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Panel 5</w:t>
            </w:r>
          </w:p>
        </w:tc>
        <w:tc>
          <w:tcPr>
            <w:tcW w:type="dxa" w:w="7626"/>
            <w:tcBorders>
              <w:top w:val="single" w:color="C8D4E8" w:sz="1"/>
              <w:left w:val="single" w:color="C8D4E8" w:sz="1"/>
              <w:bottom w:val="single" w:color="C8D4E8" w:sz="1"/>
              <w:right w:val="single" w:color="C8D4E8" w:sz="1"/>
            </w:tcBorders>
            <w:shd w:fill="F4F6F9" w:val="clear"/>
            <w:tcMar>
              <w:top w:type="dxa" w:w="80"/>
              <w:left w:type="dxa" w:w="130"/>
              <w:bottom w:type="dxa" w:w="80"/>
              <w:right w:type="dxa" w:w="130"/>
            </w:tcMar>
          </w:tcPr>
          <w:p>
            <w:r>
              <w:rPr>
                <w:rFonts w:ascii="Arial" w:cs="Arial" w:eastAsia="Arial" w:hAnsi="Arial"/>
                <w:sz w:val="18"/>
                <w:szCs w:val="18"/>
              </w:rPr>
              <w:t xml:space="preserve">Grand total (mechanical + auxiliary) with rest/rated callout annotations</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Panel 6</w:t>
            </w:r>
          </w:p>
        </w:tc>
        <w:tc>
          <w:tcPr>
            <w:tcW w:type="dxa" w:w="7626"/>
            <w:tcBorders>
              <w:top w:val="single" w:color="C8D4E8" w:sz="1"/>
              <w:left w:val="single" w:color="C8D4E8" w:sz="1"/>
              <w:bottom w:val="single" w:color="C8D4E8" w:sz="1"/>
              <w:right w:val="single" w:color="C8D4E8" w:sz="1"/>
            </w:tcBorders>
            <w:shd w:fill="FFFFFF" w:val="clear"/>
            <w:tcMar>
              <w:top w:type="dxa" w:w="80"/>
              <w:left w:type="dxa" w:w="130"/>
              <w:bottom w:type="dxa" w:w="80"/>
              <w:right w:type="dxa" w:w="130"/>
            </w:tcMar>
          </w:tcPr>
          <w:p>
            <w:r>
              <w:rPr>
                <w:rFonts w:ascii="Arial" w:cs="Arial" w:eastAsia="Arial" w:hAnsi="Arial"/>
                <w:sz w:val="18"/>
                <w:szCs w:val="18"/>
              </w:rPr>
              <w:t xml:space="preserve">Mechanical self-discharge rate (%/h) vs speed ratio</w:t>
            </w:r>
          </w:p>
        </w:tc>
      </w:tr>
    </w:tbl>
    <w:p>
      <w:pPr>
        <w:pStyle w:val="Heading1"/>
        <w:spacing w:before="360" w:after="120"/>
      </w:pPr>
      <w:r>
        <w:rPr>
          <w:rFonts w:ascii="Arial" w:cs="Arial" w:eastAsia="Arial" w:hAnsi="Arial"/>
          <w:b/>
          <w:bCs/>
          <w:sz w:val="34"/>
          <w:szCs w:val="34"/>
        </w:rPr>
        <w:t xml:space="preserve">Key Physics and Design Decisions</w:t>
      </w:r>
    </w:p>
    <w:p>
      <w:pPr>
        <w:pStyle w:val="Heading2"/>
        <w:spacing w:before="260" w:after="100"/>
      </w:pPr>
      <w:r>
        <w:rPr>
          <w:rFonts w:ascii="Arial" w:cs="Arial" w:eastAsia="Arial" w:hAnsi="Arial"/>
          <w:b/>
          <w:bCs/>
          <w:sz w:val="26"/>
          <w:szCs w:val="26"/>
        </w:rPr>
        <w:t xml:space="preserve">Quadratic SoC–speed coupling</w:t>
      </w:r>
    </w:p>
    <w:p>
      <w:pPr>
        <w:spacing w:before="0" w:after="120"/>
      </w:pPr>
      <w:r>
        <w:rPr>
          <w:rFonts w:ascii="Arial" w:cs="Arial" w:eastAsia="Arial" w:hAnsi="Arial"/>
          <w:sz w:val="20"/>
          <w:szCs w:val="20"/>
        </w:rPr>
        <w:t xml:space="preserve">The kinetic energy of a rotating body is E = ½Iω², so SoC_frac = (ω/ω_max)². Usable SoC range is [min_speed_ratio², 1.0]. With min_speed_ratio = 0.20, the SoC floor is 4% of rated energy — 96% of stored energy is accessible. Power available scales linearly with speed ratio because torque is the independent actuator variable and P = Tω.</w:t>
      </w:r>
    </w:p>
    <w:p>
      <w:pPr>
        <w:pStyle w:val="Heading2"/>
        <w:spacing w:before="260" w:after="100"/>
      </w:pPr>
      <w:r>
        <w:rPr>
          <w:rFonts w:ascii="Arial" w:cs="Arial" w:eastAsia="Arial" w:hAnsi="Arial"/>
          <w:b/>
          <w:bCs/>
          <w:sz w:val="26"/>
          <w:szCs w:val="26"/>
        </w:rPr>
        <w:t xml:space="preserve">IPMSM machine model</w:t>
      </w:r>
    </w:p>
    <w:p>
      <w:pPr>
        <w:spacing w:before="0" w:after="120"/>
      </w:pPr>
      <w:r>
        <w:rPr>
          <w:rFonts w:ascii="Arial" w:cs="Arial" w:eastAsia="Arial" w:hAnsi="Arial"/>
          <w:sz w:val="20"/>
          <w:szCs w:val="20"/>
        </w:rPr>
        <w:t xml:space="preserve">The (P/ω)² copper loss term is the defining IPMSM characteristic: at low speed with high power demand, the machine must produce high torque, driving I²R losses sharply upward. This is physically correct for PMSM/IPMSM. The model is not valid without modification for induction motors (require rotor slip terms) or switched-reluctance machines (different iron loss structure).</w:t>
      </w:r>
    </w:p>
    <w:p>
      <w:pPr>
        <w:pStyle w:val="Heading2"/>
        <w:spacing w:before="260" w:after="100"/>
      </w:pPr>
      <w:r>
        <w:rPr>
          <w:rFonts w:ascii="Arial" w:cs="Arial" w:eastAsia="Arial" w:hAnsi="Arial"/>
          <w:b/>
          <w:bCs/>
          <w:sz w:val="26"/>
          <w:szCs w:val="26"/>
        </w:rPr>
        <w:t xml:space="preserve">Separation of mechanical and auxiliary standby losses</w:t>
      </w:r>
    </w:p>
    <w:p>
      <w:pPr>
        <w:spacing w:before="0" w:after="120"/>
      </w:pPr>
      <w:r>
        <w:rPr>
          <w:rFonts w:ascii="Arial" w:cs="Arial" w:eastAsia="Arial" w:hAnsi="Arial"/>
          <w:sz w:val="20"/>
          <w:szCs w:val="20"/>
        </w:rPr>
        <w:t xml:space="preserve">Mechanical losses (bearing eddy currents, aerodynamic drag) directly drain rotor kinetic energy and reduce SoC. Auxiliary losses (bias coils, cooling, vacuum pump) are drawn from the grid independently of flywheel state. Conflating both into a single self-discharge rate — as most simplified models do — overstates the speed at which stored energy degrades and hides the constant parasitic grid draw that affects net revenue even when the plant is not dispatched.</w:t>
      </w:r>
    </w:p>
    <w:p>
      <w:pPr>
        <w:pStyle w:val="Heading2"/>
        <w:spacing w:before="260" w:after="100"/>
      </w:pPr>
      <w:r>
        <w:rPr>
          <w:rFonts w:ascii="Arial" w:cs="Arial" w:eastAsia="Arial" w:hAnsi="Arial"/>
          <w:b/>
          <w:bCs/>
          <w:sz w:val="26"/>
          <w:szCs w:val="26"/>
        </w:rPr>
        <w:t xml:space="preserve">Arbitrage net revenue accounting</w:t>
      </w:r>
    </w:p>
    <w:p>
      <w:pPr>
        <w:spacing w:before="0" w:after="120"/>
      </w:pPr>
      <w:r>
        <w:rPr>
          <w:rFonts w:ascii="Arial" w:cs="Arial" w:eastAsia="Arial" w:hAnsi="Arial"/>
          <w:sz w:val="20"/>
          <w:szCs w:val="20"/>
        </w:rPr>
        <w:t xml:space="preserve">Gross discharge revenue and charging energy cost are now tracked separately in RevenueServiceConfig.charge_price_per_mwh and PlantSnapshot.incremental_charge_cost. Net revenue (= gross revenue − charge cost) is the economically correct profitability metric for arbitrage. Previous versions silently overstated arbitrage returns by ignoring charging cost.</w:t>
      </w:r>
    </w:p>
    <w:p>
      <w:pPr>
        <w:pStyle w:val="Heading2"/>
        <w:spacing w:before="260" w:after="100"/>
      </w:pPr>
      <w:r>
        <w:rPr>
          <w:rFonts w:ascii="Arial" w:cs="Arial" w:eastAsia="Arial" w:hAnsi="Arial"/>
          <w:b/>
          <w:bCs/>
          <w:sz w:val="26"/>
          <w:szCs w:val="26"/>
        </w:rPr>
        <w:t xml:space="preserve">FCR SoC restoration</w:t>
      </w:r>
    </w:p>
    <w:p>
      <w:pPr>
        <w:spacing w:before="0" w:after="120"/>
      </w:pPr>
      <w:r>
        <w:rPr>
          <w:rFonts w:ascii="Arial" w:cs="Arial" w:eastAsia="Arial" w:hAnsi="Arial"/>
          <w:sz w:val="20"/>
          <w:szCs w:val="20"/>
        </w:rPr>
        <w:t xml:space="preserve">After a primary frequency response activation event, the fleet SoC drifts away from the target. Without restoration, repeated FCR activations asymptotically deplete (under-frequency events) or fill (over-frequency events) the fleet. The restoration mechanism imposes a gentle charge or discharge setpoint when avg_soc_frac drifts beyond ±2% of soc_target_frac, keeping the fleet ready for the next activation.</w:t>
      </w:r>
    </w:p>
    <w:p>
      <w:pPr>
        <w:pStyle w:val="Heading2"/>
        <w:spacing w:before="260" w:after="100"/>
      </w:pPr>
      <w:r>
        <w:rPr>
          <w:rFonts w:ascii="Arial" w:cs="Arial" w:eastAsia="Arial" w:hAnsi="Arial"/>
          <w:b/>
          <w:bCs/>
          <w:sz w:val="26"/>
          <w:szCs w:val="26"/>
        </w:rPr>
        <w:t xml:space="preserve">Unlimited cycle life</w:t>
      </w:r>
    </w:p>
    <w:p>
      <w:pPr>
        <w:spacing w:before="0" w:after="120"/>
      </w:pPr>
      <w:r>
        <w:rPr>
          <w:rFonts w:ascii="Arial" w:cs="Arial" w:eastAsia="Arial" w:hAnsi="Arial"/>
          <w:sz w:val="20"/>
          <w:szCs w:val="20"/>
        </w:rPr>
        <w:t xml:space="preserve">The equivalent_full_cycles counter accumulates for operational monitoring and scenario comparison. It carries no degradation meaning — FESS has no electrochemical wear mechanism analogous to battery capacity fade. There is no SoC-dependent capacity loss and no cycle-dependent efficiency penalty.</w:t>
      </w:r>
    </w:p>
    <w:p>
      <w:pPr>
        <w:pBdr>
          <w:bottom w:val="single" w:color="2E6DB4" w:sz="6" w:space="1"/>
        </w:pBdr>
        <w:spacing w:before="80" w:after="120"/>
      </w:pPr>
    </w:p>
    <w:p>
      <w:pPr>
        <w:spacing w:before="0" w:after="120"/>
      </w:pPr>
      <w:r>
        <w:rPr>
          <w:rFonts w:ascii="Arial" w:cs="Arial" w:eastAsia="Arial" w:hAnsi="Arial"/>
          <w:color w:val="888888"/>
          <w:sz w:val="20"/>
          <w:szCs w:val="20"/>
        </w:rPr>
        <w:t xml:space="preserve">Codebase total: </w:t>
      </w:r>
      <w:r>
        <w:rPr>
          <w:rFonts w:ascii="Arial" w:cs="Arial" w:eastAsia="Arial" w:hAnsi="Arial"/>
          <w:color w:val="888888"/>
          <w:sz w:val="20"/>
          <w:szCs w:val="20"/>
        </w:rPr>
        <w:t xml:space="preserve">3,644 lines across 6 modules  |  Terminus Energy,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C6E" w:sz="8" w:space="1"/>
      </w:pBdr>
      <w:spacing w:before="400" w:after="180"/>
      <w:outlineLvl w:val="0"/>
    </w:pPr>
    <w:rPr>
      <w:rFonts w:ascii="Arial" w:cs="Arial" w:eastAsia="Arial" w:hAnsi="Arial"/>
      <w:b/>
      <w:bCs/>
      <w:color w:val="1A3C6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2026-02-17T15:55:42.799Z</dcterms:created>
  <dcterms:modified xsi:type="dcterms:W3CDTF">2026-02-17T15:55:42.800Z</dcterms:modified>
</cp:coreProperties>
</file>

<file path=docProps/custom.xml><?xml version="1.0" encoding="utf-8"?>
<Properties xmlns="http://schemas.openxmlformats.org/officeDocument/2006/custom-properties" xmlns:vt="http://schemas.openxmlformats.org/officeDocument/2006/docPropsVTypes"/>
</file>